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C3CED" w14:textId="77777777" w:rsidR="00A27BFE" w:rsidRPr="00D33024" w:rsidRDefault="00A27BFE" w:rsidP="00DD7AE2">
      <w:pPr>
        <w:spacing w:line="480" w:lineRule="auto"/>
        <w:jc w:val="center"/>
        <w:rPr>
          <w:rFonts w:ascii="Arial" w:hAnsi="Arial" w:cs="Arial"/>
          <w:b/>
          <w:bCs/>
        </w:rPr>
      </w:pPr>
      <w:r w:rsidRPr="00D33024">
        <w:rPr>
          <w:rFonts w:ascii="Arial" w:hAnsi="Arial" w:cs="Arial"/>
          <w:b/>
          <w:bCs/>
        </w:rPr>
        <w:t>SUPPLEMENTAL MATERIAL</w:t>
      </w:r>
    </w:p>
    <w:p w14:paraId="5C7A55EB" w14:textId="77777777" w:rsidR="00A27BFE" w:rsidRPr="00D33024" w:rsidRDefault="00A27BFE" w:rsidP="002A569F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5C3F0218" w14:textId="77777777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/>
          <w:bCs/>
        </w:rPr>
      </w:pPr>
      <w:r w:rsidRPr="00D33024">
        <w:rPr>
          <w:rFonts w:ascii="Arial" w:hAnsi="Arial" w:cs="Arial"/>
          <w:b/>
          <w:bCs/>
        </w:rPr>
        <w:t>Coagulation Factor XII protects neurons from apoptosis by triggering a crosstalk between HGFR/c-Met and EGFR/ErbB1 signaling pathways</w:t>
      </w:r>
    </w:p>
    <w:p w14:paraId="09AE68D3" w14:textId="77777777" w:rsidR="00D33024" w:rsidRDefault="00D33024" w:rsidP="00DD0516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784037DE" w14:textId="3A2A73EF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Cs/>
        </w:rPr>
      </w:pPr>
      <w:r w:rsidRPr="00D33024">
        <w:rPr>
          <w:rFonts w:ascii="Arial" w:hAnsi="Arial" w:cs="Arial"/>
          <w:bCs/>
        </w:rPr>
        <w:t>Short title: Factor XII protects neurons from apoptosis</w:t>
      </w:r>
    </w:p>
    <w:p w14:paraId="52AC4818" w14:textId="77777777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Cs/>
        </w:rPr>
      </w:pPr>
    </w:p>
    <w:p w14:paraId="365691B8" w14:textId="77777777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Cs/>
        </w:rPr>
      </w:pPr>
      <w:r w:rsidRPr="00D33024">
        <w:rPr>
          <w:rFonts w:ascii="Arial" w:hAnsi="Arial" w:cs="Arial"/>
          <w:bCs/>
        </w:rPr>
        <w:t xml:space="preserve">Eugénie Garnier1*, Damien Levard1*, Carine Ali1, Yannick Hommet1, </w:t>
      </w:r>
      <w:proofErr w:type="spellStart"/>
      <w:r w:rsidRPr="00D33024">
        <w:rPr>
          <w:rFonts w:ascii="Arial" w:hAnsi="Arial" w:cs="Arial"/>
          <w:bCs/>
        </w:rPr>
        <w:t>Tiziana</w:t>
      </w:r>
      <w:proofErr w:type="spellEnd"/>
      <w:r w:rsidRPr="00D33024">
        <w:rPr>
          <w:rFonts w:ascii="Arial" w:hAnsi="Arial" w:cs="Arial"/>
          <w:bCs/>
        </w:rPr>
        <w:t xml:space="preserve"> Crepaldi2,3, Paolo Comoglio2, Marina Rubio1, Denis Vivien1,4, Sara Martinez de Lizarrondo1* &amp; Fabian Docagne1*#</w:t>
      </w:r>
    </w:p>
    <w:p w14:paraId="322100E2" w14:textId="77777777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Cs/>
        </w:rPr>
      </w:pPr>
    </w:p>
    <w:p w14:paraId="372BAB0E" w14:textId="77777777" w:rsidR="00DD0516" w:rsidRPr="00D33024" w:rsidRDefault="00DD0516" w:rsidP="00DD0516">
      <w:pPr>
        <w:spacing w:line="480" w:lineRule="auto"/>
        <w:jc w:val="both"/>
        <w:rPr>
          <w:rFonts w:ascii="Arial" w:hAnsi="Arial" w:cs="Arial"/>
          <w:bCs/>
        </w:rPr>
      </w:pPr>
      <w:r w:rsidRPr="00D33024">
        <w:rPr>
          <w:rFonts w:ascii="Arial" w:hAnsi="Arial" w:cs="Arial"/>
          <w:bCs/>
        </w:rPr>
        <w:t>* Equal contributions.</w:t>
      </w:r>
    </w:p>
    <w:p w14:paraId="214E0078" w14:textId="77777777" w:rsidR="00D21535" w:rsidRPr="00D33024" w:rsidRDefault="00D21535" w:rsidP="00DD0516">
      <w:pPr>
        <w:spacing w:line="480" w:lineRule="auto"/>
        <w:jc w:val="both"/>
        <w:rPr>
          <w:rFonts w:ascii="Arial" w:hAnsi="Arial" w:cs="Arial"/>
          <w:bCs/>
        </w:rPr>
      </w:pPr>
    </w:p>
    <w:p w14:paraId="4874C0E7" w14:textId="77777777" w:rsidR="00D21535" w:rsidRPr="00D33024" w:rsidRDefault="00D21535" w:rsidP="00DD0516">
      <w:pPr>
        <w:spacing w:line="480" w:lineRule="auto"/>
        <w:jc w:val="both"/>
        <w:rPr>
          <w:rFonts w:ascii="Arial" w:hAnsi="Arial" w:cs="Arial"/>
          <w:bCs/>
        </w:rPr>
      </w:pPr>
      <w:r w:rsidRPr="00D33024">
        <w:rPr>
          <w:rFonts w:ascii="Arial" w:hAnsi="Arial" w:cs="Arial"/>
        </w:rPr>
        <w:t>This supplemental material contains</w:t>
      </w:r>
      <w:r w:rsidR="008674F5" w:rsidRPr="00D33024">
        <w:rPr>
          <w:rFonts w:ascii="Arial" w:hAnsi="Arial" w:cs="Arial"/>
        </w:rPr>
        <w:t xml:space="preserve"> 4</w:t>
      </w:r>
      <w:r w:rsidRPr="00D33024">
        <w:rPr>
          <w:rFonts w:ascii="Arial" w:hAnsi="Arial" w:cs="Arial"/>
        </w:rPr>
        <w:t xml:space="preserve"> Supplemental Figures and </w:t>
      </w:r>
      <w:r w:rsidR="008674F5" w:rsidRPr="00D33024">
        <w:rPr>
          <w:rFonts w:ascii="Arial" w:hAnsi="Arial" w:cs="Arial"/>
        </w:rPr>
        <w:t xml:space="preserve">4 </w:t>
      </w:r>
      <w:r w:rsidRPr="00D33024">
        <w:rPr>
          <w:rFonts w:ascii="Arial" w:hAnsi="Arial" w:cs="Arial"/>
        </w:rPr>
        <w:t>Figure legends</w:t>
      </w:r>
    </w:p>
    <w:p w14:paraId="4219386E" w14:textId="77777777" w:rsidR="00A27BFE" w:rsidRPr="00D33024" w:rsidRDefault="00A27BFE" w:rsidP="008E45C4">
      <w:pPr>
        <w:jc w:val="both"/>
        <w:rPr>
          <w:rFonts w:ascii="Arial" w:hAnsi="Arial" w:cs="Arial"/>
          <w:b/>
        </w:rPr>
      </w:pPr>
    </w:p>
    <w:p w14:paraId="5C96BDFC" w14:textId="77777777" w:rsidR="00A27BFE" w:rsidRPr="00D33024" w:rsidRDefault="00A27BFE" w:rsidP="008E45C4">
      <w:pPr>
        <w:jc w:val="both"/>
        <w:rPr>
          <w:rFonts w:ascii="Arial" w:hAnsi="Arial" w:cs="Arial"/>
          <w:b/>
        </w:rPr>
      </w:pPr>
    </w:p>
    <w:p w14:paraId="1E034736" w14:textId="77777777" w:rsidR="00A27BFE" w:rsidRPr="00D33024" w:rsidRDefault="00A27BFE" w:rsidP="002A569F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7ECFB436" w14:textId="77777777" w:rsidR="00A27BFE" w:rsidRPr="00D33024" w:rsidRDefault="00A27BFE" w:rsidP="007700C5">
      <w:pPr>
        <w:spacing w:line="480" w:lineRule="auto"/>
        <w:jc w:val="both"/>
        <w:rPr>
          <w:rFonts w:ascii="Arial" w:hAnsi="Arial" w:cs="Arial"/>
        </w:rPr>
      </w:pPr>
      <w:r w:rsidRPr="00D33024">
        <w:rPr>
          <w:rFonts w:ascii="Arial" w:hAnsi="Arial" w:cs="Arial"/>
          <w:b/>
          <w:bCs/>
        </w:rPr>
        <w:br w:type="page"/>
      </w:r>
    </w:p>
    <w:p w14:paraId="24C3BE18" w14:textId="77777777" w:rsidR="00DD0516" w:rsidRPr="00D33024" w:rsidRDefault="00DD0516" w:rsidP="00DD0516">
      <w:pPr>
        <w:jc w:val="both"/>
        <w:rPr>
          <w:rFonts w:ascii="Arial" w:hAnsi="Arial" w:cs="Arial"/>
          <w:b/>
          <w:bCs/>
        </w:rPr>
      </w:pPr>
    </w:p>
    <w:p w14:paraId="4AB39E12" w14:textId="77777777" w:rsidR="00DD0516" w:rsidRPr="00D33024" w:rsidRDefault="00FC3813" w:rsidP="004D21E2">
      <w:pPr>
        <w:spacing w:after="160" w:line="259" w:lineRule="auto"/>
        <w:rPr>
          <w:rFonts w:ascii="Arial" w:hAnsi="Arial" w:cs="Arial"/>
          <w:b/>
        </w:rPr>
      </w:pPr>
      <w:r w:rsidRPr="00D33024">
        <w:rPr>
          <w:rFonts w:ascii="Arial" w:hAnsi="Arial" w:cs="Arial"/>
          <w:b/>
        </w:rPr>
        <w:t>Supplemental Figure 1</w:t>
      </w:r>
    </w:p>
    <w:p w14:paraId="67C3F3F3" w14:textId="77777777" w:rsidR="00FC3813" w:rsidRPr="00D33024" w:rsidRDefault="00FC3813" w:rsidP="004D21E2">
      <w:pPr>
        <w:spacing w:after="160" w:line="259" w:lineRule="auto"/>
        <w:rPr>
          <w:rFonts w:ascii="Arial" w:hAnsi="Arial" w:cs="Arial"/>
          <w:b/>
        </w:rPr>
      </w:pPr>
    </w:p>
    <w:p w14:paraId="6372A231" w14:textId="77777777" w:rsidR="00DD0516" w:rsidRPr="00D33024" w:rsidRDefault="00DD0516" w:rsidP="00DD0516">
      <w:pPr>
        <w:spacing w:after="160" w:line="259" w:lineRule="auto"/>
        <w:jc w:val="center"/>
        <w:rPr>
          <w:rFonts w:ascii="Arial" w:hAnsi="Arial" w:cs="Arial"/>
          <w:b/>
        </w:rPr>
      </w:pPr>
      <w:r w:rsidRPr="00D33024">
        <w:rPr>
          <w:rFonts w:ascii="Arial" w:hAnsi="Arial" w:cs="Arial"/>
          <w:b/>
          <w:noProof/>
          <w:lang w:val="fr-FR" w:eastAsia="fr-FR"/>
        </w:rPr>
        <w:drawing>
          <wp:inline distT="0" distB="0" distL="0" distR="0" wp14:anchorId="32A6DF8A" wp14:editId="6CEE579B">
            <wp:extent cx="2738120" cy="278817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-1000"/>
                              </a14:imgEffect>
                              <a14:imgEffect>
                                <a14:brightnessContrast bright="-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83"/>
                    <a:stretch/>
                  </pic:blipFill>
                  <pic:spPr bwMode="auto">
                    <a:xfrm>
                      <a:off x="0" y="0"/>
                      <a:ext cx="2743622" cy="279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C527BD" w14:textId="77777777" w:rsidR="00A27BFE" w:rsidRPr="00D33024" w:rsidRDefault="00A27BFE" w:rsidP="008C1A21">
      <w:pPr>
        <w:spacing w:after="160" w:line="259" w:lineRule="auto"/>
        <w:jc w:val="center"/>
        <w:rPr>
          <w:rFonts w:ascii="Arial" w:eastAsia="MS Minngs" w:hAnsi="Arial" w:cs="Arial"/>
        </w:rPr>
      </w:pPr>
    </w:p>
    <w:p w14:paraId="099253C2" w14:textId="0EA3CD32" w:rsidR="00A27BFE" w:rsidRPr="00D33024" w:rsidRDefault="00FC3813" w:rsidP="00DB7639">
      <w:pPr>
        <w:spacing w:line="360" w:lineRule="auto"/>
        <w:jc w:val="both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b/>
        </w:rPr>
        <w:t>Supplemental Figure 1</w:t>
      </w:r>
      <w:r w:rsidR="00A27BFE" w:rsidRPr="00D33024">
        <w:rPr>
          <w:rFonts w:ascii="Arial" w:eastAsia="MS Minngs" w:hAnsi="Arial" w:cs="Arial"/>
          <w:b/>
        </w:rPr>
        <w:t xml:space="preserve">. </w:t>
      </w:r>
      <w:r w:rsidR="00DD0516" w:rsidRPr="00D33024">
        <w:rPr>
          <w:rFonts w:ascii="Arial" w:eastAsia="MS Minngs" w:hAnsi="Arial" w:cs="Arial"/>
          <w:b/>
        </w:rPr>
        <w:t xml:space="preserve">NMDA-injection </w:t>
      </w:r>
      <w:r w:rsidR="00A27BFE" w:rsidRPr="00D33024">
        <w:rPr>
          <w:rFonts w:ascii="Arial" w:eastAsia="MS Minngs" w:hAnsi="Arial" w:cs="Arial"/>
          <w:b/>
        </w:rPr>
        <w:t xml:space="preserve">induces </w:t>
      </w:r>
      <w:r w:rsidR="00DD0516" w:rsidRPr="00D33024">
        <w:rPr>
          <w:rFonts w:ascii="Arial" w:eastAsia="MS Minngs" w:hAnsi="Arial" w:cs="Arial"/>
          <w:b/>
        </w:rPr>
        <w:t>neuronal apoptosis</w:t>
      </w:r>
      <w:r w:rsidR="00A27BFE" w:rsidRPr="00D33024">
        <w:rPr>
          <w:rFonts w:ascii="Arial" w:eastAsia="MS Minngs" w:hAnsi="Arial" w:cs="Arial"/>
          <w:b/>
        </w:rPr>
        <w:t xml:space="preserve">. </w:t>
      </w:r>
      <w:r w:rsidR="00A27BFE" w:rsidRPr="00D33024">
        <w:rPr>
          <w:rFonts w:ascii="Arial" w:eastAsia="MS Minngs" w:hAnsi="Arial" w:cs="Arial"/>
        </w:rPr>
        <w:t xml:space="preserve">Low magnification representative fluorescence image of </w:t>
      </w:r>
      <w:r w:rsidR="00DD0516" w:rsidRPr="00D33024">
        <w:rPr>
          <w:rFonts w:ascii="Arial" w:eastAsia="MS Minngs" w:hAnsi="Arial" w:cs="Arial"/>
        </w:rPr>
        <w:t>NMDA-injected mice</w:t>
      </w:r>
      <w:r w:rsidR="00A27BFE" w:rsidRPr="00D33024">
        <w:rPr>
          <w:rFonts w:ascii="Arial" w:eastAsia="MS Minngs" w:hAnsi="Arial" w:cs="Arial"/>
        </w:rPr>
        <w:t xml:space="preserve">, showing </w:t>
      </w:r>
      <w:r w:rsidR="00DD0516" w:rsidRPr="00D33024">
        <w:rPr>
          <w:rFonts w:ascii="Arial" w:eastAsia="MS Minngs" w:hAnsi="Arial" w:cs="Arial"/>
        </w:rPr>
        <w:t>TUNNEL labelling (in green)</w:t>
      </w:r>
      <w:r w:rsidR="00A27BFE" w:rsidRPr="00D33024">
        <w:rPr>
          <w:rFonts w:ascii="Arial" w:eastAsia="MS Minngs" w:hAnsi="Arial" w:cs="Arial"/>
        </w:rPr>
        <w:t xml:space="preserve"> in the </w:t>
      </w:r>
      <w:r w:rsidR="00DD0516" w:rsidRPr="00D33024">
        <w:rPr>
          <w:rFonts w:ascii="Arial" w:eastAsia="MS Minngs" w:hAnsi="Arial" w:cs="Arial"/>
        </w:rPr>
        <w:t xml:space="preserve">ipsilateral of brain </w:t>
      </w:r>
      <w:r w:rsidR="00A27BFE" w:rsidRPr="00D33024">
        <w:rPr>
          <w:rFonts w:ascii="Arial" w:eastAsia="MS Minngs" w:hAnsi="Arial" w:cs="Arial"/>
        </w:rPr>
        <w:t xml:space="preserve">mice at </w:t>
      </w:r>
      <w:r w:rsidR="00DD0516" w:rsidRPr="00D33024">
        <w:rPr>
          <w:rFonts w:ascii="Arial" w:eastAsia="MS Minngs" w:hAnsi="Arial" w:cs="Arial"/>
        </w:rPr>
        <w:t>24</w:t>
      </w:r>
      <w:r w:rsidR="00A27BFE" w:rsidRPr="00D33024">
        <w:rPr>
          <w:rFonts w:ascii="Arial" w:eastAsia="MS Minngs" w:hAnsi="Arial" w:cs="Arial"/>
        </w:rPr>
        <w:t xml:space="preserve"> hours. DAP</w:t>
      </w:r>
      <w:r w:rsidR="00DD0516" w:rsidRPr="00D33024">
        <w:rPr>
          <w:rFonts w:ascii="Arial" w:eastAsia="MS Minngs" w:hAnsi="Arial" w:cs="Arial"/>
        </w:rPr>
        <w:t>I was used as a cellular marker.</w:t>
      </w:r>
      <w:r w:rsidR="00A27BFE" w:rsidRPr="00D33024">
        <w:rPr>
          <w:rFonts w:ascii="Arial" w:eastAsia="MS Minngs" w:hAnsi="Arial" w:cs="Arial"/>
        </w:rPr>
        <w:t xml:space="preserve"> </w:t>
      </w:r>
    </w:p>
    <w:p w14:paraId="4DA3E1A3" w14:textId="77777777" w:rsidR="00FC3813" w:rsidRPr="00D33024" w:rsidRDefault="00A27BFE" w:rsidP="00FC3813">
      <w:pPr>
        <w:spacing w:after="160" w:line="259" w:lineRule="auto"/>
        <w:rPr>
          <w:rFonts w:ascii="Arial" w:hAnsi="Arial" w:cs="Arial"/>
          <w:b/>
        </w:rPr>
      </w:pPr>
      <w:r w:rsidRPr="00D33024">
        <w:rPr>
          <w:rFonts w:ascii="Arial" w:eastAsia="MS Minngs" w:hAnsi="Arial" w:cs="Arial"/>
          <w:b/>
        </w:rPr>
        <w:br w:type="page"/>
      </w:r>
      <w:r w:rsidR="00FC3813" w:rsidRPr="00D33024">
        <w:rPr>
          <w:rFonts w:ascii="Arial" w:hAnsi="Arial" w:cs="Arial"/>
          <w:b/>
        </w:rPr>
        <w:lastRenderedPageBreak/>
        <w:t>Supplemental Figure 2</w:t>
      </w:r>
    </w:p>
    <w:p w14:paraId="231411D8" w14:textId="77777777" w:rsidR="00FC3813" w:rsidRPr="00D33024" w:rsidRDefault="00FC3813" w:rsidP="00FC3813">
      <w:pPr>
        <w:spacing w:after="160" w:line="259" w:lineRule="auto"/>
        <w:jc w:val="center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noProof/>
          <w:lang w:val="fr-FR" w:eastAsia="fr-FR"/>
        </w:rPr>
        <w:drawing>
          <wp:inline distT="0" distB="0" distL="0" distR="0" wp14:anchorId="497C9F58" wp14:editId="4CF9CD55">
            <wp:extent cx="4893869" cy="3643994"/>
            <wp:effectExtent l="0" t="0" r="2540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219" cy="3655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FD46F6" w14:textId="77777777" w:rsidR="00FC3813" w:rsidRPr="00D33024" w:rsidRDefault="00FC3813" w:rsidP="00FC3813">
      <w:pPr>
        <w:spacing w:after="160" w:line="259" w:lineRule="auto"/>
        <w:jc w:val="center"/>
        <w:rPr>
          <w:rFonts w:ascii="Arial" w:eastAsia="MS Minngs" w:hAnsi="Arial" w:cs="Arial"/>
        </w:rPr>
      </w:pPr>
    </w:p>
    <w:p w14:paraId="36982DC0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b/>
        </w:rPr>
        <w:t xml:space="preserve">Supplemental Figure 2. </w:t>
      </w:r>
      <w:proofErr w:type="spellStart"/>
      <w:r w:rsidRPr="00D33024">
        <w:rPr>
          <w:rFonts w:ascii="Arial" w:eastAsia="MS Minngs" w:hAnsi="Arial" w:cs="Arial"/>
          <w:b/>
          <w:bCs/>
        </w:rPr>
        <w:t>Proteolytically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 inactive </w:t>
      </w:r>
      <w:proofErr w:type="gramStart"/>
      <w:r w:rsidRPr="00D33024">
        <w:rPr>
          <w:rFonts w:ascii="Arial" w:eastAsia="MS Minngs" w:hAnsi="Arial" w:cs="Arial"/>
          <w:b/>
          <w:bCs/>
        </w:rPr>
        <w:t>alpha</w:t>
      </w:r>
      <w:proofErr w:type="gramEnd"/>
      <w:r w:rsidRPr="00D33024">
        <w:rPr>
          <w:rFonts w:ascii="Arial" w:eastAsia="MS Minngs" w:hAnsi="Arial" w:cs="Arial"/>
          <w:b/>
          <w:bCs/>
        </w:rPr>
        <w:t>-Factor XII (</w:t>
      </w:r>
      <w:r w:rsidRPr="00D33024">
        <w:rPr>
          <w:rFonts w:ascii="Arial" w:eastAsia="MS Minngs" w:hAnsi="Arial" w:cs="Arial"/>
          <w:b/>
          <w:bCs/>
          <w:lang w:val="el-GR"/>
        </w:rPr>
        <w:t>α</w:t>
      </w:r>
      <w:proofErr w:type="spellStart"/>
      <w:r w:rsidRPr="00D33024">
        <w:rPr>
          <w:rFonts w:ascii="Arial" w:eastAsia="MS Minngs" w:hAnsi="Arial" w:cs="Arial"/>
          <w:b/>
          <w:bCs/>
        </w:rPr>
        <w:t>FXIIa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-PPACK) retains an </w:t>
      </w:r>
      <w:proofErr w:type="spellStart"/>
      <w:r w:rsidRPr="00D33024">
        <w:rPr>
          <w:rFonts w:ascii="Arial" w:eastAsia="MS Minngs" w:hAnsi="Arial" w:cs="Arial"/>
          <w:b/>
          <w:bCs/>
        </w:rPr>
        <w:t>antiapoptotic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 capacity dependent on EGFR activation and HGFR(c-MET) activation by transphosphorylation</w:t>
      </w:r>
      <w:r w:rsidRPr="00D33024">
        <w:rPr>
          <w:rFonts w:ascii="Arial" w:eastAsia="MS Minngs" w:hAnsi="Arial" w:cs="Arial"/>
        </w:rPr>
        <w:t xml:space="preserve">. (A) Quantification of neuronal death following 24h of either SD alone or SD in the presence of recombinant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-PPACK (12,5–125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). Error bars represent the mean ± SEM. Symbols indicate significantly different from SD by Mann Whitney (** p &lt; 0.01, n = 16 in 4 different experiments). (B) Quantification of neuronal death following 24 h of either SD alone or SD in the presence of 125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-PPACK (purple) with or without 5 µM EFGR kinase inhibitor, AG1478 (green; mean + SEM; n = 16 in 4 different experiments). **, p &lt; 0,01; #, p &lt; 0.05 and no significantly different from SD and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 respectively. (C)  Quantification of neuronal death following 24 h of either SD alone or SD in the presence of 125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-PPACK (purple) with 500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JNJ, an inhibitor of c-MET phosphorylation (green; mean ± SEM; n = 16 in 4 different experiments). *, p &lt; 0,05 and #, p &lt; 0.05 significantly different from SD and FXII respectively. (D) Quantification of neuronal death following 24 h of either SD alone or SD in the presence of 125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-PPACK (purple) with 50 ng/mL sc1356, a blocking antibody of HGF (green; mean ± SEM; n = 16 in 4 different experiments). *, p &lt; 0,05 significantly different from </w:t>
      </w:r>
      <w:proofErr w:type="gramStart"/>
      <w:r w:rsidRPr="00D33024">
        <w:rPr>
          <w:rFonts w:ascii="Arial" w:eastAsia="MS Minngs" w:hAnsi="Arial" w:cs="Arial"/>
        </w:rPr>
        <w:t>SD .</w:t>
      </w:r>
      <w:proofErr w:type="gramEnd"/>
      <w:r w:rsidRPr="00D33024">
        <w:rPr>
          <w:rFonts w:ascii="Arial" w:eastAsia="MS Minngs" w:hAnsi="Arial" w:cs="Arial"/>
        </w:rPr>
        <w:t xml:space="preserve"> </w:t>
      </w:r>
    </w:p>
    <w:p w14:paraId="071FE530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  <w:b/>
        </w:rPr>
      </w:pPr>
    </w:p>
    <w:p w14:paraId="6DA80C05" w14:textId="77777777" w:rsidR="00FC3813" w:rsidRPr="00D33024" w:rsidRDefault="00FC3813" w:rsidP="00FC3813">
      <w:pPr>
        <w:spacing w:line="360" w:lineRule="auto"/>
        <w:jc w:val="both"/>
        <w:rPr>
          <w:rFonts w:ascii="Arial" w:hAnsi="Arial" w:cs="Arial"/>
          <w:b/>
        </w:rPr>
      </w:pPr>
      <w:r w:rsidRPr="00D33024">
        <w:rPr>
          <w:rFonts w:ascii="Arial" w:hAnsi="Arial" w:cs="Arial"/>
          <w:b/>
        </w:rPr>
        <w:t>Supplemental Figure 3</w:t>
      </w:r>
    </w:p>
    <w:p w14:paraId="62E214C0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  <w:lang w:val="fr-FR"/>
        </w:rPr>
      </w:pPr>
    </w:p>
    <w:p w14:paraId="1642EA30" w14:textId="77777777" w:rsidR="00A27BFE" w:rsidRPr="00D33024" w:rsidRDefault="00FC3813" w:rsidP="00FC3813">
      <w:pPr>
        <w:spacing w:line="480" w:lineRule="auto"/>
        <w:jc w:val="center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noProof/>
          <w:lang w:val="fr-FR" w:eastAsia="fr-FR"/>
        </w:rPr>
        <w:drawing>
          <wp:inline distT="0" distB="0" distL="0" distR="0" wp14:anchorId="264711F8" wp14:editId="0F8913A4">
            <wp:extent cx="4535628" cy="3248983"/>
            <wp:effectExtent l="0" t="0" r="0" b="889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399" cy="32588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1EDE26" w14:textId="77777777" w:rsidR="00FC3813" w:rsidRPr="00D33024" w:rsidRDefault="00FC3813" w:rsidP="00DB7639">
      <w:pPr>
        <w:spacing w:line="360" w:lineRule="auto"/>
        <w:jc w:val="both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b/>
          <w:lang w:val="en-GB"/>
        </w:rPr>
        <w:t xml:space="preserve">Supplemental Figure 3. </w:t>
      </w:r>
      <w:r w:rsidRPr="00D33024">
        <w:rPr>
          <w:rFonts w:ascii="Arial" w:eastAsia="MS Minngs" w:hAnsi="Arial" w:cs="Arial"/>
          <w:b/>
          <w:bCs/>
        </w:rPr>
        <w:t xml:space="preserve">FXII, </w:t>
      </w:r>
      <w:r w:rsidRPr="00D33024">
        <w:rPr>
          <w:rFonts w:ascii="Arial" w:eastAsia="MS Minngs" w:hAnsi="Arial" w:cs="Arial"/>
          <w:b/>
          <w:bCs/>
          <w:lang w:val="el-GR"/>
        </w:rPr>
        <w:t>α</w:t>
      </w:r>
      <w:proofErr w:type="spellStart"/>
      <w:r w:rsidRPr="00D33024">
        <w:rPr>
          <w:rFonts w:ascii="Arial" w:eastAsia="MS Minngs" w:hAnsi="Arial" w:cs="Arial"/>
          <w:b/>
          <w:bCs/>
        </w:rPr>
        <w:t>FXIIa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 convert </w:t>
      </w:r>
      <w:proofErr w:type="spellStart"/>
      <w:r w:rsidRPr="00D33024">
        <w:rPr>
          <w:rFonts w:ascii="Arial" w:eastAsia="MS Minngs" w:hAnsi="Arial" w:cs="Arial"/>
          <w:b/>
          <w:bCs/>
        </w:rPr>
        <w:t>ProHGF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 in mature HGF in purified conditions. </w:t>
      </w:r>
      <w:r w:rsidRPr="00D33024">
        <w:rPr>
          <w:rFonts w:ascii="Arial" w:eastAsia="MS Minngs" w:hAnsi="Arial" w:cs="Arial"/>
          <w:b/>
        </w:rPr>
        <w:t> </w:t>
      </w:r>
      <w:r w:rsidRPr="00D33024">
        <w:rPr>
          <w:rFonts w:ascii="Arial" w:eastAsia="MS Minngs" w:hAnsi="Arial" w:cs="Arial"/>
        </w:rPr>
        <w:t xml:space="preserve">Pro-HGF (52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) was incubated at 37°C for 4 h without proteases (lane 1) or with 5,2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FXII,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, and </w:t>
      </w:r>
      <w:r w:rsidRPr="00D33024">
        <w:rPr>
          <w:rFonts w:ascii="Arial" w:eastAsia="MS Minngs" w:hAnsi="Arial" w:cs="Arial"/>
          <w:lang w:val="el-GR"/>
        </w:rPr>
        <w:t>α</w:t>
      </w:r>
      <w:proofErr w:type="spellStart"/>
      <w:r w:rsidRPr="00D33024">
        <w:rPr>
          <w:rFonts w:ascii="Arial" w:eastAsia="MS Minngs" w:hAnsi="Arial" w:cs="Arial"/>
        </w:rPr>
        <w:t>FXIIa</w:t>
      </w:r>
      <w:proofErr w:type="spellEnd"/>
      <w:r w:rsidRPr="00D33024">
        <w:rPr>
          <w:rFonts w:ascii="Arial" w:eastAsia="MS Minngs" w:hAnsi="Arial" w:cs="Arial"/>
        </w:rPr>
        <w:t xml:space="preserve">-PPACK. Immunodetection of </w:t>
      </w:r>
      <w:r w:rsidRPr="00D33024">
        <w:rPr>
          <w:rFonts w:ascii="Arial" w:eastAsia="MS Minngs" w:hAnsi="Arial" w:cs="Arial"/>
          <w:lang w:val="el-GR"/>
        </w:rPr>
        <w:t>α</w:t>
      </w:r>
      <w:r w:rsidRPr="00D33024">
        <w:rPr>
          <w:rFonts w:ascii="Arial" w:eastAsia="MS Minngs" w:hAnsi="Arial" w:cs="Arial"/>
        </w:rPr>
        <w:t>HGF after incubation. Representative images of four independent experiments are presented.  </w:t>
      </w:r>
    </w:p>
    <w:p w14:paraId="5B3D1FCF" w14:textId="77777777" w:rsidR="00FC3813" w:rsidRPr="00D33024" w:rsidRDefault="00FC3813">
      <w:pPr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</w:rPr>
        <w:br w:type="page"/>
      </w:r>
    </w:p>
    <w:p w14:paraId="52FA3764" w14:textId="77777777" w:rsidR="00FC3813" w:rsidRPr="00D33024" w:rsidRDefault="00FC3813" w:rsidP="00FC3813">
      <w:pPr>
        <w:spacing w:line="360" w:lineRule="auto"/>
        <w:jc w:val="both"/>
        <w:rPr>
          <w:rFonts w:ascii="Arial" w:hAnsi="Arial" w:cs="Arial"/>
          <w:b/>
        </w:rPr>
      </w:pPr>
      <w:r w:rsidRPr="00D33024">
        <w:rPr>
          <w:rFonts w:ascii="Arial" w:hAnsi="Arial" w:cs="Arial"/>
          <w:b/>
        </w:rPr>
        <w:lastRenderedPageBreak/>
        <w:t>Supplemental Figure 4</w:t>
      </w:r>
    </w:p>
    <w:p w14:paraId="642BE672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  <w:b/>
          <w:bCs/>
        </w:rPr>
      </w:pPr>
    </w:p>
    <w:p w14:paraId="03348B92" w14:textId="77777777" w:rsidR="00FC3813" w:rsidRPr="00D33024" w:rsidRDefault="00FC3813" w:rsidP="00FC3813">
      <w:pPr>
        <w:spacing w:line="360" w:lineRule="auto"/>
        <w:jc w:val="center"/>
        <w:rPr>
          <w:rFonts w:ascii="Arial" w:eastAsia="MS Minngs" w:hAnsi="Arial" w:cs="Arial"/>
          <w:b/>
          <w:bCs/>
        </w:rPr>
      </w:pPr>
      <w:r w:rsidRPr="00D33024">
        <w:rPr>
          <w:rFonts w:ascii="Arial" w:eastAsia="MS Minngs" w:hAnsi="Arial" w:cs="Arial"/>
          <w:b/>
          <w:bCs/>
          <w:noProof/>
          <w:lang w:val="fr-FR" w:eastAsia="fr-FR"/>
        </w:rPr>
        <w:drawing>
          <wp:inline distT="0" distB="0" distL="0" distR="0" wp14:anchorId="18C32511" wp14:editId="1171B048">
            <wp:extent cx="3657600" cy="2511901"/>
            <wp:effectExtent l="0" t="0" r="0" b="0"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305" cy="2518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DAFF96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  <w:b/>
          <w:bCs/>
        </w:rPr>
      </w:pPr>
    </w:p>
    <w:p w14:paraId="198BE308" w14:textId="77777777" w:rsidR="00FC3813" w:rsidRPr="00D33024" w:rsidRDefault="00FC3813" w:rsidP="00DB7639">
      <w:pPr>
        <w:spacing w:line="360" w:lineRule="auto"/>
        <w:jc w:val="both"/>
        <w:rPr>
          <w:rFonts w:ascii="Arial" w:eastAsia="MS Minngs" w:hAnsi="Arial" w:cs="Arial"/>
        </w:rPr>
      </w:pPr>
      <w:r w:rsidRPr="00D33024">
        <w:rPr>
          <w:rFonts w:ascii="Arial" w:eastAsia="MS Minngs" w:hAnsi="Arial" w:cs="Arial"/>
          <w:b/>
          <w:bCs/>
        </w:rPr>
        <w:t xml:space="preserve">Supplemental Figure 4. Blocking antibody of </w:t>
      </w:r>
      <w:proofErr w:type="spellStart"/>
      <w:r w:rsidRPr="00D33024">
        <w:rPr>
          <w:rFonts w:ascii="Arial" w:eastAsia="MS Minngs" w:hAnsi="Arial" w:cs="Arial"/>
          <w:b/>
          <w:bCs/>
        </w:rPr>
        <w:t>uPAR</w:t>
      </w:r>
      <w:proofErr w:type="spellEnd"/>
      <w:r w:rsidRPr="00D33024">
        <w:rPr>
          <w:rFonts w:ascii="Arial" w:eastAsia="MS Minngs" w:hAnsi="Arial" w:cs="Arial"/>
          <w:b/>
          <w:bCs/>
        </w:rPr>
        <w:t xml:space="preserve"> MAB531 does not reverse anti-apoptotic effect of FXII</w:t>
      </w:r>
      <w:r w:rsidRPr="00D33024">
        <w:rPr>
          <w:rFonts w:ascii="Arial" w:eastAsia="MS Minngs" w:hAnsi="Arial" w:cs="Arial"/>
        </w:rPr>
        <w:t xml:space="preserve">. Quantification of neuronal death following 24 h of either SD alone or SD in the presence of 125 </w:t>
      </w:r>
      <w:proofErr w:type="spellStart"/>
      <w:r w:rsidRPr="00D33024">
        <w:rPr>
          <w:rFonts w:ascii="Arial" w:eastAsia="MS Minngs" w:hAnsi="Arial" w:cs="Arial"/>
        </w:rPr>
        <w:t>nM</w:t>
      </w:r>
      <w:proofErr w:type="spellEnd"/>
      <w:r w:rsidRPr="00D33024">
        <w:rPr>
          <w:rFonts w:ascii="Arial" w:eastAsia="MS Minngs" w:hAnsi="Arial" w:cs="Arial"/>
        </w:rPr>
        <w:t xml:space="preserve"> FXII (yellow) with or without 25 µg/mL </w:t>
      </w:r>
      <w:proofErr w:type="spellStart"/>
      <w:r w:rsidRPr="00D33024">
        <w:rPr>
          <w:rFonts w:ascii="Arial" w:eastAsia="MS Minngs" w:hAnsi="Arial" w:cs="Arial"/>
        </w:rPr>
        <w:t>uPAR</w:t>
      </w:r>
      <w:proofErr w:type="spellEnd"/>
      <w:r w:rsidRPr="00D33024">
        <w:rPr>
          <w:rFonts w:ascii="Arial" w:eastAsia="MS Minngs" w:hAnsi="Arial" w:cs="Arial"/>
        </w:rPr>
        <w:t xml:space="preserve"> blocking antibody, MAB531 (</w:t>
      </w:r>
      <w:proofErr w:type="gramStart"/>
      <w:r w:rsidRPr="00D33024">
        <w:rPr>
          <w:rFonts w:ascii="Arial" w:eastAsia="MS Minngs" w:hAnsi="Arial" w:cs="Arial"/>
        </w:rPr>
        <w:t>green ;</w:t>
      </w:r>
      <w:proofErr w:type="gramEnd"/>
      <w:r w:rsidRPr="00D33024">
        <w:rPr>
          <w:rFonts w:ascii="Arial" w:eastAsia="MS Minngs" w:hAnsi="Arial" w:cs="Arial"/>
        </w:rPr>
        <w:t xml:space="preserve"> mean + SEM; n = 16 in 4 different experiments). **</w:t>
      </w:r>
      <w:proofErr w:type="gramStart"/>
      <w:r w:rsidRPr="00D33024">
        <w:rPr>
          <w:rFonts w:ascii="Arial" w:eastAsia="MS Minngs" w:hAnsi="Arial" w:cs="Arial"/>
        </w:rPr>
        <w:t>*  and</w:t>
      </w:r>
      <w:proofErr w:type="gramEnd"/>
      <w:r w:rsidRPr="00D33024">
        <w:rPr>
          <w:rFonts w:ascii="Arial" w:eastAsia="MS Minngs" w:hAnsi="Arial" w:cs="Arial"/>
        </w:rPr>
        <w:t xml:space="preserve"> #, p &lt; 0.05 significantly different from SD and FXII respectively. CRTL: control; NS: </w:t>
      </w:r>
      <w:proofErr w:type="spellStart"/>
      <w:r w:rsidRPr="00D33024">
        <w:rPr>
          <w:rFonts w:ascii="Arial" w:eastAsia="MS Minngs" w:hAnsi="Arial" w:cs="Arial"/>
        </w:rPr>
        <w:t>non significant</w:t>
      </w:r>
      <w:proofErr w:type="spellEnd"/>
      <w:r w:rsidRPr="00D33024">
        <w:rPr>
          <w:rFonts w:ascii="Arial" w:eastAsia="MS Minngs" w:hAnsi="Arial" w:cs="Arial"/>
        </w:rPr>
        <w:t xml:space="preserve">  </w:t>
      </w:r>
    </w:p>
    <w:p w14:paraId="2691639A" w14:textId="77777777" w:rsidR="00FC3813" w:rsidRPr="00D33024" w:rsidRDefault="00FC3813" w:rsidP="00FC3813">
      <w:pPr>
        <w:spacing w:line="360" w:lineRule="auto"/>
        <w:jc w:val="both"/>
        <w:rPr>
          <w:rFonts w:ascii="Arial" w:eastAsia="MS Minngs" w:hAnsi="Arial" w:cs="Arial"/>
        </w:rPr>
      </w:pPr>
      <w:bookmarkStart w:id="0" w:name="_GoBack"/>
      <w:bookmarkEnd w:id="0"/>
    </w:p>
    <w:sectPr w:rsidR="00FC3813" w:rsidRPr="00D33024" w:rsidSect="00DD0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ngs">
    <w:altName w:val="w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Bloo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sdr9fpxpef95cexe5bpde0c5dee20zvev5r&quot;&gt;My EndNote Library Copy&lt;record-ids&gt;&lt;item&gt;343&lt;/item&gt;&lt;item&gt;347&lt;/item&gt;&lt;item&gt;364&lt;/item&gt;&lt;item&gt;365&lt;/item&gt;&lt;item&gt;366&lt;/item&gt;&lt;item&gt;371&lt;/item&gt;&lt;item&gt;374&lt;/item&gt;&lt;item&gt;378&lt;/item&gt;&lt;/record-ids&gt;&lt;/item&gt;&lt;/Libraries&gt;"/>
  </w:docVars>
  <w:rsids>
    <w:rsidRoot w:val="00DF2EA7"/>
    <w:rsid w:val="00020B22"/>
    <w:rsid w:val="00031D18"/>
    <w:rsid w:val="00050333"/>
    <w:rsid w:val="00055A95"/>
    <w:rsid w:val="00066722"/>
    <w:rsid w:val="000C1DE0"/>
    <w:rsid w:val="000D228D"/>
    <w:rsid w:val="000D2C55"/>
    <w:rsid w:val="000E44B1"/>
    <w:rsid w:val="000E533E"/>
    <w:rsid w:val="00102930"/>
    <w:rsid w:val="00146D6B"/>
    <w:rsid w:val="00151842"/>
    <w:rsid w:val="00194351"/>
    <w:rsid w:val="001A72C0"/>
    <w:rsid w:val="001A7A4E"/>
    <w:rsid w:val="001B201F"/>
    <w:rsid w:val="001C316B"/>
    <w:rsid w:val="001C5383"/>
    <w:rsid w:val="001C6ACA"/>
    <w:rsid w:val="00230731"/>
    <w:rsid w:val="00284790"/>
    <w:rsid w:val="002A569F"/>
    <w:rsid w:val="002B5D8C"/>
    <w:rsid w:val="002C2134"/>
    <w:rsid w:val="002C3BA0"/>
    <w:rsid w:val="00325167"/>
    <w:rsid w:val="00327B9B"/>
    <w:rsid w:val="00385C62"/>
    <w:rsid w:val="003868C4"/>
    <w:rsid w:val="003B57FF"/>
    <w:rsid w:val="003C22C9"/>
    <w:rsid w:val="003D7994"/>
    <w:rsid w:val="003E668F"/>
    <w:rsid w:val="003E6EA4"/>
    <w:rsid w:val="00435CC2"/>
    <w:rsid w:val="004A0E3D"/>
    <w:rsid w:val="004B75DA"/>
    <w:rsid w:val="004C3BC7"/>
    <w:rsid w:val="004C3D85"/>
    <w:rsid w:val="004D11DD"/>
    <w:rsid w:val="004D21E2"/>
    <w:rsid w:val="00506706"/>
    <w:rsid w:val="00515DD0"/>
    <w:rsid w:val="00522397"/>
    <w:rsid w:val="005242E7"/>
    <w:rsid w:val="0053151E"/>
    <w:rsid w:val="0057171B"/>
    <w:rsid w:val="00573984"/>
    <w:rsid w:val="00580A91"/>
    <w:rsid w:val="005B129D"/>
    <w:rsid w:val="005D0A14"/>
    <w:rsid w:val="00642FDF"/>
    <w:rsid w:val="00644110"/>
    <w:rsid w:val="00664000"/>
    <w:rsid w:val="006836EF"/>
    <w:rsid w:val="006B5E4B"/>
    <w:rsid w:val="007108D8"/>
    <w:rsid w:val="007175BB"/>
    <w:rsid w:val="007449A5"/>
    <w:rsid w:val="0076273B"/>
    <w:rsid w:val="007700C5"/>
    <w:rsid w:val="0077185E"/>
    <w:rsid w:val="00771C58"/>
    <w:rsid w:val="007F028C"/>
    <w:rsid w:val="008246C2"/>
    <w:rsid w:val="00837EFA"/>
    <w:rsid w:val="0084108A"/>
    <w:rsid w:val="0084457B"/>
    <w:rsid w:val="008674F5"/>
    <w:rsid w:val="008A7C3F"/>
    <w:rsid w:val="008B703B"/>
    <w:rsid w:val="008C1A21"/>
    <w:rsid w:val="008E45C4"/>
    <w:rsid w:val="008F0141"/>
    <w:rsid w:val="00916796"/>
    <w:rsid w:val="00916FC3"/>
    <w:rsid w:val="00923D27"/>
    <w:rsid w:val="00961859"/>
    <w:rsid w:val="0096417B"/>
    <w:rsid w:val="0099004C"/>
    <w:rsid w:val="00A072EE"/>
    <w:rsid w:val="00A13C7E"/>
    <w:rsid w:val="00A205C7"/>
    <w:rsid w:val="00A27BFE"/>
    <w:rsid w:val="00A400CD"/>
    <w:rsid w:val="00AB384A"/>
    <w:rsid w:val="00AD7CB5"/>
    <w:rsid w:val="00AE1C76"/>
    <w:rsid w:val="00AE79BF"/>
    <w:rsid w:val="00AE7DA3"/>
    <w:rsid w:val="00AF43DA"/>
    <w:rsid w:val="00B37B4E"/>
    <w:rsid w:val="00B37D09"/>
    <w:rsid w:val="00B60BC5"/>
    <w:rsid w:val="00BA26C0"/>
    <w:rsid w:val="00BB05F1"/>
    <w:rsid w:val="00BC71CD"/>
    <w:rsid w:val="00BE107A"/>
    <w:rsid w:val="00BF28D9"/>
    <w:rsid w:val="00C2755E"/>
    <w:rsid w:val="00C27B98"/>
    <w:rsid w:val="00C80E05"/>
    <w:rsid w:val="00C8475B"/>
    <w:rsid w:val="00C86BC0"/>
    <w:rsid w:val="00CB05B3"/>
    <w:rsid w:val="00CC233F"/>
    <w:rsid w:val="00CD3514"/>
    <w:rsid w:val="00CE5B77"/>
    <w:rsid w:val="00D15A1A"/>
    <w:rsid w:val="00D15FC3"/>
    <w:rsid w:val="00D21535"/>
    <w:rsid w:val="00D2255E"/>
    <w:rsid w:val="00D33024"/>
    <w:rsid w:val="00D355C0"/>
    <w:rsid w:val="00DA042A"/>
    <w:rsid w:val="00DA078B"/>
    <w:rsid w:val="00DB7639"/>
    <w:rsid w:val="00DC2210"/>
    <w:rsid w:val="00DD0516"/>
    <w:rsid w:val="00DD7AE2"/>
    <w:rsid w:val="00DF2EA7"/>
    <w:rsid w:val="00E027A8"/>
    <w:rsid w:val="00E047FA"/>
    <w:rsid w:val="00E27245"/>
    <w:rsid w:val="00E40CDC"/>
    <w:rsid w:val="00E430CF"/>
    <w:rsid w:val="00E473FD"/>
    <w:rsid w:val="00E5250F"/>
    <w:rsid w:val="00E621FF"/>
    <w:rsid w:val="00E918CF"/>
    <w:rsid w:val="00EC0647"/>
    <w:rsid w:val="00ED3394"/>
    <w:rsid w:val="00EE0524"/>
    <w:rsid w:val="00F9059C"/>
    <w:rsid w:val="00F90E11"/>
    <w:rsid w:val="00FC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:contacts"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C798A"/>
  <w15:docId w15:val="{EAD232CA-9D70-4F7A-BCD0-B4E1C9822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locked="1" w:semiHidden="1" w:uiPriority="0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69F"/>
    <w:rPr>
      <w:rFonts w:ascii="Times New Roman" w:eastAsia="MS Mincho" w:hAnsi="Times New Roman"/>
      <w:sz w:val="24"/>
      <w:szCs w:val="24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uiPriority w:val="99"/>
    <w:rsid w:val="002A569F"/>
    <w:pPr>
      <w:jc w:val="center"/>
    </w:pPr>
    <w:rPr>
      <w:noProof/>
    </w:rPr>
  </w:style>
  <w:style w:type="character" w:customStyle="1" w:styleId="EndNoteBibliographyTitleCar">
    <w:name w:val="EndNote Bibliography Title Car"/>
    <w:basedOn w:val="Policepardfaut"/>
    <w:link w:val="EndNoteBibliographyTitle"/>
    <w:uiPriority w:val="99"/>
    <w:locked/>
    <w:rsid w:val="002A569F"/>
    <w:rPr>
      <w:rFonts w:ascii="Times New Roman" w:eastAsia="MS Mincho" w:hAnsi="Times New Roman" w:cs="Times New Roman"/>
      <w:noProof/>
      <w:sz w:val="24"/>
      <w:szCs w:val="24"/>
      <w:lang w:val="en-US" w:eastAsia="ja-JP"/>
    </w:rPr>
  </w:style>
  <w:style w:type="paragraph" w:customStyle="1" w:styleId="EndNoteBibliography">
    <w:name w:val="EndNote Bibliography"/>
    <w:basedOn w:val="Normal"/>
    <w:link w:val="EndNoteBibliographyCar"/>
    <w:uiPriority w:val="99"/>
    <w:rsid w:val="002A569F"/>
    <w:rPr>
      <w:noProof/>
    </w:rPr>
  </w:style>
  <w:style w:type="character" w:customStyle="1" w:styleId="EndNoteBibliographyCar">
    <w:name w:val="EndNote Bibliography Car"/>
    <w:basedOn w:val="Policepardfaut"/>
    <w:link w:val="EndNoteBibliography"/>
    <w:uiPriority w:val="99"/>
    <w:locked/>
    <w:rsid w:val="002A569F"/>
    <w:rPr>
      <w:rFonts w:ascii="Times New Roman" w:eastAsia="MS Mincho" w:hAnsi="Times New Roman" w:cs="Times New Roman"/>
      <w:noProof/>
      <w:sz w:val="24"/>
      <w:szCs w:val="24"/>
      <w:lang w:val="en-US" w:eastAsia="ja-JP"/>
    </w:rPr>
  </w:style>
  <w:style w:type="character" w:styleId="Lienhypertexte">
    <w:name w:val="Hyperlink"/>
    <w:basedOn w:val="Policepardfaut"/>
    <w:uiPriority w:val="99"/>
    <w:rsid w:val="002A569F"/>
    <w:rPr>
      <w:rFonts w:cs="Times New Roman"/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rsid w:val="00230731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230731"/>
    <w:rPr>
      <w:rFonts w:ascii="Lucida Grande" w:eastAsia="MS Mincho" w:hAnsi="Lucida Grande" w:cs="Lucida Grande"/>
      <w:sz w:val="18"/>
      <w:szCs w:val="18"/>
      <w:lang w:val="en-US" w:eastAsia="ja-JP"/>
    </w:rPr>
  </w:style>
  <w:style w:type="table" w:styleId="Tableauliste3">
    <w:name w:val="Table List 3"/>
    <w:basedOn w:val="TableauNormal"/>
    <w:uiPriority w:val="99"/>
    <w:rsid w:val="00385C62"/>
    <w:rPr>
      <w:rFonts w:ascii="Times New Roman" w:eastAsia="MS Mincho" w:hAnsi="Times New Roman"/>
      <w:sz w:val="20"/>
      <w:szCs w:val="20"/>
      <w:lang w:val="es-ES" w:eastAsia="es-E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rsid w:val="00D15A1A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D15A1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locked/>
    <w:rsid w:val="001C5383"/>
    <w:rPr>
      <w:rFonts w:ascii="Times New Roman" w:eastAsia="MS Mincho" w:hAnsi="Times New Roman" w:cs="Times New Roman"/>
      <w:sz w:val="20"/>
      <w:szCs w:val="20"/>
      <w:lang w:val="en-US"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0E53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1C5383"/>
    <w:rPr>
      <w:rFonts w:ascii="Times New Roman" w:eastAsia="MS Mincho" w:hAnsi="Times New Roman" w:cs="Times New Roman"/>
      <w:b/>
      <w:bCs/>
      <w:sz w:val="20"/>
      <w:szCs w:val="20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FC3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5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468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Supplementary Methods</vt:lpstr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Methods</dc:title>
  <dc:subject/>
  <dc:creator>Maxime Gauberti</dc:creator>
  <cp:keywords/>
  <dc:description/>
  <cp:lastModifiedBy>Fabian</cp:lastModifiedBy>
  <cp:revision>2</cp:revision>
  <cp:lastPrinted>2015-09-08T11:17:00Z</cp:lastPrinted>
  <dcterms:created xsi:type="dcterms:W3CDTF">2020-08-26T09:35:00Z</dcterms:created>
  <dcterms:modified xsi:type="dcterms:W3CDTF">2020-08-26T09:35:00Z</dcterms:modified>
</cp:coreProperties>
</file>