
<file path=[Content_Types].xml><?xml version="1.0" encoding="utf-8"?>
<Types xmlns="http://schemas.openxmlformats.org/package/2006/content-types">
  <Default Extension="bin" ContentType="application/vnd.openxmlformats-officedocument.oleObject"/>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0E4A77">
      <w:pPr>
        <w:widowControl/>
        <w:jc w:val="center"/>
        <w:rPr>
          <w:rFonts w:hint="eastAsia" w:ascii="Times New Roman" w:hAnsi="Times New Roman" w:eastAsia="宋体" w:cs="Times New Roman"/>
          <w:b/>
          <w:bCs/>
          <w:sz w:val="36"/>
          <w:szCs w:val="36"/>
        </w:rPr>
      </w:pPr>
      <w:r>
        <w:rPr>
          <w:rFonts w:ascii="Times New Roman" w:hAnsi="Times New Roman" w:eastAsia="宋体" w:cs="Times New Roman"/>
          <w:b/>
          <w:bCs/>
          <w:sz w:val="36"/>
          <w:szCs w:val="36"/>
        </w:rPr>
        <w:t>Appendix</w:t>
      </w:r>
    </w:p>
    <w:p w14:paraId="4650DA2E">
      <w:pPr>
        <w:numPr>
          <w:ilvl w:val="0"/>
          <w:numId w:val="1"/>
        </w:numPr>
        <w:spacing w:line="360" w:lineRule="auto"/>
        <w:jc w:val="both"/>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Detailed Supplement to the Methodology</w:t>
      </w:r>
    </w:p>
    <w:p w14:paraId="2066B6EA">
      <w:pPr>
        <w:spacing w:line="360" w:lineRule="auto"/>
        <w:jc w:val="both"/>
        <w:rPr>
          <w:rFonts w:hint="eastAsia" w:ascii="Times New Roman" w:hAnsi="Times New Roman" w:eastAsia="宋体" w:cs="Times New Roman"/>
          <w:sz w:val="21"/>
          <w:szCs w:val="21"/>
        </w:rPr>
      </w:pPr>
      <w:r>
        <w:rPr>
          <w:rFonts w:hint="eastAsia" w:ascii="Times New Roman" w:hAnsi="Times New Roman" w:eastAsia="宋体" w:cs="Times New Roman"/>
          <w:b/>
          <w:bCs/>
          <w:sz w:val="21"/>
          <w:szCs w:val="21"/>
          <w:lang w:val="en-US" w:eastAsia="zh-CN"/>
        </w:rPr>
        <w:t>1</w:t>
      </w:r>
      <w:r>
        <w:rPr>
          <w:rFonts w:hint="eastAsia" w:ascii="Times New Roman" w:hAnsi="Times New Roman" w:eastAsia="宋体" w:cs="Times New Roman"/>
          <w:b/>
          <w:bCs/>
          <w:sz w:val="21"/>
          <w:szCs w:val="21"/>
        </w:rPr>
        <w:t>.1 fsQCA</w:t>
      </w:r>
      <w:r>
        <w:rPr>
          <w:rFonts w:hint="eastAsia" w:ascii="Times New Roman" w:hAnsi="Times New Roman" w:eastAsia="宋体" w:cs="Times New Roman"/>
          <w:sz w:val="21"/>
          <w:szCs w:val="21"/>
        </w:rPr>
        <w:t xml:space="preserve"> </w:t>
      </w:r>
    </w:p>
    <w:p w14:paraId="0E9D0C8A">
      <w:pPr>
        <w:spacing w:after="0" w:line="360" w:lineRule="auto"/>
        <w:ind w:firstLine="420" w:firstLineChars="200"/>
        <w:jc w:val="both"/>
        <w:rPr>
          <w:rFonts w:hint="default" w:ascii="Times New Roman" w:hAnsi="Times New Roman" w:eastAsia="宋体" w:cs="Times New Roman"/>
          <w:sz w:val="21"/>
          <w:szCs w:val="21"/>
          <w14:ligatures w14:val="none"/>
        </w:rPr>
      </w:pPr>
      <w:r>
        <w:rPr>
          <w:rFonts w:hint="default" w:ascii="Times New Roman" w:hAnsi="Times New Roman" w:eastAsia="宋体" w:cs="Times New Roman"/>
          <w:sz w:val="21"/>
          <w:szCs w:val="21"/>
          <w14:ligatures w14:val="none"/>
        </w:rPr>
        <w:t>The QCA method was first proposed by Professor Ragin (Ragin, 2014), which views cases as combinations of conditions, going beyond the boundaries between qualitative and quantitative methods. It conducts comparative analysis at the case level to reveal the complex causal relationships between the combinations of conditions and the outcomes. The QCA method is particularly suitable for addressing three key aspects in this study:</w:t>
      </w:r>
    </w:p>
    <w:p w14:paraId="6325E0AF">
      <w:pPr>
        <w:spacing w:after="0" w:line="360" w:lineRule="auto"/>
        <w:ind w:firstLine="420" w:firstLineChars="200"/>
        <w:jc w:val="both"/>
        <w:rPr>
          <w:rFonts w:hint="default" w:ascii="Times New Roman" w:hAnsi="Times New Roman" w:eastAsia="宋体" w:cs="Times New Roman"/>
          <w:sz w:val="21"/>
          <w:szCs w:val="21"/>
          <w14:ligatures w14:val="none"/>
        </w:rPr>
      </w:pPr>
      <w:r>
        <w:rPr>
          <w:rFonts w:hint="default" w:ascii="Times New Roman" w:hAnsi="Times New Roman" w:eastAsia="宋体" w:cs="Times New Roman"/>
          <w:sz w:val="21"/>
          <w:szCs w:val="21"/>
          <w14:ligatures w14:val="none"/>
        </w:rPr>
        <w:t>First, as the previous analysis indicates, the elements in the business environment interact with each other, and their underlying logics are intertwined, affecting TIE. The QCA method focuses on analyzing the interdependencies and interactive effects of the antecedent conditions on the combined outcome (Ragin, 2014). It is particularly effective in explaining how the different configurations and coordination of institutional environments across regions influence the complex mechanisms of TIE.</w:t>
      </w:r>
    </w:p>
    <w:p w14:paraId="407A72CF">
      <w:pPr>
        <w:spacing w:after="0" w:line="360" w:lineRule="auto"/>
        <w:ind w:firstLine="420" w:firstLineChars="200"/>
        <w:jc w:val="both"/>
        <w:rPr>
          <w:rFonts w:hint="default" w:ascii="Times New Roman" w:hAnsi="Times New Roman" w:eastAsia="宋体" w:cs="Times New Roman"/>
          <w:sz w:val="21"/>
          <w:szCs w:val="21"/>
          <w14:ligatures w14:val="none"/>
        </w:rPr>
      </w:pPr>
      <w:r>
        <w:rPr>
          <w:rFonts w:hint="default" w:ascii="Times New Roman" w:hAnsi="Times New Roman" w:eastAsia="宋体" w:cs="Times New Roman"/>
          <w:sz w:val="21"/>
          <w:szCs w:val="21"/>
          <w14:ligatures w14:val="none"/>
        </w:rPr>
        <w:t>Second, the QCA method posits that antecedent conditions can lead to outcomes through various paths and different combinations, thereby revealing how elements work together to generate differentiated institutional ecologies (combinations of business environment ecosystems). This approach helps governments choose the appropriate development path based on the specific situation of the destination (Fiss, 2011).</w:t>
      </w:r>
    </w:p>
    <w:p w14:paraId="2661FC25">
      <w:pPr>
        <w:spacing w:after="0" w:line="360" w:lineRule="auto"/>
        <w:ind w:firstLine="420" w:firstLineChars="200"/>
        <w:jc w:val="both"/>
        <w:rPr>
          <w:rFonts w:hint="default" w:ascii="Times New Roman" w:hAnsi="Times New Roman" w:eastAsia="宋体" w:cs="Times New Roman"/>
          <w:sz w:val="21"/>
          <w:szCs w:val="21"/>
          <w14:ligatures w14:val="none"/>
        </w:rPr>
      </w:pPr>
      <w:r>
        <w:rPr>
          <w:rFonts w:hint="default" w:ascii="Times New Roman" w:hAnsi="Times New Roman" w:eastAsia="宋体" w:cs="Times New Roman"/>
          <w:sz w:val="21"/>
          <w:szCs w:val="21"/>
          <w14:ligatures w14:val="none"/>
        </w:rPr>
        <w:t>Third, the QCA method adheres to the concept that “cases are wholes composed of antecedent conditions,” maintaining the advantages of case study thinking while conducting comparative analysis at the case level (Ragin, 2014), ensuring the practicality and external applicability of the research conclusions.</w:t>
      </w:r>
    </w:p>
    <w:p w14:paraId="2446EB1F">
      <w:pPr>
        <w:spacing w:after="0" w:line="360" w:lineRule="auto"/>
        <w:ind w:firstLine="420" w:firstLineChars="200"/>
        <w:jc w:val="both"/>
        <w:rPr>
          <w:rFonts w:hint="default" w:ascii="Times New Roman" w:hAnsi="Times New Roman" w:eastAsia="宋体" w:cs="Times New Roman"/>
          <w:sz w:val="21"/>
          <w:szCs w:val="21"/>
          <w14:ligatures w14:val="none"/>
        </w:rPr>
      </w:pPr>
      <w:r>
        <w:rPr>
          <w:rFonts w:hint="default" w:ascii="Times New Roman" w:hAnsi="Times New Roman" w:eastAsia="宋体" w:cs="Times New Roman"/>
          <w:sz w:val="21"/>
          <w:szCs w:val="21"/>
          <w14:ligatures w14:val="none"/>
        </w:rPr>
        <w:t>We used fsQCA 3.0 (www.compasss.org) for the analysis, with the following steps: First, variable calibration considered three thresholds (fully consistent, crossover point, and fully inconsistent), and the calibration values ranged from [0,1]. Second, the necessity analysis used Boolean algebra to estimate consistency and coverage, focusing on whether researchers need to pay attention to specific combinations; coverage indicates the importance of a combination. If the consistency index ≥ 0.9, the condition is considered necessary. In the necessity analysis, the consistency and coverage indices are based on the following formulas:</w:t>
      </w:r>
    </w:p>
    <w:p w14:paraId="4FB6CB11">
      <w:pPr>
        <w:widowControl w:val="0"/>
        <w:tabs>
          <w:tab w:val="center" w:pos="4160"/>
          <w:tab w:val="right" w:pos="8300"/>
        </w:tabs>
        <w:spacing w:after="0" w:line="360" w:lineRule="auto"/>
        <w:jc w:val="both"/>
        <w:rPr>
          <w:rFonts w:ascii="Times New Roman" w:hAnsi="Times New Roman" w:eastAsia="宋体" w:cs="Times New Roman"/>
          <w:kern w:val="2"/>
          <w:sz w:val="21"/>
          <w:szCs w:val="21"/>
          <w:lang w:val="en-US" w:eastAsia="zh-CN" w:bidi="ar-SA"/>
          <w14:ligatures w14:val="none"/>
        </w:rPr>
      </w:pPr>
      <w:r>
        <w:rPr>
          <w:rFonts w:ascii="Times New Roman" w:hAnsi="Times New Roman" w:eastAsia="宋体" w:cs="Times New Roman"/>
          <w:kern w:val="2"/>
          <w:sz w:val="21"/>
          <w:szCs w:val="21"/>
          <w:lang w:val="en-US" w:eastAsia="zh-CN" w:bidi="ar-SA"/>
          <w14:ligatures w14:val="none"/>
        </w:rPr>
        <w:tab/>
      </w:r>
      <w:r>
        <w:rPr>
          <w:rFonts w:ascii="Times New Roman" w:hAnsi="Times New Roman" w:eastAsia="宋体" w:cs="Times New Roman"/>
          <w:kern w:val="2"/>
          <w:sz w:val="21"/>
          <w:szCs w:val="21"/>
          <w:lang w:val="en-US" w:eastAsia="zh-CN" w:bidi="ar-SA"/>
          <w14:ligatures w14:val="none"/>
        </w:rPr>
        <w:object>
          <v:shape id="_x0000_i1025" o:spt="75" type="#_x0000_t75" style="height:34.95pt;width:169.05pt;" o:ole="t" filled="f" o:preferrelative="t" stroked="f" coordsize="21600,21600">
            <v:path/>
            <v:fill on="f" focussize="0,0"/>
            <v:stroke on="f" joinstyle="miter"/>
            <v:imagedata r:id="rId7" o:title=""/>
            <o:lock v:ext="edit" aspectratio="t"/>
            <w10:wrap type="none"/>
            <w10:anchorlock/>
          </v:shape>
          <o:OLEObject Type="Embed" ProgID="Equation.DSMT4" ShapeID="_x0000_i1025" DrawAspect="Content" ObjectID="_1468075725" r:id="rId6">
            <o:LockedField>false</o:LockedField>
          </o:OLEObject>
        </w:object>
      </w:r>
      <w:r>
        <w:rPr>
          <w:rFonts w:ascii="Times New Roman" w:hAnsi="Times New Roman" w:eastAsia="宋体" w:cs="Times New Roman"/>
          <w:kern w:val="2"/>
          <w:sz w:val="21"/>
          <w:szCs w:val="21"/>
          <w:lang w:val="en-US" w:eastAsia="zh-CN" w:bidi="ar-SA"/>
          <w14:ligatures w14:val="none"/>
        </w:rPr>
        <w:tab/>
      </w:r>
      <w:r>
        <w:rPr>
          <w:rFonts w:ascii="Times New Roman" w:hAnsi="Times New Roman" w:eastAsia="宋体" w:cs="Times New Roman"/>
          <w:kern w:val="2"/>
          <w:sz w:val="21"/>
          <w:szCs w:val="21"/>
          <w:lang w:val="en-US" w:eastAsia="zh-CN" w:bidi="ar-SA"/>
          <w14:ligatures w14:val="none"/>
        </w:rPr>
        <w:t>(</w:t>
      </w:r>
      <w:r>
        <w:rPr>
          <w:rFonts w:hint="eastAsia" w:ascii="Times New Roman" w:hAnsi="Times New Roman" w:eastAsia="宋体" w:cs="Times New Roman"/>
          <w:kern w:val="2"/>
          <w:sz w:val="21"/>
          <w:szCs w:val="21"/>
          <w:lang w:val="en-US" w:eastAsia="zh-CN" w:bidi="ar-SA"/>
          <w14:ligatures w14:val="none"/>
        </w:rPr>
        <w:t>1</w:t>
      </w:r>
      <w:r>
        <w:rPr>
          <w:rFonts w:ascii="Times New Roman" w:hAnsi="Times New Roman" w:eastAsia="宋体" w:cs="Times New Roman"/>
          <w:kern w:val="2"/>
          <w:sz w:val="21"/>
          <w:szCs w:val="21"/>
          <w:lang w:val="en-US" w:eastAsia="zh-CN" w:bidi="ar-SA"/>
          <w14:ligatures w14:val="none"/>
        </w:rPr>
        <w:t>)</w:t>
      </w:r>
    </w:p>
    <w:p w14:paraId="32993DF8">
      <w:pPr>
        <w:widowControl w:val="0"/>
        <w:tabs>
          <w:tab w:val="center" w:pos="4160"/>
          <w:tab w:val="right" w:pos="8300"/>
        </w:tabs>
        <w:spacing w:after="0" w:line="360" w:lineRule="auto"/>
        <w:jc w:val="both"/>
        <w:rPr>
          <w:rFonts w:ascii="Times New Roman" w:hAnsi="Times New Roman" w:eastAsia="宋体" w:cs="Times New Roman"/>
          <w:kern w:val="2"/>
          <w:sz w:val="21"/>
          <w:szCs w:val="21"/>
          <w:lang w:val="en-US" w:eastAsia="zh-CN" w:bidi="ar-SA"/>
          <w14:ligatures w14:val="none"/>
        </w:rPr>
      </w:pPr>
      <w:r>
        <w:rPr>
          <w:rFonts w:ascii="Times New Roman" w:hAnsi="Times New Roman" w:eastAsia="宋体" w:cs="Times New Roman"/>
          <w:kern w:val="2"/>
          <w:sz w:val="21"/>
          <w:szCs w:val="21"/>
          <w:lang w:val="en-US" w:eastAsia="zh-CN" w:bidi="ar-SA"/>
          <w14:ligatures w14:val="none"/>
        </w:rPr>
        <w:tab/>
      </w:r>
      <w:r>
        <w:rPr>
          <w:rFonts w:ascii="Times New Roman" w:hAnsi="Times New Roman" w:eastAsia="宋体" w:cs="Times New Roman"/>
          <w:kern w:val="2"/>
          <w:sz w:val="21"/>
          <w:szCs w:val="21"/>
          <w:lang w:val="en-US" w:eastAsia="zh-CN" w:bidi="ar-SA"/>
          <w14:ligatures w14:val="none"/>
        </w:rPr>
        <w:object>
          <v:shape id="_x0000_i1026" o:spt="75" type="#_x0000_t75" style="height:34.95pt;width:159.1pt;" o:ole="t" filled="f" o:preferrelative="t" stroked="f" coordsize="21600,21600">
            <v:path/>
            <v:fill on="f" focussize="0,0"/>
            <v:stroke on="f" joinstyle="miter"/>
            <v:imagedata r:id="rId9" o:title=""/>
            <o:lock v:ext="edit" aspectratio="t"/>
            <w10:wrap type="none"/>
            <w10:anchorlock/>
          </v:shape>
          <o:OLEObject Type="Embed" ProgID="Equation.DSMT4" ShapeID="_x0000_i1026" DrawAspect="Content" ObjectID="_1468075726" r:id="rId8">
            <o:LockedField>false</o:LockedField>
          </o:OLEObject>
        </w:object>
      </w:r>
      <w:r>
        <w:rPr>
          <w:rFonts w:ascii="Times New Roman" w:hAnsi="Times New Roman" w:eastAsia="宋体" w:cs="Times New Roman"/>
          <w:kern w:val="2"/>
          <w:sz w:val="21"/>
          <w:szCs w:val="21"/>
          <w:lang w:val="en-US" w:eastAsia="zh-CN" w:bidi="ar-SA"/>
          <w14:ligatures w14:val="none"/>
        </w:rPr>
        <w:tab/>
      </w:r>
      <w:r>
        <w:rPr>
          <w:rFonts w:ascii="Times New Roman" w:hAnsi="Times New Roman" w:eastAsia="宋体" w:cs="Times New Roman"/>
          <w:kern w:val="2"/>
          <w:sz w:val="21"/>
          <w:szCs w:val="21"/>
          <w:lang w:val="en-US" w:eastAsia="zh-CN" w:bidi="ar-SA"/>
          <w14:ligatures w14:val="none"/>
        </w:rPr>
        <w:t>(</w:t>
      </w:r>
      <w:r>
        <w:rPr>
          <w:rFonts w:hint="eastAsia" w:ascii="Times New Roman" w:hAnsi="Times New Roman" w:eastAsia="宋体" w:cs="Times New Roman"/>
          <w:kern w:val="2"/>
          <w:sz w:val="21"/>
          <w:szCs w:val="21"/>
          <w:lang w:val="en-US" w:eastAsia="zh-CN" w:bidi="ar-SA"/>
          <w14:ligatures w14:val="none"/>
        </w:rPr>
        <w:t>2</w:t>
      </w:r>
      <w:r>
        <w:rPr>
          <w:rFonts w:ascii="Times New Roman" w:hAnsi="Times New Roman" w:eastAsia="宋体" w:cs="Times New Roman"/>
          <w:kern w:val="2"/>
          <w:sz w:val="21"/>
          <w:szCs w:val="21"/>
          <w:lang w:val="en-US" w:eastAsia="zh-CN" w:bidi="ar-SA"/>
          <w14:ligatures w14:val="none"/>
        </w:rPr>
        <w:t>)</w:t>
      </w:r>
    </w:p>
    <w:p w14:paraId="3BEB110F">
      <w:pPr>
        <w:spacing w:after="0" w:line="360" w:lineRule="auto"/>
        <w:jc w:val="both"/>
        <w:rPr>
          <w:rFonts w:ascii="Times New Roman" w:hAnsi="Times New Roman" w:eastAsia="等线" w:cs="Times New Roman"/>
          <w:sz w:val="21"/>
          <w:szCs w:val="21"/>
          <w14:ligatures w14:val="none"/>
        </w:rPr>
      </w:pPr>
      <w:r>
        <w:rPr>
          <w:rFonts w:ascii="Times New Roman" w:hAnsi="Times New Roman" w:eastAsia="等线" w:cs="Times New Roman"/>
          <w:sz w:val="21"/>
          <w:szCs w:val="21"/>
          <w14:ligatures w14:val="none"/>
        </w:rPr>
        <w:t xml:space="preserve">Where </w:t>
      </w:r>
      <w:r>
        <w:rPr>
          <w:rFonts w:ascii="Times New Roman" w:hAnsi="Times New Roman" w:eastAsia="等线" w:cs="Times New Roman"/>
          <w:i/>
          <w:iCs/>
          <w:sz w:val="21"/>
          <w:szCs w:val="21"/>
          <w14:ligatures w14:val="none"/>
        </w:rPr>
        <w:t>X</w:t>
      </w:r>
      <w:r>
        <w:rPr>
          <w:rFonts w:ascii="Times New Roman" w:hAnsi="Times New Roman" w:eastAsia="等线" w:cs="Times New Roman"/>
          <w:i/>
          <w:iCs/>
          <w:sz w:val="21"/>
          <w:szCs w:val="21"/>
          <w:vertAlign w:val="subscript"/>
          <w14:ligatures w14:val="none"/>
        </w:rPr>
        <w:t>i</w:t>
      </w:r>
      <w:r>
        <w:rPr>
          <w:rFonts w:ascii="Times New Roman" w:hAnsi="Times New Roman" w:eastAsia="等线" w:cs="Times New Roman"/>
          <w:sz w:val="21"/>
          <w:szCs w:val="21"/>
          <w14:ligatures w14:val="none"/>
        </w:rPr>
        <w:t xml:space="preserve"> is the calibrated antecedent condition, and </w:t>
      </w:r>
      <w:r>
        <w:rPr>
          <w:rFonts w:ascii="Times New Roman" w:hAnsi="Times New Roman" w:eastAsia="等线" w:cs="Times New Roman"/>
          <w:i/>
          <w:iCs/>
          <w:sz w:val="21"/>
          <w:szCs w:val="21"/>
          <w14:ligatures w14:val="none"/>
        </w:rPr>
        <w:t>Y</w:t>
      </w:r>
      <w:r>
        <w:rPr>
          <w:rFonts w:ascii="Times New Roman" w:hAnsi="Times New Roman" w:eastAsia="等线" w:cs="Times New Roman"/>
          <w:i/>
          <w:iCs/>
          <w:sz w:val="21"/>
          <w:szCs w:val="21"/>
          <w:vertAlign w:val="subscript"/>
          <w14:ligatures w14:val="none"/>
        </w:rPr>
        <w:t>i</w:t>
      </w:r>
      <w:r>
        <w:rPr>
          <w:rFonts w:ascii="Times New Roman" w:hAnsi="Times New Roman" w:eastAsia="等线" w:cs="Times New Roman"/>
          <w:sz w:val="21"/>
          <w:szCs w:val="21"/>
          <w14:ligatures w14:val="none"/>
        </w:rPr>
        <w:t xml:space="preserve"> is calibrated outcome condition for unit</w:t>
      </w:r>
      <w:r>
        <w:rPr>
          <w:rFonts w:ascii="Times New Roman" w:hAnsi="Times New Roman" w:eastAsia="等线" w:cs="Times New Roman"/>
          <w:i/>
          <w:iCs/>
          <w:sz w:val="21"/>
          <w:szCs w:val="21"/>
          <w14:ligatures w14:val="none"/>
        </w:rPr>
        <w:t xml:space="preserve"> i</w:t>
      </w:r>
      <w:r>
        <w:rPr>
          <w:rFonts w:ascii="Times New Roman" w:hAnsi="Times New Roman" w:eastAsia="等线" w:cs="Times New Roman"/>
          <w:sz w:val="21"/>
          <w:szCs w:val="21"/>
          <w14:ligatures w14:val="none"/>
        </w:rPr>
        <w:t>.</w:t>
      </w:r>
    </w:p>
    <w:p w14:paraId="43FA4E9B">
      <w:pPr>
        <w:spacing w:after="0" w:line="360" w:lineRule="auto"/>
        <w:ind w:firstLine="420" w:firstLineChars="200"/>
        <w:jc w:val="both"/>
        <w:rPr>
          <w:rFonts w:ascii="Times New Roman" w:hAnsi="Times New Roman" w:eastAsia="等线" w:cs="Times New Roman"/>
          <w:sz w:val="21"/>
          <w:szCs w:val="21"/>
          <w14:ligatures w14:val="none"/>
        </w:rPr>
      </w:pPr>
      <w:r>
        <w:rPr>
          <w:rFonts w:ascii="Times New Roman" w:hAnsi="Times New Roman" w:eastAsia="等线" w:cs="Times New Roman"/>
          <w:sz w:val="21"/>
          <w:szCs w:val="21"/>
          <w14:ligatures w14:val="none"/>
        </w:rPr>
        <w:t>Third, It</w:t>
      </w:r>
      <w:r>
        <w:rPr>
          <w:rFonts w:hint="eastAsia" w:ascii="Times New Roman" w:hAnsi="Times New Roman" w:eastAsia="等线" w:cs="Times New Roman"/>
          <w:sz w:val="21"/>
          <w:szCs w:val="21"/>
          <w14:ligatures w14:val="none"/>
        </w:rPr>
        <w:t xml:space="preserve"> </w:t>
      </w:r>
      <w:r>
        <w:rPr>
          <w:rFonts w:ascii="Times New Roman" w:hAnsi="Times New Roman" w:eastAsia="等线" w:cs="Times New Roman"/>
          <w:sz w:val="21"/>
          <w:szCs w:val="21"/>
          <w14:ligatures w14:val="none"/>
        </w:rPr>
        <w:t>constructed a truth table, providing all logical configurations among causal conditions and results with associated evidence levels. Finally, sufficient configurations were determined using Boolean minimization and the Quine-McCluskey algorithm. For the sufficiency analysis, the consistency and coverage index is based on the following formula:</w:t>
      </w:r>
    </w:p>
    <w:p w14:paraId="74A66832">
      <w:pPr>
        <w:widowControl w:val="0"/>
        <w:tabs>
          <w:tab w:val="center" w:pos="4160"/>
          <w:tab w:val="right" w:pos="8300"/>
        </w:tabs>
        <w:spacing w:after="0" w:line="360" w:lineRule="auto"/>
        <w:jc w:val="both"/>
        <w:rPr>
          <w:rFonts w:ascii="Times New Roman" w:hAnsi="Times New Roman" w:eastAsia="宋体" w:cs="Times New Roman"/>
          <w:kern w:val="2"/>
          <w:sz w:val="21"/>
          <w:szCs w:val="21"/>
          <w:lang w:val="en-US" w:eastAsia="zh-CN" w:bidi="ar-SA"/>
          <w14:ligatures w14:val="none"/>
        </w:rPr>
      </w:pPr>
      <w:r>
        <w:rPr>
          <w:rFonts w:ascii="Times New Roman" w:hAnsi="Times New Roman" w:eastAsia="宋体" w:cs="Times New Roman"/>
          <w:kern w:val="2"/>
          <w:sz w:val="21"/>
          <w:szCs w:val="21"/>
          <w:lang w:val="en-US" w:eastAsia="zh-CN" w:bidi="ar-SA"/>
          <w14:ligatures w14:val="none"/>
        </w:rPr>
        <w:tab/>
      </w:r>
      <w:r>
        <w:rPr>
          <w:rFonts w:ascii="Times New Roman" w:hAnsi="Times New Roman" w:eastAsia="宋体" w:cs="Times New Roman"/>
          <w:kern w:val="2"/>
          <w:sz w:val="21"/>
          <w:szCs w:val="21"/>
          <w:lang w:val="en-US" w:eastAsia="zh-CN" w:bidi="ar-SA"/>
          <w14:ligatures w14:val="none"/>
        </w:rPr>
        <w:object>
          <v:shape id="_x0000_i1027" o:spt="75" type="#_x0000_t75" style="height:34.95pt;width:169.05pt;" o:ole="t" filled="f" o:preferrelative="t" stroked="f" coordsize="21600,21600">
            <v:path/>
            <v:fill on="f" focussize="0,0"/>
            <v:stroke on="f" joinstyle="miter"/>
            <v:imagedata r:id="rId11" o:title=""/>
            <o:lock v:ext="edit" aspectratio="t"/>
            <w10:wrap type="none"/>
            <w10:anchorlock/>
          </v:shape>
          <o:OLEObject Type="Embed" ProgID="Equation.DSMT4" ShapeID="_x0000_i1027" DrawAspect="Content" ObjectID="_1468075727" r:id="rId10">
            <o:LockedField>false</o:LockedField>
          </o:OLEObject>
        </w:object>
      </w:r>
      <w:r>
        <w:rPr>
          <w:rFonts w:ascii="Times New Roman" w:hAnsi="Times New Roman" w:eastAsia="宋体" w:cs="Times New Roman"/>
          <w:kern w:val="2"/>
          <w:sz w:val="21"/>
          <w:szCs w:val="21"/>
          <w:lang w:val="en-US" w:eastAsia="zh-CN" w:bidi="ar-SA"/>
          <w14:ligatures w14:val="none"/>
        </w:rPr>
        <w:tab/>
      </w:r>
      <w:r>
        <w:rPr>
          <w:rFonts w:ascii="Times New Roman" w:hAnsi="Times New Roman" w:eastAsia="宋体" w:cs="Times New Roman"/>
          <w:kern w:val="2"/>
          <w:sz w:val="21"/>
          <w:szCs w:val="21"/>
          <w:lang w:val="en-US" w:eastAsia="zh-CN" w:bidi="ar-SA"/>
          <w14:ligatures w14:val="none"/>
        </w:rPr>
        <w:t>(</w:t>
      </w:r>
      <w:r>
        <w:rPr>
          <w:rFonts w:hint="eastAsia" w:ascii="Times New Roman" w:hAnsi="Times New Roman" w:eastAsia="宋体" w:cs="Times New Roman"/>
          <w:kern w:val="2"/>
          <w:sz w:val="21"/>
          <w:szCs w:val="21"/>
          <w:lang w:val="en-US" w:eastAsia="zh-CN" w:bidi="ar-SA"/>
          <w14:ligatures w14:val="none"/>
        </w:rPr>
        <w:t>3</w:t>
      </w:r>
      <w:r>
        <w:rPr>
          <w:rFonts w:ascii="Times New Roman" w:hAnsi="Times New Roman" w:eastAsia="宋体" w:cs="Times New Roman"/>
          <w:kern w:val="2"/>
          <w:sz w:val="21"/>
          <w:szCs w:val="21"/>
          <w:lang w:val="en-US" w:eastAsia="zh-CN" w:bidi="ar-SA"/>
          <w14:ligatures w14:val="none"/>
        </w:rPr>
        <w:t>)</w:t>
      </w:r>
    </w:p>
    <w:p w14:paraId="2EF848D7">
      <w:pPr>
        <w:widowControl w:val="0"/>
        <w:tabs>
          <w:tab w:val="center" w:pos="4160"/>
          <w:tab w:val="right" w:pos="8300"/>
        </w:tabs>
        <w:spacing w:after="0" w:line="360" w:lineRule="auto"/>
        <w:jc w:val="both"/>
        <w:rPr>
          <w:rFonts w:ascii="Times New Roman" w:hAnsi="Times New Roman" w:eastAsia="宋体" w:cs="Times New Roman"/>
          <w:kern w:val="2"/>
          <w:sz w:val="21"/>
          <w:szCs w:val="21"/>
          <w:lang w:val="en-US" w:eastAsia="zh-CN" w:bidi="ar-SA"/>
          <w14:ligatures w14:val="none"/>
        </w:rPr>
      </w:pPr>
      <w:r>
        <w:rPr>
          <w:rFonts w:ascii="Times New Roman" w:hAnsi="Times New Roman" w:eastAsia="宋体" w:cs="Times New Roman"/>
          <w:kern w:val="2"/>
          <w:sz w:val="21"/>
          <w:szCs w:val="21"/>
          <w:lang w:val="en-US" w:eastAsia="zh-CN" w:bidi="ar-SA"/>
          <w14:ligatures w14:val="none"/>
        </w:rPr>
        <w:tab/>
      </w:r>
      <w:r>
        <w:rPr>
          <w:rFonts w:ascii="Times New Roman" w:hAnsi="Times New Roman" w:eastAsia="宋体" w:cs="Times New Roman"/>
          <w:kern w:val="2"/>
          <w:sz w:val="21"/>
          <w:szCs w:val="21"/>
          <w:lang w:val="en-US" w:eastAsia="zh-CN" w:bidi="ar-SA"/>
          <w14:ligatures w14:val="none"/>
        </w:rPr>
        <w:object>
          <v:shape id="_x0000_i1028" o:spt="75" type="#_x0000_t75" style="height:34.95pt;width:159.1pt;" o:ole="t" filled="f" o:preferrelative="t" stroked="f" coordsize="21600,21600">
            <v:path/>
            <v:fill on="f" focussize="0,0"/>
            <v:stroke on="f" joinstyle="miter"/>
            <v:imagedata r:id="rId13" o:title=""/>
            <o:lock v:ext="edit" aspectratio="t"/>
            <w10:wrap type="none"/>
            <w10:anchorlock/>
          </v:shape>
          <o:OLEObject Type="Embed" ProgID="Equation.DSMT4" ShapeID="_x0000_i1028" DrawAspect="Content" ObjectID="_1468075728" r:id="rId12">
            <o:LockedField>false</o:LockedField>
          </o:OLEObject>
        </w:object>
      </w:r>
      <w:r>
        <w:rPr>
          <w:rFonts w:ascii="Times New Roman" w:hAnsi="Times New Roman" w:eastAsia="宋体" w:cs="Times New Roman"/>
          <w:kern w:val="2"/>
          <w:sz w:val="21"/>
          <w:szCs w:val="21"/>
          <w:lang w:val="en-US" w:eastAsia="zh-CN" w:bidi="ar-SA"/>
          <w14:ligatures w14:val="none"/>
        </w:rPr>
        <w:tab/>
      </w:r>
      <w:r>
        <w:rPr>
          <w:rFonts w:ascii="Times New Roman" w:hAnsi="Times New Roman" w:eastAsia="宋体" w:cs="Times New Roman"/>
          <w:kern w:val="2"/>
          <w:sz w:val="21"/>
          <w:szCs w:val="21"/>
          <w:lang w:val="en-US" w:eastAsia="zh-CN" w:bidi="ar-SA"/>
          <w14:ligatures w14:val="none"/>
        </w:rPr>
        <w:t>(</w:t>
      </w:r>
      <w:r>
        <w:rPr>
          <w:rFonts w:hint="eastAsia" w:ascii="Times New Roman" w:hAnsi="Times New Roman" w:eastAsia="宋体" w:cs="Times New Roman"/>
          <w:kern w:val="2"/>
          <w:sz w:val="21"/>
          <w:szCs w:val="21"/>
          <w:lang w:val="en-US" w:eastAsia="zh-CN" w:bidi="ar-SA"/>
          <w14:ligatures w14:val="none"/>
        </w:rPr>
        <w:t>4</w:t>
      </w:r>
      <w:r>
        <w:rPr>
          <w:rFonts w:ascii="Times New Roman" w:hAnsi="Times New Roman" w:eastAsia="宋体" w:cs="Times New Roman"/>
          <w:kern w:val="2"/>
          <w:sz w:val="21"/>
          <w:szCs w:val="21"/>
          <w:lang w:val="en-US" w:eastAsia="zh-CN" w:bidi="ar-SA"/>
          <w14:ligatures w14:val="none"/>
        </w:rPr>
        <w:t>)</w:t>
      </w:r>
    </w:p>
    <w:p w14:paraId="1F19D260">
      <w:pPr>
        <w:keepNext/>
        <w:keepLines/>
        <w:widowControl w:val="0"/>
        <w:spacing w:after="0" w:line="360" w:lineRule="auto"/>
        <w:jc w:val="both"/>
        <w:outlineLvl w:val="0"/>
        <w:rPr>
          <w:rFonts w:hint="default" w:ascii="Times New Roman" w:hAnsi="Times New Roman" w:eastAsia="黑体" w:cs="Times New Roman"/>
          <w:b/>
          <w:bCs w:val="0"/>
          <w:kern w:val="44"/>
          <w:sz w:val="21"/>
          <w:szCs w:val="21"/>
          <w:lang w:val="en-US" w:eastAsia="zh-CN" w:bidi="ar-SA"/>
          <w14:ligatures w14:val="none"/>
        </w:rPr>
      </w:pPr>
      <w:r>
        <w:rPr>
          <w:rFonts w:ascii="Times New Roman" w:hAnsi="Times New Roman" w:eastAsia="等线" w:cs="Times New Roman"/>
          <w:sz w:val="21"/>
          <w:szCs w:val="21"/>
          <w14:ligatures w14:val="none"/>
        </w:rPr>
        <w:t xml:space="preserve">Where </w:t>
      </w:r>
      <w:r>
        <w:rPr>
          <w:rFonts w:ascii="Times New Roman" w:hAnsi="Times New Roman" w:eastAsia="等线" w:cs="Times New Roman"/>
          <w:i/>
          <w:iCs/>
          <w:sz w:val="21"/>
          <w:szCs w:val="21"/>
          <w14:ligatures w14:val="none"/>
        </w:rPr>
        <w:t>X</w:t>
      </w:r>
      <w:r>
        <w:rPr>
          <w:rFonts w:ascii="Times New Roman" w:hAnsi="Times New Roman" w:eastAsia="等线" w:cs="Times New Roman"/>
          <w:i/>
          <w:iCs/>
          <w:sz w:val="21"/>
          <w:szCs w:val="21"/>
          <w:vertAlign w:val="subscript"/>
          <w14:ligatures w14:val="none"/>
        </w:rPr>
        <w:t xml:space="preserve">i </w:t>
      </w:r>
      <w:r>
        <w:rPr>
          <w:rFonts w:ascii="Times New Roman" w:hAnsi="Times New Roman" w:eastAsia="等线" w:cs="Times New Roman"/>
          <w:sz w:val="21"/>
          <w:szCs w:val="21"/>
          <w14:ligatures w14:val="none"/>
        </w:rPr>
        <w:t xml:space="preserve">is the calibrated antecedent condition, and </w:t>
      </w:r>
      <w:r>
        <w:rPr>
          <w:rFonts w:ascii="Times New Roman" w:hAnsi="Times New Roman" w:eastAsia="等线" w:cs="Times New Roman"/>
          <w:i/>
          <w:iCs/>
          <w:sz w:val="21"/>
          <w:szCs w:val="21"/>
          <w14:ligatures w14:val="none"/>
        </w:rPr>
        <w:t>Y</w:t>
      </w:r>
      <w:r>
        <w:rPr>
          <w:rFonts w:ascii="Times New Roman" w:hAnsi="Times New Roman" w:eastAsia="等线" w:cs="Times New Roman"/>
          <w:i/>
          <w:iCs/>
          <w:sz w:val="21"/>
          <w:szCs w:val="21"/>
          <w:vertAlign w:val="subscript"/>
          <w14:ligatures w14:val="none"/>
        </w:rPr>
        <w:t>i</w:t>
      </w:r>
      <w:r>
        <w:rPr>
          <w:rFonts w:ascii="Times New Roman" w:hAnsi="Times New Roman" w:eastAsia="等线" w:cs="Times New Roman"/>
          <w:sz w:val="21"/>
          <w:szCs w:val="21"/>
          <w14:ligatures w14:val="none"/>
        </w:rPr>
        <w:t xml:space="preserve"> is calibrated outcome condition for unit </w:t>
      </w:r>
      <w:r>
        <w:rPr>
          <w:rFonts w:ascii="Times New Roman" w:hAnsi="Times New Roman" w:eastAsia="等线" w:cs="Times New Roman"/>
          <w:i/>
          <w:iCs/>
          <w:sz w:val="21"/>
          <w:szCs w:val="21"/>
          <w14:ligatures w14:val="none"/>
        </w:rPr>
        <w:t>i</w:t>
      </w:r>
    </w:p>
    <w:p w14:paraId="56132B0A">
      <w:pPr>
        <w:spacing w:line="360" w:lineRule="auto"/>
        <w:jc w:val="both"/>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1.2 NCA</w:t>
      </w:r>
    </w:p>
    <w:p w14:paraId="324736EA">
      <w:pPr>
        <w:spacing w:line="360" w:lineRule="auto"/>
        <w:ind w:firstLine="420" w:firstLineChars="200"/>
        <w:jc w:val="both"/>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Necessity and sufficiency are emerging explanations for causal relationships. Necessity in causal relationships implies that without a certain cause, the result will not occur. Sufficiency in causal relationships means that the combination of certain causal conditions leads to a particular outcome (Dul, 2016). FsQCA tests only the actual necessity relationships, while NCA assesses the degree of necessity, reflecting to what extent a condition is a necessary requirement for a certain outcome (Vis and Dul, 2018). In NCA, an upper limit line is drawn at the top of the XY scatter plot, with an empty space in the upper left corner indicating that lower X values cannot achieve higher Y values. According to Dul (2016) and Torres and Godinho (2022) (Torres and Godinho, 2022), the effect size d is the percentage of the potential area observed above the upper limit line. D equals C/S, where C is the size of the upper limit area, and S is the size of the potential area of observations.fsQCA can identify necessary relationships, but it only qualitatively states whether a condition is necessary for an outcome, without quantifying the degree of necessity, that is, "to what extent a condition is necessary for an outcome." Particularly for fuzzy sets, where variations include not just “yes” or “no” but also detailed membership scores, NCA provides the potential to address this. QCA defines necessity using Boolean algebra only "in kind" (X is necessary for Y), while NCA defines necessity using linear algebra "in kind" and "in degree" (X level is necessary for Y level). Typically, NCA identifies more necessary conditions than QCA. Dül (2016a) has revealed that NCA and QCA are two independent but complementary research methods, highlighting the differences between NCA and fsQCA.</w:t>
      </w:r>
    </w:p>
    <w:p w14:paraId="150EB25E">
      <w:pPr>
        <w:spacing w:line="360" w:lineRule="auto"/>
        <w:jc w:val="both"/>
        <w:rPr>
          <w:rFonts w:ascii="Times New Roman" w:hAnsi="Times New Roman" w:eastAsia="宋体" w:cs="Times New Roman"/>
          <w:b/>
          <w:bCs/>
          <w:sz w:val="21"/>
          <w:szCs w:val="21"/>
          <w14:ligatures w14:val="none"/>
        </w:rPr>
      </w:pPr>
      <w:r>
        <w:rPr>
          <w:rFonts w:hint="eastAsia" w:ascii="Times New Roman" w:hAnsi="Times New Roman" w:eastAsia="宋体" w:cs="Times New Roman"/>
          <w:b/>
          <w:bCs/>
          <w:sz w:val="21"/>
          <w:szCs w:val="21"/>
          <w:lang w:val="en-US" w:eastAsia="zh-CN"/>
        </w:rPr>
        <w:t xml:space="preserve">1.3 </w:t>
      </w:r>
      <w:r>
        <w:rPr>
          <w:rFonts w:ascii="Times New Roman" w:hAnsi="Times New Roman" w:cs="Times New Roman"/>
          <w:b/>
          <w:bCs/>
          <w:sz w:val="21"/>
          <w:szCs w:val="21"/>
          <w14:ligatures w14:val="none"/>
        </w:rPr>
        <w:t>Super-SBM Model for Unexpected Outputs</w:t>
      </w:r>
    </w:p>
    <w:p w14:paraId="6FDD8322">
      <w:pPr>
        <w:spacing w:after="0" w:line="360" w:lineRule="auto"/>
        <w:ind w:firstLine="420" w:firstLineChars="200"/>
        <w:jc w:val="both"/>
        <w:rPr>
          <w:rFonts w:ascii="Times New Roman" w:hAnsi="Times New Roman" w:eastAsia="宋体" w:cs="Times New Roman"/>
          <w:color w:val="auto"/>
          <w:sz w:val="21"/>
          <w:szCs w:val="21"/>
          <w14:ligatures w14:val="none"/>
        </w:rPr>
      </w:pPr>
      <w:r>
        <w:rPr>
          <w:rFonts w:hint="eastAsia" w:ascii="Times New Roman" w:hAnsi="Times New Roman" w:eastAsia="宋体" w:cs="Times New Roman"/>
          <w:sz w:val="21"/>
          <w:szCs w:val="21"/>
          <w14:ligatures w14:val="none"/>
        </w:rPr>
        <w:t xml:space="preserve">Due to the limitations and biases caused by radial and angular selection in traditional DEA models, Tone proposed an improved DEA model, namely the SBM model </w:t>
      </w:r>
      <w:r>
        <w:rPr>
          <w:rFonts w:ascii="Times New Roman" w:hAnsi="Times New Roman" w:eastAsia="宋体" w:cs="Times New Roman"/>
          <w:sz w:val="21"/>
          <w:szCs w:val="21"/>
          <w14:ligatures w14:val="none"/>
        </w:rPr>
        <w:fldChar w:fldCharType="begin"/>
      </w:r>
      <w:r>
        <w:rPr>
          <w:rFonts w:ascii="Times New Roman" w:hAnsi="Times New Roman" w:eastAsia="宋体" w:cs="Times New Roman"/>
          <w:sz w:val="21"/>
          <w:szCs w:val="21"/>
          <w14:ligatures w14:val="none"/>
        </w:rPr>
        <w:instrText xml:space="preserve"> ADDIN EN.CITE &lt;EndNote&gt;&lt;Cite&gt;&lt;Author&gt;Tone&lt;/Author&gt;&lt;Year&gt;2001&lt;/Year&gt;&lt;RecNum&gt;28&lt;/RecNum&gt;&lt;DisplayText&gt;(Tone, 2001)&lt;/DisplayText&gt;&lt;record&gt;&lt;rec-number&gt;28&lt;/rec-number&gt;&lt;foreign-keys&gt;&lt;key app="EN" db-id="5vz5vfwd32saweeeedrxxrpm959datr0swxt" timestamp="1714131540"&gt;28&lt;/key&gt;&lt;/foreign-keys&gt;&lt;ref-type name="Journal Article"&gt;17&lt;/ref-type&gt;&lt;contributors&gt;&lt;authors&gt;&lt;author&gt;Tone, Kaoru&lt;/author&gt;&lt;/authors&gt;&lt;/contributors&gt;&lt;titles&gt;&lt;title&gt;A slacks-based measure of efficiency in data envelopment analysis&lt;/title&gt;&lt;secondary-title&gt;European journal of operational research&lt;/secondary-title&gt;&lt;/titles&gt;&lt;periodical&gt;&lt;full-title&gt;European journal of operational research&lt;/full-title&gt;&lt;/periodical&gt;&lt;pages&gt;498-509&lt;/pages&gt;&lt;volume&gt;130&lt;/volume&gt;&lt;number&gt;3&lt;/number&gt;&lt;dates&gt;&lt;year&gt;2001&lt;/year&gt;&lt;/dates&gt;&lt;isbn&gt;0377-2217&lt;/isbn&gt;&lt;urls&gt;&lt;/urls&gt;&lt;/record&gt;&lt;/Cite&gt;&lt;/EndNote&gt;</w:instrText>
      </w:r>
      <w:r>
        <w:rPr>
          <w:rFonts w:ascii="Times New Roman" w:hAnsi="Times New Roman" w:eastAsia="宋体" w:cs="Times New Roman"/>
          <w:sz w:val="21"/>
          <w:szCs w:val="21"/>
          <w14:ligatures w14:val="none"/>
        </w:rPr>
        <w:fldChar w:fldCharType="separate"/>
      </w:r>
      <w:r>
        <w:rPr>
          <w:rFonts w:ascii="Times New Roman" w:hAnsi="Times New Roman" w:eastAsia="宋体" w:cs="Times New Roman"/>
          <w:sz w:val="21"/>
          <w:szCs w:val="21"/>
          <w14:ligatures w14:val="none"/>
        </w:rPr>
        <w:t>(Tone, 2001)</w:t>
      </w:r>
      <w:r>
        <w:rPr>
          <w:rFonts w:ascii="Times New Roman" w:hAnsi="Times New Roman" w:eastAsia="宋体" w:cs="Times New Roman"/>
          <w:sz w:val="21"/>
          <w:szCs w:val="21"/>
          <w14:ligatures w14:val="none"/>
        </w:rPr>
        <w:fldChar w:fldCharType="end"/>
      </w:r>
      <w:r>
        <w:rPr>
          <w:rFonts w:hint="eastAsia" w:ascii="Times New Roman" w:hAnsi="Times New Roman" w:eastAsia="宋体" w:cs="Times New Roman"/>
          <w:sz w:val="21"/>
          <w:szCs w:val="21"/>
          <w14:ligatures w14:val="none"/>
        </w:rPr>
        <w:t>. However, the aforementioned model cannot handle the comparison and ranking of provinces (cities) with relative efficiency values of 1. To address this issue and further optimize the model, the super-efficiency SBM model was proposed.</w:t>
      </w:r>
      <w:r>
        <w:rPr>
          <w:rFonts w:hint="eastAsia" w:ascii="Times New Roman" w:hAnsi="Times New Roman" w:eastAsia="宋体" w:cs="Times New Roman"/>
          <w:color w:val="auto"/>
          <w:sz w:val="21"/>
          <w:szCs w:val="21"/>
          <w14:ligatures w14:val="none"/>
        </w:rPr>
        <w:t xml:space="preserve"> We selected 30 provinces (municipalities directly under the central government) as decision-making units. The provinces have economic and statistical independence, making it easier to obtain comprehensive and reliable input and output data </w:t>
      </w:r>
      <w:r>
        <w:rPr>
          <w:rFonts w:ascii="Times New Roman" w:hAnsi="Times New Roman" w:eastAsia="宋体" w:cs="Times New Roman"/>
          <w:color w:val="auto"/>
          <w:sz w:val="21"/>
          <w:szCs w:val="21"/>
          <w14:ligatures w14:val="none"/>
        </w:rPr>
        <w:fldChar w:fldCharType="begin"/>
      </w:r>
      <w:r>
        <w:rPr>
          <w:rFonts w:ascii="Times New Roman" w:hAnsi="Times New Roman" w:eastAsia="宋体" w:cs="Times New Roman"/>
          <w:color w:val="auto"/>
          <w:sz w:val="21"/>
          <w:szCs w:val="21"/>
          <w14:ligatures w14:val="none"/>
        </w:rPr>
        <w:instrText xml:space="preserve"> ADDIN EN.CITE &lt;EndNote&gt;&lt;Cite&gt;&lt;Author&gt;Charnes&lt;/Author&gt;&lt;Year&gt;1997&lt;/Year&gt;&lt;RecNum&gt;66&lt;/RecNum&gt;&lt;DisplayText&gt;(Charnes et al., 1997)&lt;/DisplayText&gt;&lt;record&gt;&lt;rec-number&gt;66&lt;/rec-number&gt;&lt;foreign-keys&gt;&lt;key app="EN" db-id="5vz5vfwd32saweeeedrxxrpm959datr0swxt" timestamp="1734002141"&gt;66&lt;/key&gt;&lt;/foreign-keys&gt;&lt;ref-type name="Journal Article"&gt;17&lt;/ref-type&gt;&lt;contributors&gt;&lt;authors&gt;&lt;author&gt;Charnes, A.&lt;/author&gt;&lt;author&gt;Cooper, W.&lt;/author&gt;&lt;author&gt;Lewin, A. Y.&lt;/author&gt;&lt;author&gt;Seiford, L. M&lt;/author&gt;&lt;/authors&gt;&lt;/contributors&gt;&lt;titles&gt;&lt;title&gt;Data envelopment analysis theory, methodology and applications&lt;/title&gt;&lt;secondary-title&gt;Journal of the Operational Research society&lt;/secondary-title&gt;&lt;/titles&gt;&lt;pages&gt;332-333&lt;/pages&gt;&lt;volume&gt;48&lt;/volume&gt;&lt;number&gt;3&lt;/number&gt;&lt;dates&gt;&lt;year&gt;1997&lt;/year&gt;&lt;/dates&gt;&lt;urls&gt;&lt;/urls&gt;&lt;/record&gt;&lt;/Cite&gt;&lt;/EndNote&gt;</w:instrText>
      </w:r>
      <w:r>
        <w:rPr>
          <w:rFonts w:ascii="Times New Roman" w:hAnsi="Times New Roman" w:eastAsia="宋体" w:cs="Times New Roman"/>
          <w:color w:val="auto"/>
          <w:sz w:val="21"/>
          <w:szCs w:val="21"/>
          <w14:ligatures w14:val="none"/>
        </w:rPr>
        <w:fldChar w:fldCharType="separate"/>
      </w:r>
      <w:r>
        <w:rPr>
          <w:rFonts w:ascii="Times New Roman" w:hAnsi="Times New Roman" w:eastAsia="宋体" w:cs="Times New Roman"/>
          <w:color w:val="auto"/>
          <w:sz w:val="21"/>
          <w:szCs w:val="21"/>
          <w14:ligatures w14:val="none"/>
        </w:rPr>
        <w:t>(Charnes et al., 1997)</w:t>
      </w:r>
      <w:r>
        <w:rPr>
          <w:rFonts w:ascii="Times New Roman" w:hAnsi="Times New Roman" w:eastAsia="宋体" w:cs="Times New Roman"/>
          <w:color w:val="auto"/>
          <w:sz w:val="21"/>
          <w:szCs w:val="21"/>
          <w14:ligatures w14:val="none"/>
        </w:rPr>
        <w:fldChar w:fldCharType="end"/>
      </w:r>
      <w:r>
        <w:rPr>
          <w:rFonts w:hint="eastAsia" w:ascii="Times New Roman" w:hAnsi="Times New Roman" w:eastAsia="宋体" w:cs="Times New Roman"/>
          <w:color w:val="auto"/>
          <w:sz w:val="21"/>
          <w:szCs w:val="21"/>
          <w14:ligatures w14:val="none"/>
        </w:rPr>
        <w:t>. One of the advantages of the super-efficiency SBM model is its capability for 'multiple inputs and outputs'. According to the production function's input-output indicators, labor input, fixed asset investment, energy consumption in tourism, and tourism revenue all satisfy the requirements for normal production activities, and each of these indicators can represent the conditions of the province. The model is as follows:</w:t>
      </w:r>
    </w:p>
    <w:p w14:paraId="1FFCAF08">
      <w:pPr>
        <w:pStyle w:val="38"/>
        <w:spacing w:after="0" w:line="360" w:lineRule="auto"/>
        <w:ind w:firstLine="0" w:firstLineChars="0"/>
        <w:jc w:val="center"/>
        <w:rPr>
          <w:rFonts w:ascii="Times New Roman" w:hAnsi="Times New Roman" w:cs="Times New Roman"/>
          <w:sz w:val="21"/>
          <w:szCs w:val="21"/>
          <w14:ligatures w14:val="none"/>
        </w:rPr>
      </w:pPr>
      <w:r>
        <w:rPr>
          <w:rFonts w:ascii="Times New Roman" w:hAnsi="Times New Roman" w:cs="Times New Roman"/>
          <w:position w:val="-170"/>
          <w:sz w:val="21"/>
          <w:szCs w:val="21"/>
          <w14:ligatures w14:val="none"/>
        </w:rPr>
        <w:object>
          <v:shape id="_x0000_i1029" o:spt="75" type="#_x0000_t75" style="height:118.35pt;width:319.3pt;" o:ole="t" filled="f" o:preferrelative="t" stroked="f" coordsize="21600,21600">
            <v:path/>
            <v:fill on="f" focussize="0,0"/>
            <v:stroke on="f" joinstyle="miter"/>
            <v:imagedata r:id="rId15" o:title=""/>
            <o:lock v:ext="edit" aspectratio="t"/>
            <w10:wrap type="none"/>
            <w10:anchorlock/>
          </v:shape>
          <o:OLEObject Type="Embed" ProgID="Equation.DSMT4" ShapeID="_x0000_i1029" DrawAspect="Content" ObjectID="_1468075729" r:id="rId14">
            <o:LockedField>false</o:LockedField>
          </o:OLEObject>
        </w:object>
      </w:r>
      <w:r>
        <w:rPr>
          <w:rFonts w:hint="eastAsia" w:ascii="Times New Roman" w:hAnsi="Times New Roman" w:cs="Times New Roman"/>
          <w:sz w:val="21"/>
          <w:szCs w:val="21"/>
          <w14:ligatures w14:val="none"/>
        </w:rPr>
        <w:t>(</w:t>
      </w:r>
      <w:r>
        <w:rPr>
          <w:rFonts w:hint="eastAsia" w:ascii="Times New Roman" w:hAnsi="Times New Roman" w:cs="Times New Roman"/>
          <w:sz w:val="21"/>
          <w:szCs w:val="21"/>
          <w:lang w:val="en-US" w:eastAsia="zh-CN"/>
          <w14:ligatures w14:val="none"/>
        </w:rPr>
        <w:t>5</w:t>
      </w:r>
      <w:bookmarkStart w:id="1" w:name="_GoBack"/>
      <w:bookmarkEnd w:id="1"/>
      <w:r>
        <w:rPr>
          <w:rFonts w:hint="eastAsia" w:ascii="Times New Roman" w:hAnsi="Times New Roman" w:cs="Times New Roman"/>
          <w:sz w:val="21"/>
          <w:szCs w:val="21"/>
          <w14:ligatures w14:val="none"/>
        </w:rPr>
        <w:t>)</w:t>
      </w:r>
    </w:p>
    <w:p w14:paraId="621EC670">
      <w:pPr>
        <w:spacing w:line="360" w:lineRule="auto"/>
        <w:jc w:val="both"/>
        <w:rPr>
          <w:rFonts w:ascii="Times New Roman" w:hAnsi="Times New Roman" w:cs="Times New Roman"/>
          <w:sz w:val="21"/>
          <w:szCs w:val="21"/>
          <w14:ligatures w14:val="none"/>
        </w:rPr>
      </w:pPr>
      <w:r>
        <w:rPr>
          <w:rFonts w:ascii="Times New Roman" w:hAnsi="Times New Roman" w:eastAsia="等线" w:cs="Times New Roman"/>
          <w:sz w:val="21"/>
          <w:szCs w:val="21"/>
          <w14:ligatures w14:val="none"/>
        </w:rPr>
        <w:t xml:space="preserve">Where: </w:t>
      </w:r>
      <w:r>
        <w:rPr>
          <w:rFonts w:hint="eastAsia" w:ascii="Times New Roman" w:hAnsi="Times New Roman" w:cs="Times New Roman"/>
          <w:sz w:val="21"/>
          <w:szCs w:val="21"/>
          <w14:ligatures w14:val="none"/>
        </w:rPr>
        <w:t>A</w:t>
      </w:r>
      <w:r>
        <w:rPr>
          <w:rFonts w:ascii="Times New Roman" w:hAnsi="Times New Roman" w:cs="Times New Roman"/>
          <w:sz w:val="21"/>
          <w:szCs w:val="21"/>
          <w14:ligatures w14:val="none"/>
        </w:rPr>
        <w:t>ssum</w:t>
      </w:r>
      <w:r>
        <w:rPr>
          <w:rFonts w:hint="eastAsia" w:ascii="Times New Roman" w:hAnsi="Times New Roman" w:cs="Times New Roman"/>
          <w:sz w:val="21"/>
          <w:szCs w:val="21"/>
          <w14:ligatures w14:val="none"/>
        </w:rPr>
        <w:t>ing</w:t>
      </w:r>
      <w:r>
        <w:rPr>
          <w:rFonts w:ascii="Times New Roman" w:hAnsi="Times New Roman" w:cs="Times New Roman"/>
          <w:sz w:val="21"/>
          <w:szCs w:val="21"/>
          <w14:ligatures w14:val="none"/>
        </w:rPr>
        <w:t xml:space="preserve"> there are N DMUs (Decision Making Units), and each DMU is composed of inputs, </w:t>
      </w:r>
      <w:r>
        <w:rPr>
          <w:rFonts w:ascii="Times New Roman" w:hAnsi="Times New Roman" w:cs="Times New Roman"/>
          <w:i/>
          <w:iCs/>
          <w:sz w:val="21"/>
          <w:szCs w:val="21"/>
          <w14:ligatures w14:val="none"/>
        </w:rPr>
        <w:t>m</w:t>
      </w:r>
      <w:r>
        <w:rPr>
          <w:rFonts w:ascii="Times New Roman" w:hAnsi="Times New Roman" w:cs="Times New Roman"/>
          <w:sz w:val="21"/>
          <w:szCs w:val="21"/>
          <w14:ligatures w14:val="none"/>
        </w:rPr>
        <w:t xml:space="preserve">, desired outputs, </w:t>
      </w:r>
      <w:r>
        <w:rPr>
          <w:rFonts w:ascii="Times New Roman" w:hAnsi="Times New Roman" w:cs="Times New Roman"/>
          <w:i/>
          <w:iCs/>
          <w:sz w:val="21"/>
          <w:szCs w:val="21"/>
          <w14:ligatures w14:val="none"/>
        </w:rPr>
        <w:t>r</w:t>
      </w:r>
      <w:r>
        <w:rPr>
          <w:rFonts w:ascii="Times New Roman" w:hAnsi="Times New Roman" w:cs="Times New Roman"/>
          <w:i/>
          <w:iCs/>
          <w:sz w:val="21"/>
          <w:szCs w:val="21"/>
          <w:vertAlign w:val="subscript"/>
          <w14:ligatures w14:val="none"/>
        </w:rPr>
        <w:t>1</w:t>
      </w:r>
      <w:r>
        <w:rPr>
          <w:rFonts w:ascii="Times New Roman" w:hAnsi="Times New Roman" w:cs="Times New Roman"/>
          <w:sz w:val="21"/>
          <w:szCs w:val="21"/>
          <w14:ligatures w14:val="none"/>
        </w:rPr>
        <w:t xml:space="preserve">, and undesired outputs, </w:t>
      </w:r>
      <w:r>
        <w:rPr>
          <w:rFonts w:ascii="Times New Roman" w:hAnsi="Times New Roman" w:cs="Times New Roman"/>
          <w:i/>
          <w:iCs/>
          <w:sz w:val="21"/>
          <w:szCs w:val="21"/>
          <w14:ligatures w14:val="none"/>
        </w:rPr>
        <w:t>r</w:t>
      </w:r>
      <w:r>
        <w:rPr>
          <w:rFonts w:ascii="Times New Roman" w:hAnsi="Times New Roman" w:cs="Times New Roman"/>
          <w:i/>
          <w:iCs/>
          <w:sz w:val="21"/>
          <w:szCs w:val="21"/>
          <w:vertAlign w:val="subscript"/>
          <w14:ligatures w14:val="none"/>
        </w:rPr>
        <w:t>2</w:t>
      </w:r>
      <w:r>
        <w:rPr>
          <w:rFonts w:ascii="Times New Roman" w:hAnsi="Times New Roman" w:cs="Times New Roman"/>
          <w:sz w:val="21"/>
          <w:szCs w:val="21"/>
          <w14:ligatures w14:val="none"/>
        </w:rPr>
        <w:t xml:space="preserve">. </w:t>
      </w:r>
      <w:r>
        <w:rPr>
          <w:rFonts w:ascii="Times New Roman" w:hAnsi="Times New Roman" w:cs="Times New Roman"/>
          <w:i/>
          <w:iCs/>
          <w:sz w:val="21"/>
          <w:szCs w:val="21"/>
          <w14:ligatures w14:val="none"/>
        </w:rPr>
        <w:t>x</w:t>
      </w:r>
      <w:r>
        <w:rPr>
          <w:rFonts w:ascii="Times New Roman" w:hAnsi="Times New Roman" w:cs="Times New Roman"/>
          <w:sz w:val="21"/>
          <w:szCs w:val="21"/>
          <w14:ligatures w14:val="none"/>
        </w:rPr>
        <w:t xml:space="preserve">, </w:t>
      </w:r>
      <w:r>
        <w:rPr>
          <w:rFonts w:ascii="Times New Roman" w:hAnsi="Times New Roman" w:cs="Times New Roman"/>
          <w:i/>
          <w:iCs/>
          <w:sz w:val="21"/>
          <w:szCs w:val="21"/>
          <w14:ligatures w14:val="none"/>
        </w:rPr>
        <w:t>y</w:t>
      </w:r>
      <w:r>
        <w:rPr>
          <w:rFonts w:ascii="Times New Roman" w:hAnsi="Times New Roman" w:cs="Times New Roman"/>
          <w:i/>
          <w:iCs/>
          <w:sz w:val="21"/>
          <w:szCs w:val="21"/>
          <w:vertAlign w:val="superscript"/>
          <w14:ligatures w14:val="none"/>
        </w:rPr>
        <w:t>d</w:t>
      </w:r>
      <w:r>
        <w:rPr>
          <w:rFonts w:ascii="Times New Roman" w:hAnsi="Times New Roman" w:cs="Times New Roman"/>
          <w:sz w:val="21"/>
          <w:szCs w:val="21"/>
          <w14:ligatures w14:val="none"/>
        </w:rPr>
        <w:t xml:space="preserve">, and </w:t>
      </w:r>
      <w:r>
        <w:rPr>
          <w:rFonts w:ascii="Times New Roman" w:hAnsi="Times New Roman" w:cs="Times New Roman"/>
          <w:i/>
          <w:iCs/>
          <w:sz w:val="21"/>
          <w:szCs w:val="21"/>
          <w14:ligatures w14:val="none"/>
        </w:rPr>
        <w:t>y</w:t>
      </w:r>
      <w:r>
        <w:rPr>
          <w:rFonts w:ascii="Times New Roman" w:hAnsi="Times New Roman" w:cs="Times New Roman"/>
          <w:i/>
          <w:iCs/>
          <w:sz w:val="21"/>
          <w:szCs w:val="21"/>
          <w:vertAlign w:val="superscript"/>
          <w14:ligatures w14:val="none"/>
        </w:rPr>
        <w:t>u</w:t>
      </w:r>
      <w:r>
        <w:rPr>
          <w:rFonts w:ascii="Times New Roman" w:hAnsi="Times New Roman" w:cs="Times New Roman"/>
          <w:sz w:val="21"/>
          <w:szCs w:val="21"/>
          <w14:ligatures w14:val="none"/>
        </w:rPr>
        <w:t xml:space="preserve"> represent the elements in the corresponding input matrix, desired output matrix, and undesired output matrix, respectively. </w:t>
      </w:r>
      <w:r>
        <w:rPr>
          <w:rFonts w:ascii="Times New Roman" w:hAnsi="Times New Roman" w:cs="Times New Roman"/>
          <w:i/>
          <w:iCs/>
          <w:sz w:val="21"/>
          <w:szCs w:val="21"/>
          <w14:ligatures w14:val="none"/>
        </w:rPr>
        <w:t>ρ</w:t>
      </w:r>
      <w:r>
        <w:rPr>
          <w:rFonts w:ascii="Times New Roman" w:hAnsi="Times New Roman" w:cs="Times New Roman"/>
          <w:sz w:val="21"/>
          <w:szCs w:val="21"/>
          <w14:ligatures w14:val="none"/>
        </w:rPr>
        <w:t xml:space="preserve"> represents the </w:t>
      </w:r>
      <w:r>
        <w:rPr>
          <w:rFonts w:hint="eastAsia" w:ascii="Times New Roman" w:hAnsi="Times New Roman" w:cs="Times New Roman"/>
          <w:sz w:val="21"/>
          <w:szCs w:val="21"/>
          <w:lang w:eastAsia="zh-CN"/>
          <w14:ligatures w14:val="none"/>
        </w:rPr>
        <w:t>TIE</w:t>
      </w:r>
      <w:r>
        <w:rPr>
          <w:rFonts w:ascii="Times New Roman" w:hAnsi="Times New Roman" w:cs="Times New Roman"/>
          <w:sz w:val="21"/>
          <w:szCs w:val="21"/>
          <w14:ligatures w14:val="none"/>
        </w:rPr>
        <w:t xml:space="preserve"> value. </w:t>
      </w:r>
      <w:r>
        <w:rPr>
          <w:rFonts w:ascii="Times New Roman" w:hAnsi="Times New Roman" w:cs="Times New Roman"/>
          <w:i/>
          <w:iCs/>
          <w:sz w:val="21"/>
          <w:szCs w:val="21"/>
          <w14:ligatures w14:val="none"/>
        </w:rPr>
        <w:t>λ</w:t>
      </w:r>
      <w:r>
        <w:rPr>
          <w:rFonts w:ascii="Times New Roman" w:hAnsi="Times New Roman" w:cs="Times New Roman"/>
          <w:sz w:val="21"/>
          <w:szCs w:val="21"/>
          <w14:ligatures w14:val="none"/>
        </w:rPr>
        <w:t xml:space="preserve"> is a column vector.</w:t>
      </w:r>
    </w:p>
    <w:p w14:paraId="3476A5B2">
      <w:pPr>
        <w:numPr>
          <w:ilvl w:val="0"/>
          <w:numId w:val="1"/>
        </w:numPr>
        <w:spacing w:line="360" w:lineRule="auto"/>
        <w:ind w:left="0" w:leftChars="0" w:firstLine="0" w:firstLineChars="0"/>
        <w:jc w:val="both"/>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the calculation indicators for Tourism Industry Efficiency</w:t>
      </w:r>
    </w:p>
    <w:p w14:paraId="6AAF083A">
      <w:pPr>
        <w:spacing w:after="0" w:line="360" w:lineRule="auto"/>
        <w:ind w:firstLine="420" w:firstLineChars="200"/>
        <w:jc w:val="both"/>
        <w:rPr>
          <w:rFonts w:ascii="Times New Roman" w:hAnsi="Times New Roman" w:eastAsia="宋体" w:cs="Times New Roman"/>
          <w:sz w:val="21"/>
          <w:szCs w:val="21"/>
          <w14:ligatures w14:val="none"/>
        </w:rPr>
      </w:pPr>
      <w:r>
        <w:rPr>
          <w:rFonts w:hint="eastAsia" w:ascii="Times New Roman" w:hAnsi="Times New Roman" w:eastAsia="宋体" w:cs="Times New Roman"/>
          <w:sz w:val="21"/>
          <w:szCs w:val="21"/>
          <w14:ligatures w14:val="none"/>
        </w:rPr>
        <w:t xml:space="preserve">The measurement indicators of </w:t>
      </w:r>
      <w:r>
        <w:rPr>
          <w:rFonts w:hint="eastAsia" w:ascii="Times New Roman" w:hAnsi="Times New Roman" w:eastAsia="宋体" w:cs="Times New Roman"/>
          <w:sz w:val="21"/>
          <w:szCs w:val="21"/>
          <w:lang w:eastAsia="zh-CN"/>
          <w14:ligatures w14:val="none"/>
        </w:rPr>
        <w:t>TIE</w:t>
      </w:r>
      <w:r>
        <w:rPr>
          <w:rFonts w:hint="eastAsia" w:ascii="Times New Roman" w:hAnsi="Times New Roman" w:eastAsia="宋体" w:cs="Times New Roman"/>
          <w:sz w:val="21"/>
          <w:szCs w:val="21"/>
          <w14:ligatures w14:val="none"/>
        </w:rPr>
        <w:t xml:space="preserve"> vary depending on the research context and data availability, but they always include input and output indicators. Considering the new requirements of ecological civilization construction for high-quality tourism development, this study refers to existing research indicator systems </w:t>
      </w:r>
      <w:r>
        <w:rPr>
          <w:rFonts w:ascii="Times New Roman" w:hAnsi="Times New Roman" w:eastAsia="宋体" w:cs="Times New Roman"/>
          <w:sz w:val="21"/>
          <w:szCs w:val="21"/>
          <w14:ligatures w14:val="none"/>
        </w:rPr>
        <w:fldChar w:fldCharType="begin">
          <w:fldData xml:space="preserve">PEVuZE5vdGU+PENpdGU+PEF1dGhvcj5XYW5nPC9BdXRob3I+PFllYXI+MjAyMjwvWWVhcj48UmVj
TnVtPjMzPC9SZWNOdW0+PERpc3BsYXlUZXh0PihHdW8gZXQgYWwuLCAyMDIyOyBXYW5nIGV0IGFs
LiwgMjAyMmEpPC9EaXNwbGF5VGV4dD48cmVjb3JkPjxyZWMtbnVtYmVyPjMzPC9yZWMtbnVtYmVy
Pjxmb3JlaWduLWtleXM+PGtleSBhcHA9IkVOIiBkYi1pZD0iNXZ6NXZmd2QzMnNhd2VlZWVkcnh4
cnBtOTU5ZGF0cjBzd3h0IiB0aW1lc3RhbXA9IjE3MTQxMzI3MDgiPjMzPC9rZXk+PC9mb3JlaWdu
LWtleXM+PHJlZi10eXBlIG5hbWU9IkpvdXJuYWwgQXJ0aWNsZSI+MTc8L3JlZi10eXBlPjxjb250
cmlidXRvcnM+PGF1dGhvcnM+PGF1dGhvcj5XYW5nLCBDaGFvPC9hdXRob3I+PGF1dGhvcj5YdSwg
TGVsZTwvYXV0aG9yPjxhdXRob3I+SHVhbmcsIE1lbmdsYW48L2F1dGhvcj48YXV0aG9yPlN1LCBY
aWFvZmVuZzwvYXV0aG9yPjxhdXRob3I+TGFpLCBSaXdlbjwvYXV0aG9yPjxhdXRob3I+WHUsIEFu
eGluPC9hdXRob3I+PC9hdXRob3JzPjwvY29udHJpYnV0b3JzPjx0aXRsZXM+PHRpdGxlPlJlc2Vh
cmNoIG9uIHRoZSBldm9sdXRpb24gb2Ygc3BhdGlhbCBuZXR3b3JrIHN0cnVjdHVyZSBvZiB0b3Vy
aXNtIGVjby1lZmZpY2llbmN5IGFuZCBpdHMgaW5mbHVlbmNpbmcgZmFjdG9ycyBpbiBDaGluYeKA
mXMgcHJvdmluY2VzIGJhc2VkIG9uIGNhcmJvbiBlbWlzc2lvbiBhY2NvdW50aW5nPC90aXRsZT48
c2Vjb25kYXJ5LXRpdGxlPlBsb3MgT25lPC9zZWNvbmRhcnktdGl0bGU+PC90aXRsZXM+PHBlcmlv
ZGljYWw+PGZ1bGwtdGl0bGU+UGxvcyBPbmU8L2Z1bGwtdGl0bGU+PC9wZXJpb2RpY2FsPjxwYWdl
cz5lMDI3MjY2NzwvcGFnZXM+PHZvbHVtZT4xNzwvdm9sdW1lPjxudW1iZXI+OTwvbnVtYmVyPjxk
YXRlcz48eWVhcj4yMDIyPC95ZWFyPjwvZGF0ZXM+PGlzYm4+MTkzMi02MjAzPC9pc2JuPjx1cmxz
PjwvdXJscz48L3JlY29yZD48L0NpdGU+PENpdGU+PEF1dGhvcj5HdW88L0F1dGhvcj48WWVhcj4y
MDIyPC9ZZWFyPjxSZWNOdW0+MjA8L1JlY051bT48cmVjb3JkPjxyZWMtbnVtYmVyPjIwPC9yZWMt
bnVtYmVyPjxmb3JlaWduLWtleXM+PGtleSBhcHA9IkVOIiBkYi1pZD0iNXZ6NXZmd2QzMnNhd2Vl
ZWVkcnh4cnBtOTU5ZGF0cjBzd3h0IiB0aW1lc3RhbXA9IjE3MTQxMjA1NjYiPjIwPC9rZXk+PC9m
b3JlaWduLWtleXM+PHJlZi10eXBlIG5hbWU9IkpvdXJuYWwgQXJ0aWNsZSI+MTc8L3JlZi10eXBl
Pjxjb250cmlidXRvcnM+PGF1dGhvcnM+PGF1dGhvcj5HdW8sIExpamlhPC9hdXRob3I+PGF1dGhv
cj5MaSwgUGVpemhlPC9hdXRob3I+PGF1dGhvcj5aaGFuZywgSmluaGU8L2F1dGhvcj48YXV0aG9y
PlhpYW8sIFhpYW88L2F1dGhvcj48YXV0aG9yPlBlbmcsIEhvbmdzb25nPC9hdXRob3I+PC9hdXRo
b3JzPjwvY29udHJpYnV0b3JzPjx0aXRsZXM+PHRpdGxlPkRvIHNvY2lvLWVjb25vbWljIGZhY3Rv
cnMgbWF0dGVyPyBBIGNvbXByZWhlbnNpdmUgZXZhbHVhdGlvbiBvZiB0b3VyaXNtIGVjby1lZmZp
Y2llbmN5IGRldGVybWluYW50cyBpbiBDaGluYSBiYXNlZCBvbiB0aGUgR2VvZ3JhcGhpY2FsIERl
dGVjdG9yIE1vZGVsPC90aXRsZT48c2Vjb25kYXJ5LXRpdGxlPkpvdXJuYWwgb2YgRW52aXJvbm1l
bnRhbCBNYW5hZ2VtZW50PC9zZWNvbmRhcnktdGl0bGU+PC90aXRsZXM+PHBlcmlvZGljYWw+PGZ1
bGwtdGl0bGU+Sm91cm5hbCBvZiBFbnZpcm9ubWVudGFsIE1hbmFnZW1lbnQ8L2Z1bGwtdGl0bGU+
PC9wZXJpb2RpY2FsPjxwYWdlcz4xMTU4MTI8L3BhZ2VzPjx2b2x1bWU+MzIwPC92b2x1bWU+PGtl
eXdvcmRzPjxrZXl3b3JkPlRvdXJpc20gZWNvLWVmZmljaWVuY3k8L2tleXdvcmQ+PGtleXdvcmQ+
U3VwZXItU0JNIG1vZGVsPC9rZXl3b3JkPjxrZXl3b3JkPkdlb2dyYXBoaWNhbCBkZXRlY3RvciBt
b2RlbDwva2V5d29yZD48a2V5d29yZD5DaGluYTwva2V5d29yZD48L2tleXdvcmRzPjxkYXRlcz48
eWVhcj4yMDIyPC95ZWFyPjxwdWItZGF0ZXM+PGRhdGU+MjAyMi8xMC8xNS88L2RhdGU+PC9wdWIt
ZGF0ZXM+PC9kYXRlcz48aXNibj4wMzAxLTQ3OTc8L2lzYm4+PHVybHM+PHJlbGF0ZWQtdXJscz48
dXJsPmh0dHBzOi8vd3d3LnNjaWVuY2VkaXJlY3QuY29tL3NjaWVuY2UvYXJ0aWNsZS9waWkvUzAz
MDE0Nzk3MjIwMTM4NTg8L3VybD48L3JlbGF0ZWQtdXJscz48L3VybHM+PGVsZWN0cm9uaWMtcmVz
b3VyY2UtbnVtPmh0dHBzOi8vZG9pLm9yZy8xMC4xMDE2L2ouamVudm1hbi4yMDIyLjExNTgxMjwv
ZWxlY3Ryb25pYy1yZXNvdXJjZS1udW0+PC9yZWNvcmQ+PC9DaXRlPjwvRW5kTm90ZT5AADAA
</w:fldData>
        </w:fldChar>
      </w:r>
      <w:r>
        <w:rPr>
          <w:rFonts w:ascii="Times New Roman" w:hAnsi="Times New Roman" w:eastAsia="宋体" w:cs="Times New Roman"/>
          <w:sz w:val="21"/>
          <w:szCs w:val="21"/>
          <w14:ligatures w14:val="none"/>
        </w:rPr>
        <w:instrText xml:space="preserve"> ADDIN EN.CITE </w:instrText>
      </w:r>
      <w:r>
        <w:rPr>
          <w:rFonts w:ascii="Times New Roman" w:hAnsi="Times New Roman" w:eastAsia="宋体" w:cs="Times New Roman"/>
          <w:sz w:val="21"/>
          <w:szCs w:val="21"/>
          <w14:ligatures w14:val="none"/>
        </w:rPr>
        <w:fldChar w:fldCharType="begin">
          <w:fldData xml:space="preserve">PEVuZE5vdGU+PENpdGU+PEF1dGhvcj5XYW5nPC9BdXRob3I+PFllYXI+MjAyMjwvWWVhcj48UmVj
TnVtPjMzPC9SZWNOdW0+PERpc3BsYXlUZXh0PihHdW8gZXQgYWwuLCAyMDIyOyBXYW5nIGV0IGFs
LiwgMjAyMmEpPC9EaXNwbGF5VGV4dD48cmVjb3JkPjxyZWMtbnVtYmVyPjMzPC9yZWMtbnVtYmVy
Pjxmb3JlaWduLWtleXM+PGtleSBhcHA9IkVOIiBkYi1pZD0iNXZ6NXZmd2QzMnNhd2VlZWVkcnh4
cnBtOTU5ZGF0cjBzd3h0IiB0aW1lc3RhbXA9IjE3MTQxMzI3MDgiPjMzPC9rZXk+PC9mb3JlaWdu
LWtleXM+PHJlZi10eXBlIG5hbWU9IkpvdXJuYWwgQXJ0aWNsZSI+MTc8L3JlZi10eXBlPjxjb250
cmlidXRvcnM+PGF1dGhvcnM+PGF1dGhvcj5XYW5nLCBDaGFvPC9hdXRob3I+PGF1dGhvcj5YdSwg
TGVsZTwvYXV0aG9yPjxhdXRob3I+SHVhbmcsIE1lbmdsYW48L2F1dGhvcj48YXV0aG9yPlN1LCBY
aWFvZmVuZzwvYXV0aG9yPjxhdXRob3I+TGFpLCBSaXdlbjwvYXV0aG9yPjxhdXRob3I+WHUsIEFu
eGluPC9hdXRob3I+PC9hdXRob3JzPjwvY29udHJpYnV0b3JzPjx0aXRsZXM+PHRpdGxlPlJlc2Vh
cmNoIG9uIHRoZSBldm9sdXRpb24gb2Ygc3BhdGlhbCBuZXR3b3JrIHN0cnVjdHVyZSBvZiB0b3Vy
aXNtIGVjby1lZmZpY2llbmN5IGFuZCBpdHMgaW5mbHVlbmNpbmcgZmFjdG9ycyBpbiBDaGluYeKA
mXMgcHJvdmluY2VzIGJhc2VkIG9uIGNhcmJvbiBlbWlzc2lvbiBhY2NvdW50aW5nPC90aXRsZT48
c2Vjb25kYXJ5LXRpdGxlPlBsb3MgT25lPC9zZWNvbmRhcnktdGl0bGU+PC90aXRsZXM+PHBlcmlv
ZGljYWw+PGZ1bGwtdGl0bGU+UGxvcyBPbmU8L2Z1bGwtdGl0bGU+PC9wZXJpb2RpY2FsPjxwYWdl
cz5lMDI3MjY2NzwvcGFnZXM+PHZvbHVtZT4xNzwvdm9sdW1lPjxudW1iZXI+OTwvbnVtYmVyPjxk
YXRlcz48eWVhcj4yMDIyPC95ZWFyPjwvZGF0ZXM+PGlzYm4+MTkzMi02MjAzPC9pc2JuPjx1cmxz
PjwvdXJscz48L3JlY29yZD48L0NpdGU+PENpdGU+PEF1dGhvcj5HdW88L0F1dGhvcj48WWVhcj4y
MDIyPC9ZZWFyPjxSZWNOdW0+MjA8L1JlY051bT48cmVjb3JkPjxyZWMtbnVtYmVyPjIwPC9yZWMt
bnVtYmVyPjxmb3JlaWduLWtleXM+PGtleSBhcHA9IkVOIiBkYi1pZD0iNXZ6NXZmd2QzMnNhd2Vl
ZWVkcnh4cnBtOTU5ZGF0cjBzd3h0IiB0aW1lc3RhbXA9IjE3MTQxMjA1NjYiPjIwPC9rZXk+PC9m
b3JlaWduLWtleXM+PHJlZi10eXBlIG5hbWU9IkpvdXJuYWwgQXJ0aWNsZSI+MTc8L3JlZi10eXBl
Pjxjb250cmlidXRvcnM+PGF1dGhvcnM+PGF1dGhvcj5HdW8sIExpamlhPC9hdXRob3I+PGF1dGhv
cj5MaSwgUGVpemhlPC9hdXRob3I+PGF1dGhvcj5aaGFuZywgSmluaGU8L2F1dGhvcj48YXV0aG9y
PlhpYW8sIFhpYW88L2F1dGhvcj48YXV0aG9yPlBlbmcsIEhvbmdzb25nPC9hdXRob3I+PC9hdXRo
b3JzPjwvY29udHJpYnV0b3JzPjx0aXRsZXM+PHRpdGxlPkRvIHNvY2lvLWVjb25vbWljIGZhY3Rv
cnMgbWF0dGVyPyBBIGNvbXByZWhlbnNpdmUgZXZhbHVhdGlvbiBvZiB0b3VyaXNtIGVjby1lZmZp
Y2llbmN5IGRldGVybWluYW50cyBpbiBDaGluYSBiYXNlZCBvbiB0aGUgR2VvZ3JhcGhpY2FsIERl
dGVjdG9yIE1vZGVsPC90aXRsZT48c2Vjb25kYXJ5LXRpdGxlPkpvdXJuYWwgb2YgRW52aXJvbm1l
bnRhbCBNYW5hZ2VtZW50PC9zZWNvbmRhcnktdGl0bGU+PC90aXRsZXM+PHBlcmlvZGljYWw+PGZ1
bGwtdGl0bGU+Sm91cm5hbCBvZiBFbnZpcm9ubWVudGFsIE1hbmFnZW1lbnQ8L2Z1bGwtdGl0bGU+
PC9wZXJpb2RpY2FsPjxwYWdlcz4xMTU4MTI8L3BhZ2VzPjx2b2x1bWU+MzIwPC92b2x1bWU+PGtl
eXdvcmRzPjxrZXl3b3JkPlRvdXJpc20gZWNvLWVmZmljaWVuY3k8L2tleXdvcmQ+PGtleXdvcmQ+
U3VwZXItU0JNIG1vZGVsPC9rZXl3b3JkPjxrZXl3b3JkPkdlb2dyYXBoaWNhbCBkZXRlY3RvciBt
b2RlbDwva2V5d29yZD48a2V5d29yZD5DaGluYTwva2V5d29yZD48L2tleXdvcmRzPjxkYXRlcz48
eWVhcj4yMDIyPC95ZWFyPjxwdWItZGF0ZXM+PGRhdGU+MjAyMi8xMC8xNS88L2RhdGU+PC9wdWIt
ZGF0ZXM+PC9kYXRlcz48aXNibj4wMzAxLTQ3OTc8L2lzYm4+PHVybHM+PHJlbGF0ZWQtdXJscz48
dXJsPmh0dHBzOi8vd3d3LnNjaWVuY2VkaXJlY3QuY29tL3NjaWVuY2UvYXJ0aWNsZS9waWkvUzAz
MDE0Nzk3MjIwMTM4NTg8L3VybD48L3JlbGF0ZWQtdXJscz48L3VybHM+PGVsZWN0cm9uaWMtcmVz
b3VyY2UtbnVtPmh0dHBzOi8vZG9pLm9yZy8xMC4xMDE2L2ouamVudm1hbi4yMDIyLjExNTgxMjwv
ZWxlY3Ryb25pYy1yZXNvdXJjZS1udW0+PC9yZWNvcmQ+PC9DaXRlPjwvRW5kTm90ZT5AADAA
</w:fldData>
        </w:fldChar>
      </w:r>
      <w:r>
        <w:rPr>
          <w:rFonts w:ascii="Times New Roman" w:hAnsi="Times New Roman" w:eastAsia="宋体" w:cs="Times New Roman"/>
          <w:sz w:val="21"/>
          <w:szCs w:val="21"/>
          <w14:ligatures w14:val="none"/>
        </w:rPr>
        <w:instrText xml:space="preserve"> ADDIN EN.CITE.DATA </w:instrText>
      </w:r>
      <w:r>
        <w:rPr>
          <w:rFonts w:ascii="Times New Roman" w:hAnsi="Times New Roman" w:eastAsia="宋体" w:cs="Times New Roman"/>
          <w:sz w:val="21"/>
          <w:szCs w:val="21"/>
          <w14:ligatures w14:val="none"/>
        </w:rPr>
        <w:fldChar w:fldCharType="end"/>
      </w:r>
      <w:r>
        <w:rPr>
          <w:rFonts w:ascii="Times New Roman" w:hAnsi="Times New Roman" w:eastAsia="宋体" w:cs="Times New Roman"/>
          <w:sz w:val="21"/>
          <w:szCs w:val="21"/>
          <w14:ligatures w14:val="none"/>
        </w:rPr>
        <w:fldChar w:fldCharType="separate"/>
      </w:r>
      <w:r>
        <w:rPr>
          <w:rFonts w:ascii="Times New Roman" w:hAnsi="Times New Roman" w:eastAsia="宋体" w:cs="Times New Roman"/>
          <w:sz w:val="21"/>
          <w:szCs w:val="21"/>
          <w14:ligatures w14:val="none"/>
        </w:rPr>
        <w:t>(Guo et al., 2022; Wang et al., 2022a)</w:t>
      </w:r>
      <w:r>
        <w:rPr>
          <w:rFonts w:ascii="Times New Roman" w:hAnsi="Times New Roman" w:eastAsia="宋体" w:cs="Times New Roman"/>
          <w:sz w:val="21"/>
          <w:szCs w:val="21"/>
          <w14:ligatures w14:val="none"/>
        </w:rPr>
        <w:fldChar w:fldCharType="end"/>
      </w:r>
      <w:r>
        <w:rPr>
          <w:rFonts w:hint="eastAsia"/>
          <w:sz w:val="21"/>
          <w:szCs w:val="21"/>
          <w14:ligatures w14:val="none"/>
        </w:rPr>
        <w:t xml:space="preserve"> </w:t>
      </w:r>
      <w:r>
        <w:rPr>
          <w:rFonts w:hint="eastAsia" w:ascii="Times New Roman" w:hAnsi="Times New Roman" w:eastAsia="宋体" w:cs="Times New Roman"/>
          <w:sz w:val="21"/>
          <w:szCs w:val="21"/>
          <w14:ligatures w14:val="none"/>
        </w:rPr>
        <w:t xml:space="preserve">and proposes the following indicator system (see Table 2). </w:t>
      </w:r>
    </w:p>
    <w:p w14:paraId="57DB91DB">
      <w:pPr>
        <w:spacing w:after="0" w:line="360" w:lineRule="auto"/>
        <w:ind w:firstLine="420" w:firstLineChars="200"/>
        <w:jc w:val="both"/>
        <w:rPr>
          <w:rFonts w:ascii="Times New Roman" w:hAnsi="Times New Roman" w:eastAsia="宋体" w:cs="Times New Roman"/>
          <w:color w:val="auto"/>
          <w:sz w:val="21"/>
          <w:szCs w:val="21"/>
          <w14:ligatures w14:val="none"/>
        </w:rPr>
      </w:pPr>
      <w:r>
        <w:rPr>
          <w:rFonts w:hint="eastAsia" w:ascii="Times New Roman" w:hAnsi="Times New Roman" w:eastAsia="宋体" w:cs="Times New Roman"/>
          <w:sz w:val="21"/>
          <w:szCs w:val="21"/>
          <w14:ligatures w14:val="none"/>
        </w:rPr>
        <w:t xml:space="preserve">Firstly, in terms of input indicators, labor, capital, and land are regarded as the basic production factors of tourism economic activities </w:t>
      </w:r>
      <w:r>
        <w:rPr>
          <w:rFonts w:ascii="Times New Roman" w:hAnsi="Times New Roman" w:eastAsia="宋体" w:cs="Times New Roman"/>
          <w:sz w:val="21"/>
          <w:szCs w:val="21"/>
          <w14:ligatures w14:val="none"/>
        </w:rPr>
        <w:fldChar w:fldCharType="begin"/>
      </w:r>
      <w:r>
        <w:rPr>
          <w:rFonts w:ascii="Times New Roman" w:hAnsi="Times New Roman" w:eastAsia="宋体" w:cs="Times New Roman"/>
          <w:sz w:val="21"/>
          <w:szCs w:val="21"/>
          <w14:ligatures w14:val="none"/>
        </w:rPr>
        <w:instrText xml:space="preserve"> ADDIN EN.CITE &lt;EndNote&gt;&lt;Cite&gt;&lt;Author&gt;Zha&lt;/Author&gt;&lt;Year&gt;2020&lt;/Year&gt;&lt;RecNum&gt;12&lt;/RecNum&gt;&lt;DisplayText&gt;(Zha et al., 2020)&lt;/DisplayText&gt;&lt;record&gt;&lt;rec-number&gt;12&lt;/rec-number&gt;&lt;foreign-keys&gt;&lt;key app="EN" db-id="5vz5vfwd32saweeeedrxxrpm959datr0swxt" timestamp="1714116130"&gt;12&lt;/key&gt;&lt;/foreign-keys&gt;&lt;ref-type name="Journal Article"&gt;17&lt;/ref-type&gt;&lt;contributors&gt;&lt;authors&gt;&lt;author&gt;Zha, Jianping&lt;/author&gt;&lt;author&gt;Yuan, Wenwen&lt;/author&gt;&lt;author&gt;Dai, Jiaquan&lt;/author&gt;&lt;author&gt;Tan, Ting&lt;/author&gt;&lt;author&gt;He, Lamei&lt;/author&gt;&lt;/authors&gt;&lt;/contributors&gt;&lt;titles&gt;&lt;title&gt;Eco-efficiency, eco-productivity and tourism growth in China: A non-convex metafrontier DEA-based decomposition model&lt;/title&gt;&lt;secondary-title&gt;Journal of Sustainable Tourism&lt;/secondary-title&gt;&lt;/titles&gt;&lt;periodical&gt;&lt;full-title&gt;Journal of Sustainable Tourism&lt;/full-title&gt;&lt;/periodical&gt;&lt;pages&gt;663-685&lt;/pages&gt;&lt;volume&gt;28&lt;/volume&gt;&lt;number&gt;5&lt;/number&gt;&lt;dates&gt;&lt;year&gt;2020&lt;/year&gt;&lt;/dates&gt;&lt;isbn&gt;0966-9582&lt;/isbn&gt;&lt;urls&gt;&lt;/urls&gt;&lt;/record&gt;&lt;/Cite&gt;&lt;/EndNote&gt;</w:instrText>
      </w:r>
      <w:r>
        <w:rPr>
          <w:rFonts w:ascii="Times New Roman" w:hAnsi="Times New Roman" w:eastAsia="宋体" w:cs="Times New Roman"/>
          <w:sz w:val="21"/>
          <w:szCs w:val="21"/>
          <w14:ligatures w14:val="none"/>
        </w:rPr>
        <w:fldChar w:fldCharType="separate"/>
      </w:r>
      <w:r>
        <w:rPr>
          <w:rFonts w:ascii="Times New Roman" w:hAnsi="Times New Roman" w:eastAsia="宋体" w:cs="Times New Roman"/>
          <w:sz w:val="21"/>
          <w:szCs w:val="21"/>
          <w14:ligatures w14:val="none"/>
        </w:rPr>
        <w:t>(Zha et al., 2020)</w:t>
      </w:r>
      <w:r>
        <w:rPr>
          <w:rFonts w:ascii="Times New Roman" w:hAnsi="Times New Roman" w:eastAsia="宋体" w:cs="Times New Roman"/>
          <w:sz w:val="21"/>
          <w:szCs w:val="21"/>
          <w14:ligatures w14:val="none"/>
        </w:rPr>
        <w:fldChar w:fldCharType="end"/>
      </w:r>
      <w:r>
        <w:rPr>
          <w:rFonts w:hint="eastAsia" w:ascii="Times New Roman" w:hAnsi="Times New Roman" w:eastAsia="宋体" w:cs="Times New Roman"/>
          <w:sz w:val="21"/>
          <w:szCs w:val="21"/>
          <w14:ligatures w14:val="none"/>
        </w:rPr>
        <w:t xml:space="preserve">. During the study period, there were significant differences in the statistical standards for tourism labor, resulting in large data fluctuations. This study uses the number of people employed in the tertiary industry as a proxy indicator. </w:t>
      </w:r>
      <w:r>
        <w:rPr>
          <w:rFonts w:hint="eastAsia" w:ascii="Times New Roman" w:hAnsi="Times New Roman" w:eastAsia="宋体" w:cs="Times New Roman"/>
          <w:color w:val="auto"/>
          <w:sz w:val="21"/>
          <w:szCs w:val="21"/>
          <w14:ligatures w14:val="none"/>
        </w:rPr>
        <w:t xml:space="preserve">Capital refers to the investment resources associated with tourism economic activities. In this study, it specifically refers to fixed asset investment. Due to limitations in tourism fixed asset investment data and drawing from existing research, this study uses the sum of the number of star-rated hotels, travel agencies, and weighted scenic spots as a representation of fixed asset investment. Another input indicator selected in this study is tourism energy consumption </w:t>
      </w:r>
      <w:r>
        <w:rPr>
          <w:rFonts w:ascii="Times New Roman" w:hAnsi="Times New Roman" w:eastAsia="宋体" w:cs="Times New Roman"/>
          <w:color w:val="auto"/>
          <w:sz w:val="21"/>
          <w:szCs w:val="21"/>
          <w14:ligatures w14:val="none"/>
        </w:rPr>
        <w:fldChar w:fldCharType="begin"/>
      </w:r>
      <w:r>
        <w:rPr>
          <w:rFonts w:ascii="Times New Roman" w:hAnsi="Times New Roman" w:eastAsia="宋体" w:cs="Times New Roman"/>
          <w:color w:val="auto"/>
          <w:sz w:val="21"/>
          <w:szCs w:val="21"/>
          <w14:ligatures w14:val="none"/>
        </w:rPr>
        <w:instrText xml:space="preserve"> ADDIN EN.CITE &lt;EndNote&gt;&lt;Cite&gt;&lt;Author&gt;Perch-Nielsen&lt;/Author&gt;&lt;Year&gt;2010&lt;/Year&gt;&lt;RecNum&gt;11&lt;/RecNum&gt;&lt;DisplayText&gt;(Perch-Nielsen et al., 2010)&lt;/DisplayText&gt;&lt;record&gt;&lt;rec-number&gt;11&lt;/rec-number&gt;&lt;foreign-keys&gt;&lt;key app="EN" db-id="5vz5vfwd32saweeeedrxxrpm959datr0swxt" timestamp="1714115925"&gt;11&lt;/key&gt;&lt;/foreign-keys&gt;&lt;ref-type name="Journal Article"&gt;17&lt;/ref-type&gt;&lt;contributors&gt;&lt;authors&gt;&lt;author&gt;Perch-Nielsen, Sabine&lt;/author&gt;&lt;author&gt;Sesartic, Ana&lt;/author&gt;&lt;author&gt;Stucki, Matthias&lt;/author&gt;&lt;/authors&gt;&lt;/contributors&gt;&lt;titles&gt;&lt;title&gt;The greenhouse gas intensity of the tourism sector: The case of Switzerland&lt;/title&gt;&lt;secondary-title&gt;Environmental Science &amp;amp; Policy&lt;/secondary-title&gt;&lt;/titles&gt;&lt;periodical&gt;&lt;full-title&gt;Environmental Science &amp;amp; Policy&lt;/full-title&gt;&lt;/periodical&gt;&lt;pages&gt;131-140&lt;/pages&gt;&lt;volume&gt;13&lt;/volume&gt;&lt;number&gt;2&lt;/number&gt;&lt;dates&gt;&lt;year&gt;2010&lt;/year&gt;&lt;/dates&gt;&lt;isbn&gt;1462-9011&lt;/isbn&gt;&lt;urls&gt;&lt;/urls&gt;&lt;/record&gt;&lt;/Cite&gt;&lt;/EndNote&gt;</w:instrText>
      </w:r>
      <w:r>
        <w:rPr>
          <w:rFonts w:ascii="Times New Roman" w:hAnsi="Times New Roman" w:eastAsia="宋体" w:cs="Times New Roman"/>
          <w:color w:val="auto"/>
          <w:sz w:val="21"/>
          <w:szCs w:val="21"/>
          <w14:ligatures w14:val="none"/>
        </w:rPr>
        <w:fldChar w:fldCharType="separate"/>
      </w:r>
      <w:r>
        <w:rPr>
          <w:rFonts w:ascii="Times New Roman" w:hAnsi="Times New Roman" w:eastAsia="宋体" w:cs="Times New Roman"/>
          <w:color w:val="auto"/>
          <w:sz w:val="21"/>
          <w:szCs w:val="21"/>
          <w14:ligatures w14:val="none"/>
        </w:rPr>
        <w:t>(Perch-Nielsen et al., 2010)</w:t>
      </w:r>
      <w:r>
        <w:rPr>
          <w:rFonts w:ascii="Times New Roman" w:hAnsi="Times New Roman" w:eastAsia="宋体" w:cs="Times New Roman"/>
          <w:color w:val="auto"/>
          <w:sz w:val="21"/>
          <w:szCs w:val="21"/>
          <w14:ligatures w14:val="none"/>
        </w:rPr>
        <w:fldChar w:fldCharType="end"/>
      </w:r>
      <w:r>
        <w:rPr>
          <w:rFonts w:hint="eastAsia" w:ascii="Times New Roman" w:hAnsi="Times New Roman" w:eastAsia="宋体" w:cs="Times New Roman"/>
          <w:color w:val="auto"/>
          <w:sz w:val="21"/>
          <w:szCs w:val="21"/>
          <w14:ligatures w14:val="none"/>
        </w:rPr>
        <w:t xml:space="preserve">. This study estimates tourism energy consumption and carbon emissions indirectly </w:t>
      </w:r>
      <w:r>
        <w:rPr>
          <w:rFonts w:ascii="Times New Roman" w:hAnsi="Times New Roman" w:eastAsia="宋体" w:cs="Times New Roman"/>
          <w:color w:val="auto"/>
          <w:sz w:val="21"/>
          <w:szCs w:val="21"/>
          <w14:ligatures w14:val="none"/>
        </w:rPr>
        <w:fldChar w:fldCharType="begin"/>
      </w:r>
      <w:r>
        <w:rPr>
          <w:rFonts w:ascii="Times New Roman" w:hAnsi="Times New Roman" w:eastAsia="宋体" w:cs="Times New Roman"/>
          <w:color w:val="auto"/>
          <w:sz w:val="21"/>
          <w:szCs w:val="21"/>
          <w14:ligatures w14:val="none"/>
        </w:rPr>
        <w:instrText xml:space="preserve"> ADDIN EN.CITE &lt;EndNote&gt;&lt;Cite&gt;&lt;Author&gt;Becken&lt;/Author&gt;&lt;Year&gt;2006&lt;/Year&gt;&lt;RecNum&gt;32&lt;/RecNum&gt;&lt;DisplayText&gt;(Becken and Patterson, 2006; Perch-Nielsen et al., 2010)&lt;/DisplayText&gt;&lt;record&gt;&lt;rec-number&gt;32&lt;/rec-number&gt;&lt;foreign-keys&gt;&lt;key app="EN" db-id="5vz5vfwd32saweeeedrxxrpm959datr0swxt" timestamp="1714132338"&gt;32&lt;/key&gt;&lt;/foreign-keys&gt;&lt;ref-type name="Journal Article"&gt;17&lt;/ref-type&gt;&lt;contributors&gt;&lt;authors&gt;&lt;author&gt;Becken, Susanne&lt;/author&gt;&lt;author&gt;Patterson, Murray&lt;/author&gt;&lt;/authors&gt;&lt;/contributors&gt;&lt;titles&gt;&lt;title&gt;Measuring national carbon dioxide emissions from tourism as a key step towards achieving sustainable tourism&lt;/title&gt;&lt;secondary-title&gt;Journal of Sustainable tourism&lt;/secondary-title&gt;&lt;/titles&gt;&lt;periodical&gt;&lt;full-title&gt;Journal of Sustainable Tourism&lt;/full-title&gt;&lt;/periodical&gt;&lt;pages&gt;323-338&lt;/pages&gt;&lt;volume&gt;14&lt;/volume&gt;&lt;number&gt;4&lt;/number&gt;&lt;dates&gt;&lt;year&gt;2006&lt;/year&gt;&lt;/dates&gt;&lt;isbn&gt;0966-9582&lt;/isbn&gt;&lt;urls&gt;&lt;/urls&gt;&lt;/record&gt;&lt;/Cite&gt;&lt;Cite&gt;&lt;Author&gt;Perch-Nielsen&lt;/Author&gt;&lt;Year&gt;2010&lt;/Year&gt;&lt;RecNum&gt;11&lt;/RecNum&gt;&lt;record&gt;&lt;rec-number&gt;11&lt;/rec-number&gt;&lt;foreign-keys&gt;&lt;key app="EN" db-id="5vz5vfwd32saweeeedrxxrpm959datr0swxt" timestamp="1714115925"&gt;11&lt;/key&gt;&lt;/foreign-keys&gt;&lt;ref-type name="Journal Article"&gt;17&lt;/ref-type&gt;&lt;contributors&gt;&lt;authors&gt;&lt;author&gt;Perch-Nielsen, Sabine&lt;/author&gt;&lt;author&gt;Sesartic, Ana&lt;/author&gt;&lt;author&gt;Stucki, Matthias&lt;/author&gt;&lt;/authors&gt;&lt;/contributors&gt;&lt;titles&gt;&lt;title&gt;The greenhouse gas intensity of the tourism sector: The case of Switzerland&lt;/title&gt;&lt;secondary-title&gt;Environmental Science &amp;amp; Policy&lt;/secondary-title&gt;&lt;/titles&gt;&lt;periodical&gt;&lt;full-title&gt;Environmental Science &amp;amp; Policy&lt;/full-title&gt;&lt;/periodical&gt;&lt;pages&gt;131-140&lt;/pages&gt;&lt;volume&gt;13&lt;/volume&gt;&lt;number&gt;2&lt;/number&gt;&lt;dates&gt;&lt;year&gt;2010&lt;/year&gt;&lt;/dates&gt;&lt;isbn&gt;1462-9011&lt;/isbn&gt;&lt;urls&gt;&lt;/urls&gt;&lt;/record&gt;&lt;/Cite&gt;&lt;/EndNote&gt;</w:instrText>
      </w:r>
      <w:r>
        <w:rPr>
          <w:rFonts w:ascii="Times New Roman" w:hAnsi="Times New Roman" w:eastAsia="宋体" w:cs="Times New Roman"/>
          <w:color w:val="auto"/>
          <w:sz w:val="21"/>
          <w:szCs w:val="21"/>
          <w14:ligatures w14:val="none"/>
        </w:rPr>
        <w:fldChar w:fldCharType="separate"/>
      </w:r>
      <w:r>
        <w:rPr>
          <w:rFonts w:ascii="Times New Roman" w:hAnsi="Times New Roman" w:eastAsia="宋体" w:cs="Times New Roman"/>
          <w:color w:val="auto"/>
          <w:sz w:val="21"/>
          <w:szCs w:val="21"/>
          <w14:ligatures w14:val="none"/>
        </w:rPr>
        <w:t>(Becken and Patterson, 2006; Perch-Nielsen et al., 2010)</w:t>
      </w:r>
      <w:r>
        <w:rPr>
          <w:rFonts w:ascii="Times New Roman" w:hAnsi="Times New Roman" w:eastAsia="宋体" w:cs="Times New Roman"/>
          <w:color w:val="auto"/>
          <w:sz w:val="21"/>
          <w:szCs w:val="21"/>
          <w14:ligatures w14:val="none"/>
        </w:rPr>
        <w:fldChar w:fldCharType="end"/>
      </w:r>
      <w:r>
        <w:rPr>
          <w:rFonts w:hint="eastAsia" w:ascii="Times New Roman" w:hAnsi="Times New Roman" w:eastAsia="宋体" w:cs="Times New Roman"/>
          <w:color w:val="auto"/>
          <w:sz w:val="21"/>
          <w:szCs w:val="21"/>
          <w14:ligatures w14:val="none"/>
        </w:rPr>
        <w:t xml:space="preserve">. Land refers to the land resources used for tourism development, such as land for building scenic spots, hotels, transportation facilities, etc. However, because tourism satellite accounts do not include tourism land, this factor is not considered in this study. </w:t>
      </w:r>
    </w:p>
    <w:p w14:paraId="5C05DBEA">
      <w:pPr>
        <w:spacing w:after="0" w:line="360" w:lineRule="auto"/>
        <w:ind w:firstLine="420" w:firstLineChars="200"/>
        <w:jc w:val="both"/>
        <w:rPr>
          <w:rFonts w:hint="default" w:ascii="Times New Roman" w:hAnsi="Times New Roman" w:cs="Times New Roman"/>
          <w:color w:val="auto"/>
          <w:sz w:val="21"/>
          <w:szCs w:val="21"/>
          <w:lang w:val="en-US" w:eastAsia="zh-CN"/>
          <w14:ligatures w14:val="none"/>
        </w:rPr>
      </w:pPr>
      <w:r>
        <w:rPr>
          <w:rFonts w:hint="eastAsia" w:ascii="Times New Roman" w:hAnsi="Times New Roman" w:eastAsia="宋体" w:cs="Times New Roman"/>
          <w:sz w:val="21"/>
          <w:szCs w:val="21"/>
          <w14:ligatures w14:val="none"/>
        </w:rPr>
        <w:t xml:space="preserve">Secondly, in terms of expected output indicators, the tourism industry aims to meet tourist demand and create social and economic output. Economic output is the ideal output indicator. This study uses total tourism revenue to represent economic output. To eliminate the impact of price fluctuations, the study uses the Consumer Price Index (CPI), with 2011 as the base year, to convert total tourism revenue into constant prices. The total number of tourist arrivals is considered a proxy for social output. Additionally, tourist satisfaction is also an ideal indicator of output for a tourism destination, but due to data limitations, this indicator is not considered </w:t>
      </w:r>
      <w:r>
        <w:rPr>
          <w:rFonts w:ascii="Times New Roman" w:hAnsi="Times New Roman" w:eastAsia="宋体" w:cs="Times New Roman"/>
          <w:sz w:val="21"/>
          <w:szCs w:val="21"/>
          <w14:ligatures w14:val="none"/>
        </w:rPr>
        <w:fldChar w:fldCharType="begin"/>
      </w:r>
      <w:r>
        <w:rPr>
          <w:rFonts w:ascii="Times New Roman" w:hAnsi="Times New Roman" w:eastAsia="宋体" w:cs="Times New Roman"/>
          <w:sz w:val="21"/>
          <w:szCs w:val="21"/>
          <w14:ligatures w14:val="none"/>
        </w:rPr>
        <w:instrText xml:space="preserve"> ADDIN EN.CITE &lt;EndNote&gt;&lt;Cite&gt;&lt;Author&gt;Peng&lt;/Author&gt;&lt;Year&gt;2017&lt;/Year&gt;&lt;RecNum&gt;1&lt;/RecNum&gt;&lt;DisplayText&gt;(Peng et al., 2017)&lt;/DisplayText&gt;&lt;record&gt;&lt;rec-number&gt;1&lt;/rec-number&gt;&lt;foreign-keys&gt;&lt;key app="EN" db-id="5vz5vfwd32saweeeedrxxrpm959datr0swxt" timestamp="1714113554"&gt;1&lt;/key&gt;&lt;/foreign-keys&gt;&lt;ref-type name="Journal Article"&gt;17&lt;/ref-type&gt;&lt;contributors&gt;&lt;authors&gt;&lt;author&gt;Peng, Hongsong&lt;/author&gt;&lt;author&gt;Zhang, Jinhe&lt;/author&gt;&lt;author&gt;Lu, Lin&lt;/author&gt;&lt;author&gt;Tang, Guorong&lt;/author&gt;&lt;author&gt;Yan, Bingjin&lt;/author&gt;&lt;author&gt;Xiao, Xiao&lt;/author&gt;&lt;author&gt;Han, Ya&lt;/author&gt;&lt;/authors&gt;&lt;/contributors&gt;&lt;titles&gt;&lt;title&gt;Eco-efficiency and its determinants at a tourism destination: A case study of Huangshan National Park, China&lt;/title&gt;&lt;secondary-title&gt;Tourism Management&lt;/secondary-title&gt;&lt;/titles&gt;&lt;periodical&gt;&lt;full-title&gt;Tourism Management&lt;/full-title&gt;&lt;/periodical&gt;&lt;pages&gt;201-211&lt;/pages&gt;&lt;volume&gt;60&lt;/volume&gt;&lt;dates&gt;&lt;year&gt;2017&lt;/year&gt;&lt;/dates&gt;&lt;isbn&gt;0261-5177&lt;/isbn&gt;&lt;urls&gt;&lt;/urls&gt;&lt;/record&gt;&lt;/Cite&gt;&lt;/EndNote&gt;</w:instrText>
      </w:r>
      <w:r>
        <w:rPr>
          <w:rFonts w:ascii="Times New Roman" w:hAnsi="Times New Roman" w:eastAsia="宋体" w:cs="Times New Roman"/>
          <w:sz w:val="21"/>
          <w:szCs w:val="21"/>
          <w14:ligatures w14:val="none"/>
        </w:rPr>
        <w:fldChar w:fldCharType="separate"/>
      </w:r>
      <w:r>
        <w:rPr>
          <w:rFonts w:ascii="Times New Roman" w:hAnsi="Times New Roman" w:eastAsia="宋体" w:cs="Times New Roman"/>
          <w:sz w:val="21"/>
          <w:szCs w:val="21"/>
          <w14:ligatures w14:val="none"/>
        </w:rPr>
        <w:t>(Peng et al., 2017)</w:t>
      </w:r>
      <w:r>
        <w:rPr>
          <w:rFonts w:ascii="Times New Roman" w:hAnsi="Times New Roman" w:eastAsia="宋体" w:cs="Times New Roman"/>
          <w:sz w:val="21"/>
          <w:szCs w:val="21"/>
          <w14:ligatures w14:val="none"/>
        </w:rPr>
        <w:fldChar w:fldCharType="end"/>
      </w:r>
      <w:r>
        <w:rPr>
          <w:rFonts w:hint="eastAsia" w:ascii="Times New Roman" w:hAnsi="Times New Roman" w:eastAsia="宋体" w:cs="Times New Roman"/>
          <w:sz w:val="21"/>
          <w:szCs w:val="21"/>
          <w14:ligatures w14:val="none"/>
        </w:rPr>
        <w:t>. In terms of unintended output indicators, during tourism economic activities, the emission of pollutants is inevitable when using production factors to produce goods and services. Tourism carbon emissions reflect the impact of tourism development on the ecological environment, so tourism carbon emissions are considered a negative output in</w:t>
      </w:r>
      <w:r>
        <w:rPr>
          <w:rFonts w:hint="eastAsia" w:ascii="Times New Roman" w:hAnsi="Times New Roman" w:eastAsia="宋体" w:cs="Times New Roman"/>
          <w:color w:val="auto"/>
          <w:sz w:val="21"/>
          <w:szCs w:val="21"/>
          <w14:ligatures w14:val="none"/>
        </w:rPr>
        <w:t xml:space="preserve">dicator. Following the approach in previous studies </w:t>
      </w:r>
      <w:r>
        <w:rPr>
          <w:rFonts w:ascii="Times New Roman" w:hAnsi="Times New Roman" w:eastAsia="宋体" w:cs="Times New Roman"/>
          <w:color w:val="auto"/>
          <w:sz w:val="21"/>
          <w:szCs w:val="21"/>
          <w14:ligatures w14:val="none"/>
        </w:rPr>
        <w:fldChar w:fldCharType="begin"/>
      </w:r>
      <w:r>
        <w:rPr>
          <w:rFonts w:ascii="Times New Roman" w:hAnsi="Times New Roman" w:eastAsia="宋体" w:cs="Times New Roman"/>
          <w:color w:val="auto"/>
          <w:sz w:val="21"/>
          <w:szCs w:val="21"/>
          <w14:ligatures w14:val="none"/>
        </w:rPr>
        <w:instrText xml:space="preserve"> ADDIN EN.CITE &lt;EndNote&gt;&lt;Cite&gt;&lt;Author&gt;Wang&lt;/Author&gt;&lt;Year&gt;2022&lt;/Year&gt;&lt;RecNum&gt;61&lt;/RecNum&gt;&lt;DisplayText&gt;(Wang et al., 2022a)&lt;/DisplayText&gt;&lt;record&gt;&lt;rec-number&gt;61&lt;/rec-number&gt;&lt;foreign-keys&gt;&lt;key app="EN" db-id="5vz5vfwd32saweeeedrxxrpm959datr0swxt" timestamp="1733968446"&gt;61&lt;/key&gt;&lt;/foreign-keys&gt;&lt;ref-type name="Journal Article"&gt;17&lt;/ref-type&gt;&lt;contributors&gt;&lt;authors&gt;&lt;author&gt;Wang, Chao&lt;/author&gt;&lt;author&gt;Xu, Lele&lt;/author&gt;&lt;author&gt;Huang, Menglan&lt;/author&gt;&lt;author&gt;Su, Xiaofeng&lt;/author&gt;&lt;author&gt;Lai, Riwen&lt;/author&gt;&lt;author&gt;Xu, Anxin&lt;/author&gt;&lt;/authors&gt;&lt;/contributors&gt;&lt;titles&gt;&lt;title&gt;Research on the evolution of spatial network structure of tourism eco-efficiency and its influencing factors in China’s provinces based on carbon emission accounting&lt;/title&gt;&lt;secondary-title&gt;PLoS One&lt;/secondary-title&gt;&lt;/titles&gt;&lt;periodical&gt;&lt;full-title&gt;Plos One&lt;/full-title&gt;&lt;/periodical&gt;&lt;pages&gt;e0272667&lt;/pages&gt;&lt;volume&gt;17&lt;/volume&gt;&lt;number&gt;9&lt;/number&gt;&lt;dates&gt;&lt;year&gt;2022&lt;/year&gt;&lt;/dates&gt;&lt;isbn&gt;1932-6203&lt;/isbn&gt;&lt;urls&gt;&lt;/urls&gt;&lt;/record&gt;&lt;/Cite&gt;&lt;/EndNote&gt;</w:instrText>
      </w:r>
      <w:r>
        <w:rPr>
          <w:rFonts w:ascii="Times New Roman" w:hAnsi="Times New Roman" w:eastAsia="宋体" w:cs="Times New Roman"/>
          <w:color w:val="auto"/>
          <w:sz w:val="21"/>
          <w:szCs w:val="21"/>
          <w14:ligatures w14:val="none"/>
        </w:rPr>
        <w:fldChar w:fldCharType="separate"/>
      </w:r>
      <w:r>
        <w:rPr>
          <w:rFonts w:ascii="Times New Roman" w:hAnsi="Times New Roman" w:eastAsia="宋体" w:cs="Times New Roman"/>
          <w:color w:val="auto"/>
          <w:sz w:val="21"/>
          <w:szCs w:val="21"/>
          <w14:ligatures w14:val="none"/>
        </w:rPr>
        <w:t>(Wang et al., 2022a)</w:t>
      </w:r>
      <w:r>
        <w:rPr>
          <w:rFonts w:ascii="Times New Roman" w:hAnsi="Times New Roman" w:eastAsia="宋体" w:cs="Times New Roman"/>
          <w:color w:val="auto"/>
          <w:sz w:val="21"/>
          <w:szCs w:val="21"/>
          <w14:ligatures w14:val="none"/>
        </w:rPr>
        <w:fldChar w:fldCharType="end"/>
      </w:r>
      <w:r>
        <w:rPr>
          <w:rFonts w:hint="eastAsia" w:ascii="Times New Roman" w:hAnsi="Times New Roman" w:eastAsia="宋体" w:cs="Times New Roman"/>
          <w:color w:val="auto"/>
          <w:sz w:val="21"/>
          <w:szCs w:val="21"/>
          <w14:ligatures w14:val="none"/>
        </w:rPr>
        <w:t>, this study adopts a bottom-up measurement method.</w:t>
      </w:r>
    </w:p>
    <w:p w14:paraId="4438F57B">
      <w:pPr>
        <w:spacing w:line="360" w:lineRule="auto"/>
        <w:ind w:firstLine="420" w:firstLineChars="200"/>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 xml:space="preserve">Table </w:t>
      </w:r>
      <w:r>
        <w:rPr>
          <w:rFonts w:hint="eastAsia" w:ascii="Times New Roman" w:hAnsi="Times New Roman" w:eastAsia="宋体" w:cs="Times New Roman"/>
          <w:sz w:val="21"/>
          <w:szCs w:val="21"/>
        </w:rPr>
        <w:t>1</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TIE</w:t>
      </w:r>
      <w:r>
        <w:rPr>
          <w:rFonts w:ascii="Times New Roman" w:hAnsi="Times New Roman" w:eastAsia="宋体" w:cs="Times New Roman"/>
          <w:sz w:val="21"/>
          <w:szCs w:val="21"/>
        </w:rPr>
        <w:t xml:space="preserve"> Measurement Indicators</w:t>
      </w:r>
    </w:p>
    <w:tbl>
      <w:tblPr>
        <w:tblStyle w:val="15"/>
        <w:tblW w:w="5000" w:type="pct"/>
        <w:jc w:val="center"/>
        <w:tblLayout w:type="autofit"/>
        <w:tblCellMar>
          <w:top w:w="0" w:type="dxa"/>
          <w:left w:w="108" w:type="dxa"/>
          <w:bottom w:w="0" w:type="dxa"/>
          <w:right w:w="108" w:type="dxa"/>
        </w:tblCellMar>
      </w:tblPr>
      <w:tblGrid>
        <w:gridCol w:w="2485"/>
        <w:gridCol w:w="3732"/>
        <w:gridCol w:w="4465"/>
      </w:tblGrid>
      <w:tr w14:paraId="4C04546B">
        <w:tblPrEx>
          <w:tblCellMar>
            <w:top w:w="0" w:type="dxa"/>
            <w:left w:w="108" w:type="dxa"/>
            <w:bottom w:w="0" w:type="dxa"/>
            <w:right w:w="108" w:type="dxa"/>
          </w:tblCellMar>
        </w:tblPrEx>
        <w:trPr>
          <w:trHeight w:val="498" w:hRule="atLeast"/>
          <w:jc w:val="center"/>
        </w:trPr>
        <w:tc>
          <w:tcPr>
            <w:tcW w:w="1163" w:type="pct"/>
            <w:tcBorders>
              <w:top w:val="single" w:color="auto" w:sz="8" w:space="0"/>
              <w:bottom w:val="single" w:color="auto" w:sz="8" w:space="0"/>
            </w:tcBorders>
            <w:shd w:val="clear" w:color="auto" w:fill="auto"/>
            <w:vAlign w:val="center"/>
          </w:tcPr>
          <w:p w14:paraId="5FA110B3">
            <w:pPr>
              <w:spacing w:line="360" w:lineRule="exact"/>
              <w:jc w:val="center"/>
              <w:rPr>
                <w:rFonts w:ascii="Times" w:hAnsi="Times" w:eastAsia="宋体" w:cs="Times New Roman"/>
                <w:color w:val="000000"/>
                <w:sz w:val="21"/>
                <w:szCs w:val="21"/>
              </w:rPr>
            </w:pPr>
            <w:r>
              <w:rPr>
                <w:rFonts w:hint="eastAsia" w:ascii="Times" w:hAnsi="Times" w:eastAsia="宋体" w:cs="Times New Roman"/>
                <w:color w:val="000000"/>
                <w:sz w:val="21"/>
                <w:szCs w:val="21"/>
                <w:lang w:val="en-US" w:eastAsia="zh-CN"/>
              </w:rPr>
              <w:t>I</w:t>
            </w:r>
            <w:r>
              <w:rPr>
                <w:rFonts w:ascii="Times" w:hAnsi="Times" w:eastAsia="宋体" w:cs="Times New Roman"/>
                <w:color w:val="000000"/>
                <w:sz w:val="21"/>
                <w:szCs w:val="21"/>
              </w:rPr>
              <w:t>ndicators</w:t>
            </w:r>
          </w:p>
        </w:tc>
        <w:tc>
          <w:tcPr>
            <w:tcW w:w="1747" w:type="pct"/>
            <w:tcBorders>
              <w:top w:val="single" w:color="auto" w:sz="8" w:space="0"/>
              <w:bottom w:val="single" w:color="auto" w:sz="8" w:space="0"/>
            </w:tcBorders>
            <w:shd w:val="clear" w:color="auto" w:fill="auto"/>
            <w:vAlign w:val="center"/>
          </w:tcPr>
          <w:p w14:paraId="410A86FB">
            <w:pPr>
              <w:spacing w:line="360" w:lineRule="exact"/>
              <w:jc w:val="center"/>
              <w:rPr>
                <w:rFonts w:ascii="Times" w:hAnsi="Times" w:eastAsia="宋体" w:cs="Times New Roman"/>
                <w:color w:val="000000"/>
                <w:sz w:val="21"/>
                <w:szCs w:val="21"/>
              </w:rPr>
            </w:pPr>
            <w:r>
              <w:rPr>
                <w:rFonts w:ascii="Times" w:hAnsi="Times" w:eastAsia="宋体" w:cs="Times New Roman"/>
                <w:color w:val="000000"/>
                <w:sz w:val="21"/>
                <w:szCs w:val="21"/>
              </w:rPr>
              <w:t>Specific target</w:t>
            </w:r>
          </w:p>
        </w:tc>
        <w:tc>
          <w:tcPr>
            <w:tcW w:w="2091" w:type="pct"/>
            <w:tcBorders>
              <w:top w:val="single" w:color="auto" w:sz="8" w:space="0"/>
              <w:bottom w:val="single" w:color="auto" w:sz="8" w:space="0"/>
            </w:tcBorders>
            <w:vAlign w:val="center"/>
          </w:tcPr>
          <w:p w14:paraId="4BE930DC">
            <w:pPr>
              <w:spacing w:line="360" w:lineRule="exact"/>
              <w:jc w:val="center"/>
              <w:rPr>
                <w:rFonts w:ascii="Times" w:hAnsi="Times" w:eastAsia="宋体" w:cs="Times New Roman"/>
                <w:color w:val="000000"/>
                <w:sz w:val="21"/>
                <w:szCs w:val="21"/>
              </w:rPr>
            </w:pPr>
            <w:r>
              <w:rPr>
                <w:rFonts w:ascii="Times" w:hAnsi="Times" w:eastAsia="宋体" w:cs="Times New Roman"/>
                <w:color w:val="000000"/>
                <w:sz w:val="21"/>
                <w:szCs w:val="21"/>
              </w:rPr>
              <w:t>D</w:t>
            </w:r>
            <w:r>
              <w:rPr>
                <w:rFonts w:hint="eastAsia" w:ascii="Times" w:hAnsi="Times" w:eastAsia="宋体" w:cs="Times New Roman"/>
                <w:color w:val="000000"/>
                <w:sz w:val="21"/>
                <w:szCs w:val="21"/>
              </w:rPr>
              <w:t>ata</w:t>
            </w:r>
            <w:r>
              <w:rPr>
                <w:rFonts w:ascii="Times" w:hAnsi="Times" w:eastAsia="宋体" w:cs="Times New Roman"/>
                <w:color w:val="000000"/>
                <w:sz w:val="21"/>
                <w:szCs w:val="21"/>
              </w:rPr>
              <w:t xml:space="preserve"> </w:t>
            </w:r>
            <w:r>
              <w:rPr>
                <w:rFonts w:hint="eastAsia" w:ascii="Times" w:hAnsi="Times" w:eastAsia="宋体" w:cs="Times New Roman"/>
                <w:color w:val="000000"/>
                <w:sz w:val="21"/>
                <w:szCs w:val="21"/>
              </w:rPr>
              <w:t>resources</w:t>
            </w:r>
          </w:p>
        </w:tc>
      </w:tr>
      <w:tr w14:paraId="3A94EEC7">
        <w:tblPrEx>
          <w:tblCellMar>
            <w:top w:w="0" w:type="dxa"/>
            <w:left w:w="108" w:type="dxa"/>
            <w:bottom w:w="0" w:type="dxa"/>
            <w:right w:w="108" w:type="dxa"/>
          </w:tblCellMar>
        </w:tblPrEx>
        <w:trPr>
          <w:trHeight w:val="508" w:hRule="atLeast"/>
          <w:jc w:val="center"/>
        </w:trPr>
        <w:tc>
          <w:tcPr>
            <w:tcW w:w="1163" w:type="pct"/>
            <w:tcBorders>
              <w:top w:val="single" w:color="auto" w:sz="8" w:space="0"/>
            </w:tcBorders>
            <w:shd w:val="clear" w:color="auto" w:fill="auto"/>
            <w:vAlign w:val="center"/>
          </w:tcPr>
          <w:p w14:paraId="5D27674F">
            <w:pPr>
              <w:spacing w:line="360" w:lineRule="exact"/>
              <w:jc w:val="center"/>
              <w:rPr>
                <w:rFonts w:ascii="Times" w:hAnsi="Times" w:eastAsia="宋体" w:cs="Times New Roman"/>
                <w:color w:val="000000"/>
                <w:sz w:val="21"/>
                <w:szCs w:val="21"/>
              </w:rPr>
            </w:pPr>
            <w:r>
              <w:rPr>
                <w:rFonts w:ascii="Times" w:hAnsi="Times" w:eastAsia="宋体" w:cs="Times New Roman"/>
                <w:color w:val="000000"/>
                <w:sz w:val="21"/>
                <w:szCs w:val="21"/>
              </w:rPr>
              <w:t>Workforce input</w:t>
            </w:r>
          </w:p>
        </w:tc>
        <w:tc>
          <w:tcPr>
            <w:tcW w:w="1747" w:type="pct"/>
            <w:tcBorders>
              <w:top w:val="single" w:color="auto" w:sz="8" w:space="0"/>
            </w:tcBorders>
            <w:shd w:val="clear" w:color="auto" w:fill="auto"/>
            <w:vAlign w:val="center"/>
          </w:tcPr>
          <w:p w14:paraId="4BB324C1">
            <w:pPr>
              <w:spacing w:line="360" w:lineRule="exact"/>
              <w:jc w:val="center"/>
              <w:rPr>
                <w:rFonts w:ascii="Times" w:hAnsi="Times" w:eastAsia="宋体" w:cs="Times New Roman"/>
                <w:color w:val="000000"/>
                <w:sz w:val="21"/>
                <w:szCs w:val="21"/>
              </w:rPr>
            </w:pPr>
            <w:bookmarkStart w:id="0" w:name="_Hlk108939995"/>
            <w:r>
              <w:rPr>
                <w:rFonts w:ascii="Times" w:hAnsi="Times" w:eastAsia="宋体" w:cs="Times New Roman"/>
                <w:color w:val="000000"/>
                <w:sz w:val="21"/>
                <w:szCs w:val="21"/>
              </w:rPr>
              <w:t>Number of the tertiary sector workforce</w:t>
            </w:r>
            <w:bookmarkEnd w:id="0"/>
          </w:p>
        </w:tc>
        <w:tc>
          <w:tcPr>
            <w:tcW w:w="2091" w:type="pct"/>
            <w:tcBorders>
              <w:top w:val="single" w:color="auto" w:sz="8" w:space="0"/>
            </w:tcBorders>
            <w:vAlign w:val="center"/>
          </w:tcPr>
          <w:p w14:paraId="3295DEE6">
            <w:pPr>
              <w:spacing w:line="360" w:lineRule="exact"/>
              <w:jc w:val="center"/>
              <w:rPr>
                <w:rFonts w:ascii="Times" w:hAnsi="Times" w:eastAsia="宋体" w:cs="Times New Roman"/>
                <w:i/>
                <w:iCs/>
                <w:color w:val="000000"/>
                <w:sz w:val="21"/>
                <w:szCs w:val="21"/>
              </w:rPr>
            </w:pPr>
            <w:r>
              <w:rPr>
                <w:rFonts w:ascii="Times" w:hAnsi="Times" w:eastAsia="宋体" w:cs="Times New Roman"/>
                <w:i/>
                <w:iCs/>
                <w:color w:val="000000"/>
                <w:sz w:val="21"/>
                <w:szCs w:val="21"/>
              </w:rPr>
              <w:t>China Statistical Yearbook</w:t>
            </w:r>
          </w:p>
        </w:tc>
      </w:tr>
      <w:tr w14:paraId="0060EB77">
        <w:tblPrEx>
          <w:tblCellMar>
            <w:top w:w="0" w:type="dxa"/>
            <w:left w:w="108" w:type="dxa"/>
            <w:bottom w:w="0" w:type="dxa"/>
            <w:right w:w="108" w:type="dxa"/>
          </w:tblCellMar>
        </w:tblPrEx>
        <w:trPr>
          <w:trHeight w:val="236" w:hRule="atLeast"/>
          <w:jc w:val="center"/>
        </w:trPr>
        <w:tc>
          <w:tcPr>
            <w:tcW w:w="1163" w:type="pct"/>
            <w:vMerge w:val="restart"/>
            <w:shd w:val="clear" w:color="auto" w:fill="auto"/>
            <w:vAlign w:val="center"/>
          </w:tcPr>
          <w:p w14:paraId="7E991E3B">
            <w:pPr>
              <w:spacing w:line="360" w:lineRule="exact"/>
              <w:jc w:val="center"/>
              <w:rPr>
                <w:rFonts w:ascii="Times" w:hAnsi="Times" w:eastAsia="宋体" w:cs="Times New Roman"/>
                <w:color w:val="000000"/>
                <w:sz w:val="21"/>
                <w:szCs w:val="21"/>
              </w:rPr>
            </w:pPr>
            <w:r>
              <w:rPr>
                <w:rFonts w:ascii="Times" w:hAnsi="Times" w:eastAsia="宋体" w:cs="Times New Roman"/>
                <w:color w:val="000000"/>
                <w:sz w:val="21"/>
                <w:szCs w:val="21"/>
              </w:rPr>
              <w:t>Fixed assets input</w:t>
            </w:r>
          </w:p>
        </w:tc>
        <w:tc>
          <w:tcPr>
            <w:tcW w:w="1747" w:type="pct"/>
            <w:shd w:val="clear" w:color="auto" w:fill="auto"/>
            <w:vAlign w:val="center"/>
          </w:tcPr>
          <w:p w14:paraId="5329CABF">
            <w:pPr>
              <w:spacing w:line="360" w:lineRule="exact"/>
              <w:jc w:val="center"/>
              <w:rPr>
                <w:rFonts w:ascii="Times" w:hAnsi="Times" w:eastAsia="宋体" w:cs="Times New Roman"/>
                <w:color w:val="000000"/>
                <w:sz w:val="21"/>
                <w:szCs w:val="21"/>
              </w:rPr>
            </w:pPr>
            <w:r>
              <w:rPr>
                <w:rFonts w:ascii="Times" w:hAnsi="Times" w:eastAsia="宋体" w:cs="Times New Roman"/>
                <w:color w:val="000000"/>
                <w:sz w:val="21"/>
                <w:szCs w:val="21"/>
              </w:rPr>
              <w:t>Number of star-rated hotels</w:t>
            </w:r>
          </w:p>
        </w:tc>
        <w:tc>
          <w:tcPr>
            <w:tcW w:w="2091" w:type="pct"/>
            <w:vMerge w:val="restart"/>
            <w:vAlign w:val="center"/>
          </w:tcPr>
          <w:p w14:paraId="0553F169">
            <w:pPr>
              <w:spacing w:line="360" w:lineRule="exact"/>
              <w:jc w:val="center"/>
              <w:rPr>
                <w:rFonts w:ascii="Times" w:hAnsi="Times" w:eastAsia="宋体" w:cs="Times New Roman"/>
                <w:color w:val="000000"/>
                <w:sz w:val="21"/>
                <w:szCs w:val="21"/>
              </w:rPr>
            </w:pPr>
            <w:r>
              <w:rPr>
                <w:rFonts w:ascii="Times" w:hAnsi="Times" w:eastAsia="宋体" w:cs="Times New Roman"/>
                <w:i/>
                <w:iCs/>
                <w:color w:val="000000"/>
                <w:sz w:val="21"/>
                <w:szCs w:val="21"/>
              </w:rPr>
              <w:t>China Tourism Statistics Yearbook;</w:t>
            </w:r>
            <w:r>
              <w:rPr>
                <w:rFonts w:ascii="Times" w:hAnsi="Times" w:eastAsia="宋体" w:cs="Times New Roman"/>
                <w:i/>
                <w:iCs/>
                <w:sz w:val="21"/>
                <w:szCs w:val="21"/>
              </w:rPr>
              <w:t xml:space="preserve"> </w:t>
            </w:r>
            <w:r>
              <w:rPr>
                <w:rFonts w:ascii="Times" w:hAnsi="Times" w:eastAsia="宋体" w:cs="Times New Roman"/>
                <w:i/>
                <w:iCs/>
                <w:color w:val="000000"/>
                <w:sz w:val="21"/>
                <w:szCs w:val="21"/>
              </w:rPr>
              <w:t>Provincial</w:t>
            </w:r>
            <w:r>
              <w:rPr>
                <w:rFonts w:ascii="Times" w:hAnsi="Times" w:eastAsia="宋体" w:cs="Times New Roman"/>
                <w:color w:val="000000"/>
                <w:sz w:val="21"/>
                <w:szCs w:val="21"/>
              </w:rPr>
              <w:t xml:space="preserve"> </w:t>
            </w:r>
            <w:r>
              <w:rPr>
                <w:rFonts w:ascii="Times" w:hAnsi="Times" w:eastAsia="宋体" w:cs="Times New Roman"/>
                <w:i/>
                <w:iCs/>
                <w:color w:val="000000"/>
                <w:sz w:val="21"/>
                <w:szCs w:val="21"/>
              </w:rPr>
              <w:t>Statistical Yearbook</w:t>
            </w:r>
            <w:r>
              <w:rPr>
                <w:rFonts w:ascii="Times" w:hAnsi="Times" w:eastAsia="宋体" w:cs="Times New Roman"/>
                <w:color w:val="000000"/>
                <w:sz w:val="21"/>
                <w:szCs w:val="21"/>
              </w:rPr>
              <w:t>;</w:t>
            </w:r>
            <w:r>
              <w:rPr>
                <w:rFonts w:ascii="Times" w:hAnsi="Times" w:eastAsia="宋体" w:cs="Times New Roman"/>
                <w:sz w:val="21"/>
                <w:szCs w:val="21"/>
              </w:rPr>
              <w:t xml:space="preserve"> </w:t>
            </w:r>
            <w:r>
              <w:rPr>
                <w:rFonts w:ascii="Times" w:hAnsi="Times" w:eastAsia="宋体" w:cs="Times New Roman"/>
                <w:i/>
                <w:iCs/>
                <w:color w:val="000000"/>
                <w:sz w:val="21"/>
                <w:szCs w:val="21"/>
              </w:rPr>
              <w:t>Provincial Statistical Bulletin</w:t>
            </w:r>
          </w:p>
        </w:tc>
      </w:tr>
      <w:tr w14:paraId="54CDC52D">
        <w:tblPrEx>
          <w:tblCellMar>
            <w:top w:w="0" w:type="dxa"/>
            <w:left w:w="108" w:type="dxa"/>
            <w:bottom w:w="0" w:type="dxa"/>
            <w:right w:w="108" w:type="dxa"/>
          </w:tblCellMar>
        </w:tblPrEx>
        <w:trPr>
          <w:trHeight w:val="236" w:hRule="atLeast"/>
          <w:jc w:val="center"/>
        </w:trPr>
        <w:tc>
          <w:tcPr>
            <w:tcW w:w="1163" w:type="pct"/>
            <w:vMerge w:val="continue"/>
            <w:shd w:val="clear" w:color="auto" w:fill="auto"/>
            <w:vAlign w:val="center"/>
          </w:tcPr>
          <w:p w14:paraId="2135EF0D">
            <w:pPr>
              <w:spacing w:line="360" w:lineRule="exact"/>
              <w:jc w:val="center"/>
              <w:rPr>
                <w:rFonts w:ascii="Times" w:hAnsi="Times" w:eastAsia="宋体" w:cs="Times New Roman"/>
                <w:color w:val="000000"/>
                <w:sz w:val="21"/>
                <w:szCs w:val="21"/>
              </w:rPr>
            </w:pPr>
          </w:p>
        </w:tc>
        <w:tc>
          <w:tcPr>
            <w:tcW w:w="1747" w:type="pct"/>
            <w:shd w:val="clear" w:color="auto" w:fill="auto"/>
            <w:vAlign w:val="center"/>
          </w:tcPr>
          <w:p w14:paraId="2D208FC1">
            <w:pPr>
              <w:spacing w:line="360" w:lineRule="exact"/>
              <w:jc w:val="center"/>
              <w:rPr>
                <w:rFonts w:ascii="Times" w:hAnsi="Times" w:eastAsia="宋体" w:cs="Times New Roman"/>
                <w:color w:val="000000"/>
                <w:sz w:val="21"/>
                <w:szCs w:val="21"/>
              </w:rPr>
            </w:pPr>
            <w:r>
              <w:rPr>
                <w:rFonts w:ascii="Times" w:hAnsi="Times" w:eastAsia="宋体" w:cs="Times New Roman"/>
                <w:color w:val="000000"/>
                <w:sz w:val="21"/>
                <w:szCs w:val="21"/>
              </w:rPr>
              <w:t>Number of travel agencies</w:t>
            </w:r>
          </w:p>
        </w:tc>
        <w:tc>
          <w:tcPr>
            <w:tcW w:w="2091" w:type="pct"/>
            <w:vMerge w:val="continue"/>
            <w:vAlign w:val="center"/>
          </w:tcPr>
          <w:p w14:paraId="5537B2A8">
            <w:pPr>
              <w:spacing w:line="360" w:lineRule="exact"/>
              <w:jc w:val="center"/>
              <w:rPr>
                <w:rFonts w:ascii="Times" w:hAnsi="Times" w:eastAsia="宋体" w:cs="Times New Roman"/>
                <w:color w:val="000000"/>
                <w:sz w:val="21"/>
                <w:szCs w:val="21"/>
              </w:rPr>
            </w:pPr>
          </w:p>
        </w:tc>
      </w:tr>
      <w:tr w14:paraId="160F6AC2">
        <w:tblPrEx>
          <w:tblCellMar>
            <w:top w:w="0" w:type="dxa"/>
            <w:left w:w="108" w:type="dxa"/>
            <w:bottom w:w="0" w:type="dxa"/>
            <w:right w:w="108" w:type="dxa"/>
          </w:tblCellMar>
        </w:tblPrEx>
        <w:trPr>
          <w:trHeight w:val="475" w:hRule="atLeast"/>
          <w:jc w:val="center"/>
        </w:trPr>
        <w:tc>
          <w:tcPr>
            <w:tcW w:w="1163" w:type="pct"/>
            <w:vMerge w:val="continue"/>
            <w:shd w:val="clear" w:color="auto" w:fill="auto"/>
            <w:vAlign w:val="center"/>
          </w:tcPr>
          <w:p w14:paraId="751229A2">
            <w:pPr>
              <w:spacing w:line="360" w:lineRule="exact"/>
              <w:jc w:val="center"/>
              <w:rPr>
                <w:rFonts w:ascii="Times" w:hAnsi="Times" w:eastAsia="宋体" w:cs="Times New Roman"/>
                <w:color w:val="000000"/>
                <w:sz w:val="21"/>
                <w:szCs w:val="21"/>
              </w:rPr>
            </w:pPr>
          </w:p>
        </w:tc>
        <w:tc>
          <w:tcPr>
            <w:tcW w:w="1747" w:type="pct"/>
            <w:shd w:val="clear" w:color="auto" w:fill="auto"/>
            <w:vAlign w:val="center"/>
          </w:tcPr>
          <w:p w14:paraId="54D42755">
            <w:pPr>
              <w:spacing w:line="360" w:lineRule="exact"/>
              <w:jc w:val="center"/>
              <w:rPr>
                <w:rFonts w:ascii="Times" w:hAnsi="Times" w:eastAsia="宋体" w:cs="Times New Roman"/>
                <w:color w:val="000000"/>
                <w:sz w:val="21"/>
                <w:szCs w:val="21"/>
              </w:rPr>
            </w:pPr>
            <w:r>
              <w:rPr>
                <w:rFonts w:ascii="Times" w:hAnsi="Times" w:eastAsia="宋体" w:cs="Times New Roman"/>
                <w:color w:val="000000"/>
                <w:sz w:val="21"/>
                <w:szCs w:val="21"/>
              </w:rPr>
              <w:t>Number of weighted scenic spots</w:t>
            </w:r>
          </w:p>
        </w:tc>
        <w:tc>
          <w:tcPr>
            <w:tcW w:w="2091" w:type="pct"/>
            <w:vMerge w:val="continue"/>
            <w:vAlign w:val="center"/>
          </w:tcPr>
          <w:p w14:paraId="69F5CEE7">
            <w:pPr>
              <w:spacing w:line="360" w:lineRule="exact"/>
              <w:jc w:val="center"/>
              <w:rPr>
                <w:rFonts w:ascii="Times" w:hAnsi="Times" w:eastAsia="宋体" w:cs="Times New Roman"/>
                <w:color w:val="000000"/>
                <w:sz w:val="21"/>
                <w:szCs w:val="21"/>
              </w:rPr>
            </w:pPr>
          </w:p>
        </w:tc>
      </w:tr>
      <w:tr w14:paraId="19816BF6">
        <w:tblPrEx>
          <w:tblCellMar>
            <w:top w:w="0" w:type="dxa"/>
            <w:left w:w="108" w:type="dxa"/>
            <w:bottom w:w="0" w:type="dxa"/>
            <w:right w:w="108" w:type="dxa"/>
          </w:tblCellMar>
        </w:tblPrEx>
        <w:trPr>
          <w:trHeight w:val="326" w:hRule="atLeast"/>
          <w:jc w:val="center"/>
        </w:trPr>
        <w:tc>
          <w:tcPr>
            <w:tcW w:w="1163" w:type="pct"/>
            <w:shd w:val="clear" w:color="auto" w:fill="auto"/>
            <w:vAlign w:val="center"/>
          </w:tcPr>
          <w:p w14:paraId="687F4B19">
            <w:pPr>
              <w:spacing w:line="360" w:lineRule="exact"/>
              <w:jc w:val="center"/>
              <w:rPr>
                <w:rFonts w:ascii="Times" w:hAnsi="Times" w:eastAsia="宋体" w:cs="Times New Roman"/>
                <w:color w:val="000000"/>
                <w:sz w:val="21"/>
                <w:szCs w:val="21"/>
              </w:rPr>
            </w:pPr>
            <w:r>
              <w:rPr>
                <w:rFonts w:ascii="Times" w:hAnsi="Times" w:eastAsia="宋体" w:cs="Times New Roman"/>
                <w:color w:val="000000"/>
                <w:sz w:val="21"/>
                <w:szCs w:val="21"/>
              </w:rPr>
              <w:t>Tourism energy input</w:t>
            </w:r>
          </w:p>
        </w:tc>
        <w:tc>
          <w:tcPr>
            <w:tcW w:w="1747" w:type="pct"/>
            <w:shd w:val="clear" w:color="auto" w:fill="auto"/>
            <w:vAlign w:val="center"/>
          </w:tcPr>
          <w:p w14:paraId="7670E7E1">
            <w:pPr>
              <w:spacing w:line="360" w:lineRule="exact"/>
              <w:jc w:val="center"/>
              <w:rPr>
                <w:rFonts w:ascii="Times" w:hAnsi="Times" w:eastAsia="宋体" w:cs="Times New Roman"/>
                <w:color w:val="000000"/>
                <w:sz w:val="21"/>
                <w:szCs w:val="21"/>
              </w:rPr>
            </w:pPr>
            <w:r>
              <w:rPr>
                <w:rFonts w:ascii="Times" w:hAnsi="Times" w:eastAsia="宋体" w:cs="Times New Roman"/>
                <w:color w:val="000000"/>
                <w:sz w:val="21"/>
                <w:szCs w:val="21"/>
              </w:rPr>
              <w:t>Tourism energy consumption</w:t>
            </w:r>
          </w:p>
        </w:tc>
        <w:tc>
          <w:tcPr>
            <w:tcW w:w="2091" w:type="pct"/>
            <w:vAlign w:val="center"/>
          </w:tcPr>
          <w:p w14:paraId="647C8EDC">
            <w:pPr>
              <w:spacing w:line="360" w:lineRule="exact"/>
              <w:jc w:val="center"/>
              <w:rPr>
                <w:rFonts w:ascii="Times" w:hAnsi="Times" w:eastAsia="宋体" w:cs="Times New Roman"/>
                <w:color w:val="000000"/>
                <w:sz w:val="21"/>
                <w:szCs w:val="21"/>
              </w:rPr>
            </w:pPr>
            <w:r>
              <w:rPr>
                <w:rFonts w:ascii="Times" w:hAnsi="Times" w:eastAsia="宋体" w:cs="Times New Roman"/>
                <w:color w:val="000000"/>
                <w:sz w:val="21"/>
                <w:szCs w:val="21"/>
              </w:rPr>
              <w:t>the author's self-test</w:t>
            </w:r>
          </w:p>
        </w:tc>
      </w:tr>
      <w:tr w14:paraId="18C89690">
        <w:tblPrEx>
          <w:tblCellMar>
            <w:top w:w="0" w:type="dxa"/>
            <w:left w:w="108" w:type="dxa"/>
            <w:bottom w:w="0" w:type="dxa"/>
            <w:right w:w="108" w:type="dxa"/>
          </w:tblCellMar>
        </w:tblPrEx>
        <w:trPr>
          <w:trHeight w:val="475" w:hRule="atLeast"/>
          <w:jc w:val="center"/>
        </w:trPr>
        <w:tc>
          <w:tcPr>
            <w:tcW w:w="1163" w:type="pct"/>
            <w:shd w:val="clear" w:color="auto" w:fill="auto"/>
            <w:vAlign w:val="center"/>
          </w:tcPr>
          <w:p w14:paraId="15176E46">
            <w:pPr>
              <w:spacing w:line="360" w:lineRule="exact"/>
              <w:jc w:val="center"/>
              <w:rPr>
                <w:rFonts w:ascii="Times" w:hAnsi="Times" w:eastAsia="宋体" w:cs="Times New Roman"/>
                <w:color w:val="000000"/>
                <w:sz w:val="21"/>
                <w:szCs w:val="21"/>
              </w:rPr>
            </w:pPr>
            <w:r>
              <w:rPr>
                <w:rFonts w:ascii="Times" w:hAnsi="Times" w:eastAsia="宋体" w:cs="Times New Roman"/>
                <w:color w:val="000000"/>
                <w:sz w:val="21"/>
                <w:szCs w:val="21"/>
              </w:rPr>
              <w:t>Economic benefits</w:t>
            </w:r>
          </w:p>
        </w:tc>
        <w:tc>
          <w:tcPr>
            <w:tcW w:w="1747" w:type="pct"/>
            <w:shd w:val="clear" w:color="auto" w:fill="auto"/>
            <w:vAlign w:val="center"/>
          </w:tcPr>
          <w:p w14:paraId="3EEE25DB">
            <w:pPr>
              <w:spacing w:line="360" w:lineRule="exact"/>
              <w:jc w:val="center"/>
              <w:rPr>
                <w:rFonts w:ascii="Times" w:hAnsi="Times" w:eastAsia="宋体" w:cs="Times New Roman"/>
                <w:color w:val="000000"/>
                <w:sz w:val="21"/>
                <w:szCs w:val="21"/>
              </w:rPr>
            </w:pPr>
            <w:r>
              <w:rPr>
                <w:rFonts w:ascii="Times" w:hAnsi="Times" w:eastAsia="宋体" w:cs="Times New Roman"/>
                <w:color w:val="000000"/>
                <w:sz w:val="21"/>
                <w:szCs w:val="21"/>
              </w:rPr>
              <w:t>Total Tourism Revenue</w:t>
            </w:r>
          </w:p>
        </w:tc>
        <w:tc>
          <w:tcPr>
            <w:tcW w:w="2091" w:type="pct"/>
            <w:vAlign w:val="center"/>
          </w:tcPr>
          <w:p w14:paraId="512F25C3">
            <w:pPr>
              <w:spacing w:line="360" w:lineRule="exact"/>
              <w:jc w:val="center"/>
              <w:rPr>
                <w:rFonts w:ascii="Times" w:hAnsi="Times" w:eastAsia="宋体" w:cs="Times New Roman"/>
                <w:i/>
                <w:iCs/>
                <w:color w:val="000000"/>
                <w:sz w:val="21"/>
                <w:szCs w:val="21"/>
              </w:rPr>
            </w:pPr>
            <w:r>
              <w:rPr>
                <w:rFonts w:ascii="Times" w:hAnsi="Times" w:eastAsia="宋体" w:cs="Times New Roman"/>
                <w:i/>
                <w:iCs/>
                <w:color w:val="000000"/>
                <w:sz w:val="21"/>
                <w:szCs w:val="21"/>
              </w:rPr>
              <w:t>China Tourism Statistics Yearbook</w:t>
            </w:r>
          </w:p>
        </w:tc>
      </w:tr>
      <w:tr w14:paraId="2C16D2BE">
        <w:tblPrEx>
          <w:tblCellMar>
            <w:top w:w="0" w:type="dxa"/>
            <w:left w:w="108" w:type="dxa"/>
            <w:bottom w:w="0" w:type="dxa"/>
            <w:right w:w="108" w:type="dxa"/>
          </w:tblCellMar>
        </w:tblPrEx>
        <w:trPr>
          <w:trHeight w:val="666" w:hRule="atLeast"/>
          <w:jc w:val="center"/>
        </w:trPr>
        <w:tc>
          <w:tcPr>
            <w:tcW w:w="1163" w:type="pct"/>
            <w:shd w:val="clear" w:color="auto" w:fill="auto"/>
            <w:vAlign w:val="center"/>
          </w:tcPr>
          <w:p w14:paraId="6244DB4A">
            <w:pPr>
              <w:spacing w:line="360" w:lineRule="exact"/>
              <w:jc w:val="center"/>
              <w:rPr>
                <w:rFonts w:ascii="Times" w:hAnsi="Times" w:eastAsia="宋体" w:cs="Times New Roman"/>
                <w:color w:val="000000"/>
                <w:sz w:val="21"/>
                <w:szCs w:val="21"/>
              </w:rPr>
            </w:pPr>
            <w:r>
              <w:rPr>
                <w:rFonts w:ascii="Times" w:hAnsi="Times" w:eastAsia="宋体" w:cs="Times New Roman"/>
                <w:color w:val="000000"/>
                <w:sz w:val="21"/>
                <w:szCs w:val="21"/>
              </w:rPr>
              <w:t>Social benefits</w:t>
            </w:r>
          </w:p>
        </w:tc>
        <w:tc>
          <w:tcPr>
            <w:tcW w:w="1747" w:type="pct"/>
            <w:shd w:val="clear" w:color="auto" w:fill="auto"/>
            <w:vAlign w:val="center"/>
          </w:tcPr>
          <w:p w14:paraId="069DA2F1">
            <w:pPr>
              <w:spacing w:line="360" w:lineRule="exact"/>
              <w:jc w:val="center"/>
              <w:rPr>
                <w:rFonts w:ascii="Times" w:hAnsi="Times" w:eastAsia="宋体" w:cs="Times New Roman"/>
                <w:color w:val="000000"/>
                <w:sz w:val="21"/>
                <w:szCs w:val="21"/>
              </w:rPr>
            </w:pPr>
            <w:r>
              <w:rPr>
                <w:rFonts w:ascii="Times" w:hAnsi="Times" w:eastAsia="宋体" w:cs="Times New Roman"/>
                <w:color w:val="000000"/>
                <w:sz w:val="21"/>
                <w:szCs w:val="21"/>
              </w:rPr>
              <w:t>Total number of visitors received</w:t>
            </w:r>
          </w:p>
        </w:tc>
        <w:tc>
          <w:tcPr>
            <w:tcW w:w="2091" w:type="pct"/>
            <w:vAlign w:val="center"/>
          </w:tcPr>
          <w:p w14:paraId="6880B118">
            <w:pPr>
              <w:spacing w:line="360" w:lineRule="exact"/>
              <w:jc w:val="center"/>
              <w:rPr>
                <w:rFonts w:ascii="Times" w:hAnsi="Times" w:eastAsia="宋体" w:cs="Times New Roman"/>
                <w:i/>
                <w:iCs/>
                <w:color w:val="000000"/>
                <w:sz w:val="21"/>
                <w:szCs w:val="21"/>
              </w:rPr>
            </w:pPr>
            <w:r>
              <w:rPr>
                <w:rFonts w:ascii="Times" w:hAnsi="Times" w:eastAsia="宋体" w:cs="Times New Roman"/>
                <w:i/>
                <w:iCs/>
                <w:color w:val="000000"/>
                <w:sz w:val="21"/>
                <w:szCs w:val="21"/>
              </w:rPr>
              <w:t>China Tourism Statistics Yearbook</w:t>
            </w:r>
          </w:p>
        </w:tc>
      </w:tr>
      <w:tr w14:paraId="0830B0EA">
        <w:tblPrEx>
          <w:tblCellMar>
            <w:top w:w="0" w:type="dxa"/>
            <w:left w:w="108" w:type="dxa"/>
            <w:bottom w:w="0" w:type="dxa"/>
            <w:right w:w="108" w:type="dxa"/>
          </w:tblCellMar>
        </w:tblPrEx>
        <w:trPr>
          <w:trHeight w:val="730" w:hRule="atLeast"/>
          <w:jc w:val="center"/>
        </w:trPr>
        <w:tc>
          <w:tcPr>
            <w:tcW w:w="1163" w:type="pct"/>
            <w:tcBorders>
              <w:bottom w:val="single" w:color="auto" w:sz="8" w:space="0"/>
            </w:tcBorders>
            <w:shd w:val="clear" w:color="auto" w:fill="auto"/>
            <w:vAlign w:val="center"/>
          </w:tcPr>
          <w:p w14:paraId="029F8185">
            <w:pPr>
              <w:spacing w:line="360" w:lineRule="exact"/>
              <w:jc w:val="center"/>
              <w:rPr>
                <w:rFonts w:ascii="Times" w:hAnsi="Times" w:eastAsia="宋体" w:cs="Times New Roman"/>
                <w:color w:val="000000"/>
                <w:sz w:val="21"/>
                <w:szCs w:val="21"/>
              </w:rPr>
            </w:pPr>
            <w:r>
              <w:rPr>
                <w:rFonts w:ascii="Times" w:hAnsi="Times" w:eastAsia="宋体" w:cs="Times New Roman"/>
                <w:color w:val="000000"/>
                <w:sz w:val="21"/>
                <w:szCs w:val="21"/>
              </w:rPr>
              <w:t>Tourism Carbon Emissions</w:t>
            </w:r>
          </w:p>
        </w:tc>
        <w:tc>
          <w:tcPr>
            <w:tcW w:w="1747" w:type="pct"/>
            <w:tcBorders>
              <w:bottom w:val="single" w:color="auto" w:sz="8" w:space="0"/>
            </w:tcBorders>
            <w:shd w:val="clear" w:color="auto" w:fill="auto"/>
            <w:vAlign w:val="center"/>
          </w:tcPr>
          <w:p w14:paraId="3C386B29">
            <w:pPr>
              <w:spacing w:line="360" w:lineRule="exact"/>
              <w:jc w:val="center"/>
              <w:rPr>
                <w:rFonts w:ascii="Times" w:hAnsi="Times" w:eastAsia="宋体" w:cs="Times New Roman"/>
                <w:color w:val="000000"/>
                <w:sz w:val="21"/>
                <w:szCs w:val="21"/>
              </w:rPr>
            </w:pPr>
            <w:r>
              <w:rPr>
                <w:rFonts w:ascii="Times" w:hAnsi="Times" w:eastAsia="宋体" w:cs="Times New Roman"/>
                <w:color w:val="000000"/>
                <w:sz w:val="21"/>
                <w:szCs w:val="21"/>
              </w:rPr>
              <w:t>Tourism Carbon Emissions</w:t>
            </w:r>
          </w:p>
        </w:tc>
        <w:tc>
          <w:tcPr>
            <w:tcW w:w="2091" w:type="pct"/>
            <w:tcBorders>
              <w:bottom w:val="single" w:color="auto" w:sz="8" w:space="0"/>
            </w:tcBorders>
            <w:vAlign w:val="center"/>
          </w:tcPr>
          <w:p w14:paraId="5B73E54D">
            <w:pPr>
              <w:spacing w:line="360" w:lineRule="exact"/>
              <w:jc w:val="center"/>
              <w:rPr>
                <w:rFonts w:ascii="Times" w:hAnsi="Times" w:eastAsia="宋体" w:cs="Times New Roman"/>
                <w:color w:val="000000"/>
                <w:sz w:val="21"/>
                <w:szCs w:val="21"/>
              </w:rPr>
            </w:pPr>
            <w:r>
              <w:rPr>
                <w:rFonts w:ascii="Times" w:hAnsi="Times" w:eastAsia="宋体" w:cs="Times New Roman"/>
                <w:color w:val="000000"/>
                <w:sz w:val="21"/>
                <w:szCs w:val="21"/>
              </w:rPr>
              <w:t>the author's self-test</w:t>
            </w:r>
          </w:p>
        </w:tc>
      </w:tr>
    </w:tbl>
    <w:p w14:paraId="248A1053">
      <w:pPr>
        <w:spacing w:line="360" w:lineRule="auto"/>
        <w:jc w:val="both"/>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3.Calculation Indicators for Business Environment</w:t>
      </w:r>
    </w:p>
    <w:p w14:paraId="72CF49C3">
      <w:pPr>
        <w:spacing w:line="360" w:lineRule="auto"/>
        <w:ind w:firstLine="420" w:firstLineChars="20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According to the "2018 China City Business Environment Report", this study uses the elements of the business environment as primary indicators (e-government services, innovation environment, human resources, financial services, market environment, and public services). These indicators are weighted based on their secondary indicators.</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val="en-US" w:eastAsia="zh-CN"/>
        </w:rPr>
        <w:t>Referring to the methodology of Li Zhijun et al. [1, 21], the utility value method is applied to nondimensionalize the measured data, so that the utility values fall within the range of [0, 1]. Specifically, the optimal value for an indicator is 1, while the worst value is 0.</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val="en-US" w:eastAsia="zh-CN"/>
        </w:rPr>
        <w:t>It should be noted that the weights for the secondary indicators are derived from existing research, as detailed in Table 2.。</w:t>
      </w:r>
    </w:p>
    <w:p w14:paraId="539DB14D">
      <w:pPr>
        <w:widowControl/>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Table 2 Business Environment Measurement Indicators</w:t>
      </w:r>
    </w:p>
    <w:tbl>
      <w:tblPr>
        <w:tblStyle w:val="15"/>
        <w:tblW w:w="0" w:type="auto"/>
        <w:tblInd w:w="0" w:type="dxa"/>
        <w:tblLayout w:type="autofit"/>
        <w:tblCellMar>
          <w:top w:w="0" w:type="dxa"/>
          <w:left w:w="108" w:type="dxa"/>
          <w:bottom w:w="0" w:type="dxa"/>
          <w:right w:w="108" w:type="dxa"/>
        </w:tblCellMar>
      </w:tblPr>
      <w:tblGrid>
        <w:gridCol w:w="1501"/>
        <w:gridCol w:w="4835"/>
        <w:gridCol w:w="4346"/>
      </w:tblGrid>
      <w:tr w14:paraId="78D400B0">
        <w:tblPrEx>
          <w:tblCellMar>
            <w:top w:w="0" w:type="dxa"/>
            <w:left w:w="108" w:type="dxa"/>
            <w:bottom w:w="0" w:type="dxa"/>
            <w:right w:w="108" w:type="dxa"/>
          </w:tblCellMar>
        </w:tblPrEx>
        <w:trPr>
          <w:trHeight w:val="469" w:hRule="atLeast"/>
        </w:trPr>
        <w:tc>
          <w:tcPr>
            <w:tcW w:w="0" w:type="auto"/>
            <w:tcBorders>
              <w:top w:val="single" w:color="auto" w:sz="8" w:space="0"/>
              <w:left w:val="nil"/>
              <w:bottom w:val="single" w:color="auto" w:sz="8" w:space="0"/>
              <w:right w:val="nil"/>
            </w:tcBorders>
            <w:shd w:val="clear" w:color="auto" w:fill="auto"/>
            <w:vAlign w:val="center"/>
          </w:tcPr>
          <w:p w14:paraId="15BFB5D0">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Primary indicators</w:t>
            </w:r>
          </w:p>
        </w:tc>
        <w:tc>
          <w:tcPr>
            <w:tcW w:w="0" w:type="auto"/>
            <w:tcBorders>
              <w:top w:val="single" w:color="auto" w:sz="8" w:space="0"/>
              <w:left w:val="nil"/>
              <w:bottom w:val="single" w:color="auto" w:sz="8" w:space="0"/>
              <w:right w:val="nil"/>
            </w:tcBorders>
            <w:shd w:val="clear" w:color="auto" w:fill="auto"/>
            <w:vAlign w:val="center"/>
          </w:tcPr>
          <w:p w14:paraId="76AEA01C">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Secondary indicators</w:t>
            </w:r>
          </w:p>
        </w:tc>
        <w:tc>
          <w:tcPr>
            <w:tcW w:w="0" w:type="auto"/>
            <w:tcBorders>
              <w:top w:val="single" w:color="auto" w:sz="8" w:space="0"/>
              <w:left w:val="nil"/>
              <w:bottom w:val="single" w:color="auto" w:sz="8" w:space="0"/>
              <w:right w:val="nil"/>
            </w:tcBorders>
            <w:shd w:val="clear" w:color="auto" w:fill="auto"/>
            <w:vAlign w:val="center"/>
          </w:tcPr>
          <w:p w14:paraId="2441512D">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Data source</w:t>
            </w:r>
          </w:p>
        </w:tc>
      </w:tr>
      <w:tr w14:paraId="20601466">
        <w:tblPrEx>
          <w:tblCellMar>
            <w:top w:w="0" w:type="dxa"/>
            <w:left w:w="108" w:type="dxa"/>
            <w:bottom w:w="0" w:type="dxa"/>
            <w:right w:w="108" w:type="dxa"/>
          </w:tblCellMar>
        </w:tblPrEx>
        <w:trPr>
          <w:trHeight w:val="412" w:hRule="atLeast"/>
        </w:trPr>
        <w:tc>
          <w:tcPr>
            <w:tcW w:w="0" w:type="auto"/>
            <w:vMerge w:val="restart"/>
            <w:tcBorders>
              <w:top w:val="single" w:color="auto" w:sz="8" w:space="0"/>
              <w:left w:val="nil"/>
              <w:bottom w:val="nil"/>
              <w:right w:val="nil"/>
            </w:tcBorders>
            <w:shd w:val="clear" w:color="auto" w:fill="auto"/>
            <w:vAlign w:val="center"/>
          </w:tcPr>
          <w:p w14:paraId="782B5BDE">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 xml:space="preserve">GS </w:t>
            </w:r>
          </w:p>
        </w:tc>
        <w:tc>
          <w:tcPr>
            <w:tcW w:w="0" w:type="auto"/>
            <w:tcBorders>
              <w:top w:val="single" w:color="auto" w:sz="8" w:space="0"/>
              <w:left w:val="nil"/>
              <w:bottom w:val="nil"/>
              <w:right w:val="nil"/>
            </w:tcBorders>
            <w:shd w:val="clear" w:color="auto" w:fill="auto"/>
            <w:vAlign w:val="center"/>
          </w:tcPr>
          <w:p w14:paraId="32703E46">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General budgetary expenditures (thousands of RMB)</w:t>
            </w:r>
          </w:p>
        </w:tc>
        <w:tc>
          <w:tcPr>
            <w:tcW w:w="0" w:type="auto"/>
            <w:tcBorders>
              <w:top w:val="single" w:color="auto" w:sz="8" w:space="0"/>
              <w:left w:val="nil"/>
              <w:bottom w:val="nil"/>
              <w:right w:val="nil"/>
            </w:tcBorders>
            <w:shd w:val="clear" w:color="auto" w:fill="auto"/>
            <w:vAlign w:val="center"/>
          </w:tcPr>
          <w:p w14:paraId="1711C931">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EPS China Regional Economic Database</w:t>
            </w:r>
          </w:p>
        </w:tc>
      </w:tr>
      <w:tr w14:paraId="763C6EF4">
        <w:tblPrEx>
          <w:tblCellMar>
            <w:top w:w="0" w:type="dxa"/>
            <w:left w:w="108" w:type="dxa"/>
            <w:bottom w:w="0" w:type="dxa"/>
            <w:right w:w="108" w:type="dxa"/>
          </w:tblCellMar>
        </w:tblPrEx>
        <w:trPr>
          <w:trHeight w:val="412" w:hRule="atLeast"/>
        </w:trPr>
        <w:tc>
          <w:tcPr>
            <w:tcW w:w="0" w:type="auto"/>
            <w:vMerge w:val="continue"/>
            <w:tcBorders>
              <w:top w:val="nil"/>
              <w:left w:val="nil"/>
              <w:bottom w:val="nil"/>
              <w:right w:val="nil"/>
            </w:tcBorders>
            <w:vAlign w:val="center"/>
          </w:tcPr>
          <w:p w14:paraId="20FB5E5B">
            <w:pPr>
              <w:widowControl/>
              <w:rPr>
                <w:rFonts w:ascii="Times New Roman" w:hAnsi="Times New Roman" w:eastAsia="宋体" w:cs="Times New Roman"/>
                <w:color w:val="000000"/>
                <w:kern w:val="0"/>
                <w:sz w:val="21"/>
                <w:szCs w:val="21"/>
              </w:rPr>
            </w:pPr>
          </w:p>
        </w:tc>
        <w:tc>
          <w:tcPr>
            <w:tcW w:w="0" w:type="auto"/>
            <w:tcBorders>
              <w:top w:val="nil"/>
              <w:left w:val="nil"/>
              <w:bottom w:val="nil"/>
              <w:right w:val="nil"/>
            </w:tcBorders>
            <w:shd w:val="clear" w:color="auto" w:fill="auto"/>
            <w:vAlign w:val="center"/>
          </w:tcPr>
          <w:p w14:paraId="665F7F9B">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Government service efficiency</w:t>
            </w:r>
          </w:p>
        </w:tc>
        <w:tc>
          <w:tcPr>
            <w:tcW w:w="0" w:type="auto"/>
            <w:tcBorders>
              <w:top w:val="nil"/>
              <w:left w:val="nil"/>
              <w:bottom w:val="nil"/>
              <w:right w:val="nil"/>
            </w:tcBorders>
            <w:shd w:val="clear" w:color="auto" w:fill="auto"/>
            <w:vAlign w:val="center"/>
          </w:tcPr>
          <w:p w14:paraId="78AF4023">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China's City Government-Business Relationship Ranking 2018</w:t>
            </w:r>
          </w:p>
        </w:tc>
      </w:tr>
      <w:tr w14:paraId="4AB45241">
        <w:tblPrEx>
          <w:tblCellMar>
            <w:top w:w="0" w:type="dxa"/>
            <w:left w:w="108" w:type="dxa"/>
            <w:bottom w:w="0" w:type="dxa"/>
            <w:right w:w="108" w:type="dxa"/>
          </w:tblCellMar>
        </w:tblPrEx>
        <w:trPr>
          <w:trHeight w:val="412" w:hRule="atLeast"/>
        </w:trPr>
        <w:tc>
          <w:tcPr>
            <w:tcW w:w="0" w:type="auto"/>
            <w:vMerge w:val="restart"/>
            <w:tcBorders>
              <w:top w:val="nil"/>
              <w:left w:val="nil"/>
              <w:bottom w:val="nil"/>
              <w:right w:val="nil"/>
            </w:tcBorders>
            <w:shd w:val="clear" w:color="auto" w:fill="auto"/>
            <w:vAlign w:val="center"/>
          </w:tcPr>
          <w:p w14:paraId="07798ABE">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 xml:space="preserve">HR </w:t>
            </w:r>
          </w:p>
        </w:tc>
        <w:tc>
          <w:tcPr>
            <w:tcW w:w="0" w:type="auto"/>
            <w:tcBorders>
              <w:top w:val="nil"/>
              <w:left w:val="nil"/>
              <w:bottom w:val="nil"/>
              <w:right w:val="nil"/>
            </w:tcBorders>
            <w:shd w:val="clear" w:color="auto" w:fill="auto"/>
            <w:vAlign w:val="center"/>
          </w:tcPr>
          <w:p w14:paraId="5CCC577D">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Average Wage Level (yuan)</w:t>
            </w:r>
          </w:p>
        </w:tc>
        <w:tc>
          <w:tcPr>
            <w:tcW w:w="0" w:type="auto"/>
            <w:tcBorders>
              <w:top w:val="nil"/>
              <w:left w:val="nil"/>
              <w:bottom w:val="nil"/>
              <w:right w:val="nil"/>
            </w:tcBorders>
            <w:shd w:val="clear" w:color="auto" w:fill="auto"/>
            <w:vAlign w:val="center"/>
          </w:tcPr>
          <w:p w14:paraId="264546A8">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Wind database</w:t>
            </w:r>
          </w:p>
        </w:tc>
      </w:tr>
      <w:tr w14:paraId="35C8DC49">
        <w:tblPrEx>
          <w:tblCellMar>
            <w:top w:w="0" w:type="dxa"/>
            <w:left w:w="108" w:type="dxa"/>
            <w:bottom w:w="0" w:type="dxa"/>
            <w:right w:w="108" w:type="dxa"/>
          </w:tblCellMar>
        </w:tblPrEx>
        <w:trPr>
          <w:trHeight w:val="412" w:hRule="atLeast"/>
        </w:trPr>
        <w:tc>
          <w:tcPr>
            <w:tcW w:w="0" w:type="auto"/>
            <w:vMerge w:val="continue"/>
            <w:tcBorders>
              <w:top w:val="nil"/>
              <w:left w:val="nil"/>
              <w:bottom w:val="nil"/>
              <w:right w:val="nil"/>
            </w:tcBorders>
            <w:vAlign w:val="center"/>
          </w:tcPr>
          <w:p w14:paraId="02C45C70">
            <w:pPr>
              <w:widowControl/>
              <w:rPr>
                <w:rFonts w:ascii="Times New Roman" w:hAnsi="Times New Roman" w:eastAsia="宋体" w:cs="Times New Roman"/>
                <w:color w:val="000000"/>
                <w:kern w:val="0"/>
                <w:sz w:val="21"/>
                <w:szCs w:val="21"/>
              </w:rPr>
            </w:pPr>
          </w:p>
        </w:tc>
        <w:tc>
          <w:tcPr>
            <w:tcW w:w="0" w:type="auto"/>
            <w:tcBorders>
              <w:top w:val="nil"/>
              <w:left w:val="nil"/>
              <w:bottom w:val="nil"/>
              <w:right w:val="nil"/>
            </w:tcBorders>
            <w:shd w:val="clear" w:color="auto" w:fill="auto"/>
            <w:vAlign w:val="center"/>
          </w:tcPr>
          <w:p w14:paraId="421AD97A">
            <w:pPr>
              <w:widowControl/>
              <w:jc w:val="center"/>
              <w:rPr>
                <w:rFonts w:ascii="Times New Roman" w:hAnsi="Times New Roman" w:eastAsia="宋体" w:cs="Times New Roman"/>
                <w:b/>
                <w:bCs/>
                <w:color w:val="000000"/>
                <w:kern w:val="0"/>
                <w:sz w:val="21"/>
                <w:szCs w:val="21"/>
              </w:rPr>
            </w:pPr>
            <w:r>
              <w:rPr>
                <w:rFonts w:ascii="Times New Roman" w:hAnsi="Times New Roman" w:eastAsia="宋体" w:cs="Times New Roman"/>
                <w:color w:val="000000"/>
                <w:kern w:val="0"/>
                <w:sz w:val="21"/>
                <w:szCs w:val="21"/>
              </w:rPr>
              <w:t>Number of Students in Higher Education Institutions (Individuals)</w:t>
            </w:r>
          </w:p>
        </w:tc>
        <w:tc>
          <w:tcPr>
            <w:tcW w:w="0" w:type="auto"/>
            <w:vMerge w:val="restart"/>
            <w:tcBorders>
              <w:top w:val="nil"/>
              <w:left w:val="nil"/>
              <w:bottom w:val="nil"/>
              <w:right w:val="nil"/>
            </w:tcBorders>
            <w:shd w:val="clear" w:color="auto" w:fill="auto"/>
            <w:vAlign w:val="center"/>
          </w:tcPr>
          <w:p w14:paraId="1B15FE48">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EPS China Regional Economic Database</w:t>
            </w:r>
          </w:p>
        </w:tc>
      </w:tr>
      <w:tr w14:paraId="49ECBC19">
        <w:tblPrEx>
          <w:tblCellMar>
            <w:top w:w="0" w:type="dxa"/>
            <w:left w:w="108" w:type="dxa"/>
            <w:bottom w:w="0" w:type="dxa"/>
            <w:right w:w="108" w:type="dxa"/>
          </w:tblCellMar>
        </w:tblPrEx>
        <w:trPr>
          <w:trHeight w:val="412" w:hRule="atLeast"/>
        </w:trPr>
        <w:tc>
          <w:tcPr>
            <w:tcW w:w="0" w:type="auto"/>
            <w:vMerge w:val="continue"/>
            <w:tcBorders>
              <w:top w:val="nil"/>
              <w:left w:val="nil"/>
              <w:bottom w:val="nil"/>
              <w:right w:val="nil"/>
            </w:tcBorders>
            <w:vAlign w:val="center"/>
          </w:tcPr>
          <w:p w14:paraId="75B7A4F9">
            <w:pPr>
              <w:widowControl/>
              <w:rPr>
                <w:rFonts w:ascii="Times New Roman" w:hAnsi="Times New Roman" w:eastAsia="宋体" w:cs="Times New Roman"/>
                <w:color w:val="000000"/>
                <w:kern w:val="0"/>
                <w:sz w:val="21"/>
                <w:szCs w:val="21"/>
              </w:rPr>
            </w:pPr>
          </w:p>
        </w:tc>
        <w:tc>
          <w:tcPr>
            <w:tcW w:w="0" w:type="auto"/>
            <w:tcBorders>
              <w:top w:val="nil"/>
              <w:left w:val="nil"/>
              <w:bottom w:val="nil"/>
              <w:right w:val="nil"/>
            </w:tcBorders>
            <w:shd w:val="clear" w:color="auto" w:fill="auto"/>
            <w:vAlign w:val="center"/>
          </w:tcPr>
          <w:p w14:paraId="2140D719">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The number of employed people at the end of the year (in ten thousand persons)</w:t>
            </w:r>
          </w:p>
        </w:tc>
        <w:tc>
          <w:tcPr>
            <w:tcW w:w="0" w:type="auto"/>
            <w:vMerge w:val="continue"/>
            <w:tcBorders>
              <w:top w:val="nil"/>
              <w:left w:val="nil"/>
              <w:bottom w:val="nil"/>
              <w:right w:val="nil"/>
            </w:tcBorders>
            <w:vAlign w:val="center"/>
          </w:tcPr>
          <w:p w14:paraId="4F88B0A0">
            <w:pPr>
              <w:widowControl/>
              <w:jc w:val="center"/>
              <w:rPr>
                <w:rFonts w:ascii="Times New Roman" w:hAnsi="Times New Roman" w:eastAsia="宋体" w:cs="Times New Roman"/>
                <w:color w:val="000000"/>
                <w:kern w:val="0"/>
                <w:sz w:val="21"/>
                <w:szCs w:val="21"/>
              </w:rPr>
            </w:pPr>
          </w:p>
        </w:tc>
      </w:tr>
      <w:tr w14:paraId="27E056AF">
        <w:tblPrEx>
          <w:tblCellMar>
            <w:top w:w="0" w:type="dxa"/>
            <w:left w:w="108" w:type="dxa"/>
            <w:bottom w:w="0" w:type="dxa"/>
            <w:right w:w="108" w:type="dxa"/>
          </w:tblCellMar>
        </w:tblPrEx>
        <w:trPr>
          <w:trHeight w:val="412" w:hRule="atLeast"/>
        </w:trPr>
        <w:tc>
          <w:tcPr>
            <w:tcW w:w="0" w:type="auto"/>
            <w:vMerge w:val="restart"/>
            <w:tcBorders>
              <w:top w:val="nil"/>
              <w:left w:val="nil"/>
              <w:bottom w:val="nil"/>
              <w:right w:val="nil"/>
            </w:tcBorders>
            <w:shd w:val="clear" w:color="auto" w:fill="auto"/>
            <w:vAlign w:val="center"/>
          </w:tcPr>
          <w:p w14:paraId="19F8D9FC">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 xml:space="preserve">FS </w:t>
            </w:r>
          </w:p>
        </w:tc>
        <w:tc>
          <w:tcPr>
            <w:tcW w:w="0" w:type="auto"/>
            <w:tcBorders>
              <w:top w:val="nil"/>
              <w:left w:val="nil"/>
              <w:bottom w:val="nil"/>
              <w:right w:val="nil"/>
            </w:tcBorders>
            <w:shd w:val="clear" w:color="auto" w:fill="auto"/>
            <w:vAlign w:val="center"/>
          </w:tcPr>
          <w:p w14:paraId="7ACF5649">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Efficiency of Private Financing (in RMB per 10,000 yuan)</w:t>
            </w:r>
          </w:p>
        </w:tc>
        <w:tc>
          <w:tcPr>
            <w:tcW w:w="0" w:type="auto"/>
            <w:vMerge w:val="restart"/>
            <w:tcBorders>
              <w:top w:val="nil"/>
              <w:left w:val="nil"/>
              <w:bottom w:val="nil"/>
              <w:right w:val="nil"/>
            </w:tcBorders>
            <w:shd w:val="clear" w:color="auto" w:fill="auto"/>
            <w:vAlign w:val="center"/>
          </w:tcPr>
          <w:p w14:paraId="7F2E2221">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Wind database</w:t>
            </w:r>
          </w:p>
        </w:tc>
      </w:tr>
      <w:tr w14:paraId="46FC5190">
        <w:tblPrEx>
          <w:tblCellMar>
            <w:top w:w="0" w:type="dxa"/>
            <w:left w:w="108" w:type="dxa"/>
            <w:bottom w:w="0" w:type="dxa"/>
            <w:right w:w="108" w:type="dxa"/>
          </w:tblCellMar>
        </w:tblPrEx>
        <w:trPr>
          <w:trHeight w:val="685" w:hRule="atLeast"/>
        </w:trPr>
        <w:tc>
          <w:tcPr>
            <w:tcW w:w="0" w:type="auto"/>
            <w:vMerge w:val="continue"/>
            <w:tcBorders>
              <w:top w:val="nil"/>
              <w:left w:val="nil"/>
              <w:bottom w:val="nil"/>
              <w:right w:val="nil"/>
            </w:tcBorders>
            <w:vAlign w:val="center"/>
          </w:tcPr>
          <w:p w14:paraId="646A3371">
            <w:pPr>
              <w:widowControl/>
              <w:rPr>
                <w:rFonts w:ascii="Times New Roman" w:hAnsi="Times New Roman" w:eastAsia="宋体" w:cs="Times New Roman"/>
                <w:color w:val="000000"/>
                <w:kern w:val="0"/>
                <w:sz w:val="21"/>
                <w:szCs w:val="21"/>
              </w:rPr>
            </w:pPr>
          </w:p>
        </w:tc>
        <w:tc>
          <w:tcPr>
            <w:tcW w:w="0" w:type="auto"/>
            <w:tcBorders>
              <w:top w:val="nil"/>
              <w:left w:val="nil"/>
              <w:bottom w:val="nil"/>
              <w:right w:val="nil"/>
            </w:tcBorders>
            <w:shd w:val="clear" w:color="auto" w:fill="auto"/>
            <w:vAlign w:val="center"/>
          </w:tcPr>
          <w:p w14:paraId="594454E9">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Overall Financing Efficiency (per 10,000 yuan)</w:t>
            </w:r>
          </w:p>
        </w:tc>
        <w:tc>
          <w:tcPr>
            <w:tcW w:w="0" w:type="auto"/>
            <w:vMerge w:val="continue"/>
            <w:tcBorders>
              <w:top w:val="nil"/>
              <w:left w:val="nil"/>
              <w:bottom w:val="nil"/>
              <w:right w:val="nil"/>
            </w:tcBorders>
            <w:vAlign w:val="center"/>
          </w:tcPr>
          <w:p w14:paraId="2D7A46D6">
            <w:pPr>
              <w:widowControl/>
              <w:jc w:val="center"/>
              <w:rPr>
                <w:rFonts w:ascii="Times New Roman" w:hAnsi="Times New Roman" w:eastAsia="宋体" w:cs="Times New Roman"/>
                <w:color w:val="000000"/>
                <w:kern w:val="0"/>
                <w:sz w:val="21"/>
                <w:szCs w:val="21"/>
              </w:rPr>
            </w:pPr>
          </w:p>
        </w:tc>
      </w:tr>
      <w:tr w14:paraId="4C4A5FDC">
        <w:tblPrEx>
          <w:tblCellMar>
            <w:top w:w="0" w:type="dxa"/>
            <w:left w:w="108" w:type="dxa"/>
            <w:bottom w:w="0" w:type="dxa"/>
            <w:right w:w="108" w:type="dxa"/>
          </w:tblCellMar>
        </w:tblPrEx>
        <w:trPr>
          <w:trHeight w:val="677" w:hRule="atLeast"/>
        </w:trPr>
        <w:tc>
          <w:tcPr>
            <w:tcW w:w="0" w:type="auto"/>
            <w:vMerge w:val="restart"/>
            <w:tcBorders>
              <w:top w:val="nil"/>
              <w:left w:val="nil"/>
              <w:bottom w:val="nil"/>
              <w:right w:val="nil"/>
            </w:tcBorders>
            <w:shd w:val="clear" w:color="auto" w:fill="auto"/>
            <w:vAlign w:val="center"/>
          </w:tcPr>
          <w:p w14:paraId="58D1E8A3">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PS</w:t>
            </w:r>
          </w:p>
        </w:tc>
        <w:tc>
          <w:tcPr>
            <w:tcW w:w="0" w:type="auto"/>
            <w:tcBorders>
              <w:top w:val="nil"/>
              <w:left w:val="nil"/>
              <w:bottom w:val="nil"/>
              <w:right w:val="nil"/>
            </w:tcBorders>
            <w:shd w:val="clear" w:color="auto" w:fill="auto"/>
            <w:vAlign w:val="center"/>
          </w:tcPr>
          <w:p w14:paraId="07D6A191">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Per Capita Road Area (Square Meters per Person)</w:t>
            </w:r>
          </w:p>
        </w:tc>
        <w:tc>
          <w:tcPr>
            <w:tcW w:w="0" w:type="auto"/>
            <w:vMerge w:val="restart"/>
            <w:tcBorders>
              <w:top w:val="nil"/>
              <w:left w:val="nil"/>
              <w:bottom w:val="nil"/>
              <w:right w:val="nil"/>
            </w:tcBorders>
            <w:shd w:val="clear" w:color="auto" w:fill="auto"/>
            <w:vAlign w:val="center"/>
          </w:tcPr>
          <w:p w14:paraId="5000DDD0">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EPS China Regional Economic Database</w:t>
            </w:r>
          </w:p>
        </w:tc>
      </w:tr>
      <w:tr w14:paraId="7F4DC6D6">
        <w:tblPrEx>
          <w:tblCellMar>
            <w:top w:w="0" w:type="dxa"/>
            <w:left w:w="108" w:type="dxa"/>
            <w:bottom w:w="0" w:type="dxa"/>
            <w:right w:w="108" w:type="dxa"/>
          </w:tblCellMar>
        </w:tblPrEx>
        <w:trPr>
          <w:trHeight w:val="412" w:hRule="atLeast"/>
        </w:trPr>
        <w:tc>
          <w:tcPr>
            <w:tcW w:w="0" w:type="auto"/>
            <w:vMerge w:val="continue"/>
            <w:tcBorders>
              <w:top w:val="nil"/>
              <w:left w:val="nil"/>
              <w:bottom w:val="nil"/>
              <w:right w:val="nil"/>
            </w:tcBorders>
            <w:vAlign w:val="center"/>
          </w:tcPr>
          <w:p w14:paraId="5C4C58F5">
            <w:pPr>
              <w:widowControl/>
              <w:jc w:val="center"/>
              <w:rPr>
                <w:rFonts w:ascii="Times New Roman" w:hAnsi="Times New Roman" w:eastAsia="宋体" w:cs="Times New Roman"/>
                <w:color w:val="000000"/>
                <w:kern w:val="0"/>
                <w:sz w:val="21"/>
                <w:szCs w:val="21"/>
              </w:rPr>
            </w:pPr>
          </w:p>
        </w:tc>
        <w:tc>
          <w:tcPr>
            <w:tcW w:w="0" w:type="auto"/>
            <w:tcBorders>
              <w:top w:val="nil"/>
              <w:left w:val="nil"/>
              <w:bottom w:val="nil"/>
              <w:right w:val="nil"/>
            </w:tcBorders>
            <w:shd w:val="clear" w:color="auto" w:fill="auto"/>
            <w:vAlign w:val="center"/>
          </w:tcPr>
          <w:p w14:paraId="77FD8744">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Water supply capacity (10,000 tons)</w:t>
            </w:r>
          </w:p>
        </w:tc>
        <w:tc>
          <w:tcPr>
            <w:tcW w:w="0" w:type="auto"/>
            <w:vMerge w:val="continue"/>
            <w:tcBorders>
              <w:top w:val="nil"/>
              <w:left w:val="nil"/>
              <w:bottom w:val="nil"/>
              <w:right w:val="nil"/>
            </w:tcBorders>
            <w:vAlign w:val="center"/>
          </w:tcPr>
          <w:p w14:paraId="543B3ADB">
            <w:pPr>
              <w:widowControl/>
              <w:jc w:val="center"/>
              <w:rPr>
                <w:rFonts w:ascii="Times New Roman" w:hAnsi="Times New Roman" w:eastAsia="宋体" w:cs="Times New Roman"/>
                <w:color w:val="000000"/>
                <w:kern w:val="0"/>
                <w:sz w:val="21"/>
                <w:szCs w:val="21"/>
              </w:rPr>
            </w:pPr>
          </w:p>
        </w:tc>
      </w:tr>
      <w:tr w14:paraId="08E9F978">
        <w:tblPrEx>
          <w:tblCellMar>
            <w:top w:w="0" w:type="dxa"/>
            <w:left w:w="108" w:type="dxa"/>
            <w:bottom w:w="0" w:type="dxa"/>
            <w:right w:w="108" w:type="dxa"/>
          </w:tblCellMar>
        </w:tblPrEx>
        <w:trPr>
          <w:trHeight w:val="412" w:hRule="atLeast"/>
        </w:trPr>
        <w:tc>
          <w:tcPr>
            <w:tcW w:w="0" w:type="auto"/>
            <w:vMerge w:val="continue"/>
            <w:tcBorders>
              <w:top w:val="nil"/>
              <w:left w:val="nil"/>
              <w:bottom w:val="nil"/>
              <w:right w:val="nil"/>
            </w:tcBorders>
            <w:vAlign w:val="center"/>
          </w:tcPr>
          <w:p w14:paraId="65D1F36E">
            <w:pPr>
              <w:widowControl/>
              <w:jc w:val="center"/>
              <w:rPr>
                <w:rFonts w:ascii="Times New Roman" w:hAnsi="Times New Roman" w:eastAsia="宋体" w:cs="Times New Roman"/>
                <w:color w:val="000000"/>
                <w:kern w:val="0"/>
                <w:sz w:val="21"/>
                <w:szCs w:val="21"/>
              </w:rPr>
            </w:pPr>
          </w:p>
        </w:tc>
        <w:tc>
          <w:tcPr>
            <w:tcW w:w="0" w:type="auto"/>
            <w:tcBorders>
              <w:top w:val="nil"/>
              <w:left w:val="nil"/>
              <w:bottom w:val="nil"/>
              <w:right w:val="nil"/>
            </w:tcBorders>
            <w:shd w:val="clear" w:color="auto" w:fill="auto"/>
            <w:vAlign w:val="center"/>
          </w:tcPr>
          <w:p w14:paraId="4274AE2F">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Gas supply capacity (million cubic meters)</w:t>
            </w:r>
          </w:p>
        </w:tc>
        <w:tc>
          <w:tcPr>
            <w:tcW w:w="0" w:type="auto"/>
            <w:vMerge w:val="continue"/>
            <w:tcBorders>
              <w:top w:val="nil"/>
              <w:left w:val="nil"/>
              <w:bottom w:val="nil"/>
              <w:right w:val="nil"/>
            </w:tcBorders>
            <w:vAlign w:val="center"/>
          </w:tcPr>
          <w:p w14:paraId="114B1825">
            <w:pPr>
              <w:widowControl/>
              <w:jc w:val="center"/>
              <w:rPr>
                <w:rFonts w:ascii="Times New Roman" w:hAnsi="Times New Roman" w:eastAsia="宋体" w:cs="Times New Roman"/>
                <w:color w:val="000000"/>
                <w:kern w:val="0"/>
                <w:sz w:val="21"/>
                <w:szCs w:val="21"/>
              </w:rPr>
            </w:pPr>
          </w:p>
        </w:tc>
      </w:tr>
      <w:tr w14:paraId="45EC0C19">
        <w:tblPrEx>
          <w:tblCellMar>
            <w:top w:w="0" w:type="dxa"/>
            <w:left w:w="108" w:type="dxa"/>
            <w:bottom w:w="0" w:type="dxa"/>
            <w:right w:w="108" w:type="dxa"/>
          </w:tblCellMar>
        </w:tblPrEx>
        <w:trPr>
          <w:trHeight w:val="412" w:hRule="atLeast"/>
        </w:trPr>
        <w:tc>
          <w:tcPr>
            <w:tcW w:w="0" w:type="auto"/>
            <w:vMerge w:val="continue"/>
            <w:tcBorders>
              <w:top w:val="nil"/>
              <w:left w:val="nil"/>
              <w:bottom w:val="nil"/>
              <w:right w:val="nil"/>
            </w:tcBorders>
            <w:vAlign w:val="center"/>
          </w:tcPr>
          <w:p w14:paraId="131422A6">
            <w:pPr>
              <w:widowControl/>
              <w:jc w:val="center"/>
              <w:rPr>
                <w:rFonts w:ascii="Times New Roman" w:hAnsi="Times New Roman" w:eastAsia="宋体" w:cs="Times New Roman"/>
                <w:color w:val="000000"/>
                <w:kern w:val="0"/>
                <w:sz w:val="21"/>
                <w:szCs w:val="21"/>
              </w:rPr>
            </w:pPr>
          </w:p>
        </w:tc>
        <w:tc>
          <w:tcPr>
            <w:tcW w:w="0" w:type="auto"/>
            <w:tcBorders>
              <w:top w:val="nil"/>
              <w:left w:val="nil"/>
              <w:bottom w:val="nil"/>
              <w:right w:val="nil"/>
            </w:tcBorders>
            <w:shd w:val="clear" w:color="auto" w:fill="auto"/>
            <w:vAlign w:val="center"/>
          </w:tcPr>
          <w:p w14:paraId="0681FAAC">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Electricity supply capacity (million kWh)</w:t>
            </w:r>
          </w:p>
        </w:tc>
        <w:tc>
          <w:tcPr>
            <w:tcW w:w="0" w:type="auto"/>
            <w:vMerge w:val="continue"/>
            <w:tcBorders>
              <w:top w:val="nil"/>
              <w:left w:val="nil"/>
              <w:bottom w:val="nil"/>
              <w:right w:val="nil"/>
            </w:tcBorders>
            <w:vAlign w:val="center"/>
          </w:tcPr>
          <w:p w14:paraId="437A4D16">
            <w:pPr>
              <w:widowControl/>
              <w:jc w:val="center"/>
              <w:rPr>
                <w:rFonts w:ascii="Times New Roman" w:hAnsi="Times New Roman" w:eastAsia="宋体" w:cs="Times New Roman"/>
                <w:color w:val="000000"/>
                <w:kern w:val="0"/>
                <w:sz w:val="21"/>
                <w:szCs w:val="21"/>
              </w:rPr>
            </w:pPr>
          </w:p>
        </w:tc>
      </w:tr>
      <w:tr w14:paraId="7A8EDB57">
        <w:tblPrEx>
          <w:tblCellMar>
            <w:top w:w="0" w:type="dxa"/>
            <w:left w:w="108" w:type="dxa"/>
            <w:bottom w:w="0" w:type="dxa"/>
            <w:right w:w="108" w:type="dxa"/>
          </w:tblCellMar>
        </w:tblPrEx>
        <w:trPr>
          <w:trHeight w:val="527" w:hRule="atLeast"/>
        </w:trPr>
        <w:tc>
          <w:tcPr>
            <w:tcW w:w="0" w:type="auto"/>
            <w:vMerge w:val="continue"/>
            <w:tcBorders>
              <w:top w:val="nil"/>
              <w:left w:val="nil"/>
              <w:bottom w:val="nil"/>
              <w:right w:val="nil"/>
            </w:tcBorders>
            <w:vAlign w:val="center"/>
          </w:tcPr>
          <w:p w14:paraId="0B990363">
            <w:pPr>
              <w:widowControl/>
              <w:jc w:val="center"/>
              <w:rPr>
                <w:rFonts w:ascii="Times New Roman" w:hAnsi="Times New Roman" w:eastAsia="宋体" w:cs="Times New Roman"/>
                <w:color w:val="000000"/>
                <w:kern w:val="0"/>
                <w:sz w:val="21"/>
                <w:szCs w:val="21"/>
              </w:rPr>
            </w:pPr>
          </w:p>
        </w:tc>
        <w:tc>
          <w:tcPr>
            <w:tcW w:w="0" w:type="auto"/>
            <w:tcBorders>
              <w:top w:val="nil"/>
              <w:left w:val="nil"/>
              <w:bottom w:val="nil"/>
              <w:right w:val="nil"/>
            </w:tcBorders>
            <w:shd w:val="clear" w:color="auto" w:fill="auto"/>
            <w:vAlign w:val="center"/>
          </w:tcPr>
          <w:p w14:paraId="08239A73">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Health services (sheets per 10,000 persons)</w:t>
            </w:r>
          </w:p>
        </w:tc>
        <w:tc>
          <w:tcPr>
            <w:tcW w:w="0" w:type="auto"/>
            <w:vMerge w:val="continue"/>
            <w:tcBorders>
              <w:top w:val="nil"/>
              <w:left w:val="nil"/>
              <w:bottom w:val="nil"/>
              <w:right w:val="nil"/>
            </w:tcBorders>
            <w:vAlign w:val="center"/>
          </w:tcPr>
          <w:p w14:paraId="58E8EB11">
            <w:pPr>
              <w:widowControl/>
              <w:jc w:val="center"/>
              <w:rPr>
                <w:rFonts w:ascii="Times New Roman" w:hAnsi="Times New Roman" w:eastAsia="宋体" w:cs="Times New Roman"/>
                <w:color w:val="000000"/>
                <w:kern w:val="0"/>
                <w:sz w:val="21"/>
                <w:szCs w:val="21"/>
              </w:rPr>
            </w:pPr>
          </w:p>
        </w:tc>
      </w:tr>
      <w:tr w14:paraId="59E276EC">
        <w:tblPrEx>
          <w:tblCellMar>
            <w:top w:w="0" w:type="dxa"/>
            <w:left w:w="108" w:type="dxa"/>
            <w:bottom w:w="0" w:type="dxa"/>
            <w:right w:w="108" w:type="dxa"/>
          </w:tblCellMar>
        </w:tblPrEx>
        <w:trPr>
          <w:trHeight w:val="412" w:hRule="atLeast"/>
        </w:trPr>
        <w:tc>
          <w:tcPr>
            <w:tcW w:w="0" w:type="auto"/>
            <w:vMerge w:val="restart"/>
            <w:tcBorders>
              <w:top w:val="nil"/>
              <w:left w:val="nil"/>
              <w:right w:val="nil"/>
            </w:tcBorders>
            <w:vAlign w:val="center"/>
          </w:tcPr>
          <w:p w14:paraId="55819596">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ME</w:t>
            </w:r>
          </w:p>
        </w:tc>
        <w:tc>
          <w:tcPr>
            <w:tcW w:w="0" w:type="auto"/>
            <w:tcBorders>
              <w:top w:val="nil"/>
              <w:left w:val="nil"/>
              <w:bottom w:val="nil"/>
              <w:right w:val="nil"/>
            </w:tcBorders>
            <w:shd w:val="clear" w:color="auto" w:fill="auto"/>
            <w:vAlign w:val="center"/>
          </w:tcPr>
          <w:p w14:paraId="6754746E">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GDP per capita (yuan)</w:t>
            </w:r>
          </w:p>
        </w:tc>
        <w:tc>
          <w:tcPr>
            <w:tcW w:w="0" w:type="auto"/>
            <w:vMerge w:val="restart"/>
            <w:tcBorders>
              <w:top w:val="nil"/>
              <w:left w:val="nil"/>
              <w:right w:val="nil"/>
            </w:tcBorders>
            <w:vAlign w:val="center"/>
          </w:tcPr>
          <w:p w14:paraId="2E03911B">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EPS China Regional Economic Database</w:t>
            </w:r>
          </w:p>
        </w:tc>
      </w:tr>
      <w:tr w14:paraId="4E978BD8">
        <w:tblPrEx>
          <w:tblCellMar>
            <w:top w:w="0" w:type="dxa"/>
            <w:left w:w="108" w:type="dxa"/>
            <w:bottom w:w="0" w:type="dxa"/>
            <w:right w:w="108" w:type="dxa"/>
          </w:tblCellMar>
        </w:tblPrEx>
        <w:trPr>
          <w:trHeight w:val="412" w:hRule="atLeast"/>
        </w:trPr>
        <w:tc>
          <w:tcPr>
            <w:tcW w:w="0" w:type="auto"/>
            <w:vMerge w:val="continue"/>
            <w:tcBorders>
              <w:left w:val="nil"/>
              <w:right w:val="nil"/>
            </w:tcBorders>
            <w:vAlign w:val="center"/>
          </w:tcPr>
          <w:p w14:paraId="5FF92BD3">
            <w:pPr>
              <w:widowControl/>
              <w:jc w:val="center"/>
              <w:rPr>
                <w:rFonts w:ascii="Times New Roman" w:hAnsi="Times New Roman" w:eastAsia="宋体" w:cs="Times New Roman"/>
                <w:color w:val="000000"/>
                <w:kern w:val="0"/>
                <w:sz w:val="21"/>
                <w:szCs w:val="21"/>
              </w:rPr>
            </w:pPr>
          </w:p>
        </w:tc>
        <w:tc>
          <w:tcPr>
            <w:tcW w:w="0" w:type="auto"/>
            <w:tcBorders>
              <w:top w:val="nil"/>
              <w:left w:val="nil"/>
              <w:bottom w:val="nil"/>
              <w:right w:val="nil"/>
            </w:tcBorders>
            <w:shd w:val="clear" w:color="auto" w:fill="auto"/>
            <w:vAlign w:val="center"/>
          </w:tcPr>
          <w:p w14:paraId="751333A9">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Total investment in fixed assets ($ million)</w:t>
            </w:r>
          </w:p>
        </w:tc>
        <w:tc>
          <w:tcPr>
            <w:tcW w:w="0" w:type="auto"/>
            <w:vMerge w:val="continue"/>
            <w:tcBorders>
              <w:left w:val="nil"/>
              <w:right w:val="nil"/>
            </w:tcBorders>
            <w:vAlign w:val="center"/>
          </w:tcPr>
          <w:p w14:paraId="7CB1DDD1">
            <w:pPr>
              <w:widowControl/>
              <w:jc w:val="center"/>
              <w:rPr>
                <w:rFonts w:ascii="Times New Roman" w:hAnsi="Times New Roman" w:eastAsia="宋体" w:cs="Times New Roman"/>
                <w:color w:val="000000"/>
                <w:kern w:val="0"/>
                <w:sz w:val="21"/>
                <w:szCs w:val="21"/>
              </w:rPr>
            </w:pPr>
          </w:p>
        </w:tc>
      </w:tr>
      <w:tr w14:paraId="1144ECA5">
        <w:tblPrEx>
          <w:tblCellMar>
            <w:top w:w="0" w:type="dxa"/>
            <w:left w:w="108" w:type="dxa"/>
            <w:bottom w:w="0" w:type="dxa"/>
            <w:right w:w="108" w:type="dxa"/>
          </w:tblCellMar>
        </w:tblPrEx>
        <w:trPr>
          <w:trHeight w:val="412" w:hRule="atLeast"/>
        </w:trPr>
        <w:tc>
          <w:tcPr>
            <w:tcW w:w="0" w:type="auto"/>
            <w:vMerge w:val="continue"/>
            <w:tcBorders>
              <w:left w:val="nil"/>
              <w:bottom w:val="nil"/>
              <w:right w:val="nil"/>
            </w:tcBorders>
            <w:vAlign w:val="center"/>
          </w:tcPr>
          <w:p w14:paraId="26DCAD1F">
            <w:pPr>
              <w:widowControl/>
              <w:jc w:val="center"/>
              <w:rPr>
                <w:rFonts w:ascii="Times New Roman" w:hAnsi="Times New Roman" w:eastAsia="宋体" w:cs="Times New Roman"/>
                <w:color w:val="000000"/>
                <w:kern w:val="0"/>
                <w:sz w:val="21"/>
                <w:szCs w:val="21"/>
              </w:rPr>
            </w:pPr>
          </w:p>
        </w:tc>
        <w:tc>
          <w:tcPr>
            <w:tcW w:w="0" w:type="auto"/>
            <w:tcBorders>
              <w:top w:val="nil"/>
              <w:left w:val="nil"/>
              <w:bottom w:val="nil"/>
              <w:right w:val="nil"/>
            </w:tcBorders>
            <w:shd w:val="clear" w:color="auto" w:fill="auto"/>
            <w:vAlign w:val="center"/>
          </w:tcPr>
          <w:p w14:paraId="7AEA34F5">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Amount of foreign capital actually utilized during the year (million yuan)</w:t>
            </w:r>
          </w:p>
        </w:tc>
        <w:tc>
          <w:tcPr>
            <w:tcW w:w="0" w:type="auto"/>
            <w:vMerge w:val="continue"/>
            <w:tcBorders>
              <w:left w:val="nil"/>
              <w:bottom w:val="nil"/>
              <w:right w:val="nil"/>
            </w:tcBorders>
            <w:vAlign w:val="center"/>
          </w:tcPr>
          <w:p w14:paraId="05FE8BC6">
            <w:pPr>
              <w:widowControl/>
              <w:jc w:val="center"/>
              <w:rPr>
                <w:rFonts w:ascii="Times New Roman" w:hAnsi="Times New Roman" w:eastAsia="宋体" w:cs="Times New Roman"/>
                <w:color w:val="000000"/>
                <w:kern w:val="0"/>
                <w:sz w:val="21"/>
                <w:szCs w:val="21"/>
              </w:rPr>
            </w:pPr>
          </w:p>
        </w:tc>
      </w:tr>
      <w:tr w14:paraId="1B6991B7">
        <w:tblPrEx>
          <w:tblCellMar>
            <w:top w:w="0" w:type="dxa"/>
            <w:left w:w="108" w:type="dxa"/>
            <w:bottom w:w="0" w:type="dxa"/>
            <w:right w:w="108" w:type="dxa"/>
          </w:tblCellMar>
        </w:tblPrEx>
        <w:trPr>
          <w:trHeight w:val="412" w:hRule="atLeast"/>
        </w:trPr>
        <w:tc>
          <w:tcPr>
            <w:tcW w:w="0" w:type="auto"/>
            <w:vMerge w:val="restart"/>
            <w:tcBorders>
              <w:top w:val="nil"/>
              <w:left w:val="nil"/>
              <w:right w:val="nil"/>
            </w:tcBorders>
            <w:vAlign w:val="center"/>
          </w:tcPr>
          <w:p w14:paraId="1C3734E2">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IE</w:t>
            </w:r>
          </w:p>
        </w:tc>
        <w:tc>
          <w:tcPr>
            <w:tcW w:w="0" w:type="auto"/>
            <w:tcBorders>
              <w:top w:val="nil"/>
              <w:left w:val="nil"/>
              <w:bottom w:val="nil"/>
              <w:right w:val="nil"/>
            </w:tcBorders>
            <w:shd w:val="clear" w:color="auto" w:fill="auto"/>
            <w:vAlign w:val="center"/>
          </w:tcPr>
          <w:p w14:paraId="0CF48BC2">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Science expenditures ($ million)</w:t>
            </w:r>
          </w:p>
        </w:tc>
        <w:tc>
          <w:tcPr>
            <w:tcW w:w="0" w:type="auto"/>
            <w:tcBorders>
              <w:top w:val="nil"/>
              <w:left w:val="nil"/>
              <w:bottom w:val="nil"/>
              <w:right w:val="nil"/>
            </w:tcBorders>
            <w:vAlign w:val="center"/>
          </w:tcPr>
          <w:p w14:paraId="1CA25A29">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EPS China Regional Economic Database</w:t>
            </w:r>
          </w:p>
        </w:tc>
      </w:tr>
      <w:tr w14:paraId="651CF16B">
        <w:tblPrEx>
          <w:tblCellMar>
            <w:top w:w="0" w:type="dxa"/>
            <w:left w:w="108" w:type="dxa"/>
            <w:bottom w:w="0" w:type="dxa"/>
            <w:right w:w="108" w:type="dxa"/>
          </w:tblCellMar>
        </w:tblPrEx>
        <w:trPr>
          <w:trHeight w:val="412" w:hRule="atLeast"/>
        </w:trPr>
        <w:tc>
          <w:tcPr>
            <w:tcW w:w="0" w:type="auto"/>
            <w:vMerge w:val="continue"/>
            <w:tcBorders>
              <w:left w:val="nil"/>
              <w:bottom w:val="single" w:color="auto" w:sz="8" w:space="0"/>
              <w:right w:val="nil"/>
            </w:tcBorders>
            <w:vAlign w:val="center"/>
          </w:tcPr>
          <w:p w14:paraId="3C07E383">
            <w:pPr>
              <w:widowControl/>
              <w:rPr>
                <w:rFonts w:ascii="Times New Roman" w:hAnsi="Times New Roman" w:eastAsia="宋体" w:cs="Times New Roman"/>
                <w:color w:val="000000"/>
                <w:kern w:val="0"/>
                <w:sz w:val="21"/>
                <w:szCs w:val="21"/>
              </w:rPr>
            </w:pPr>
          </w:p>
        </w:tc>
        <w:tc>
          <w:tcPr>
            <w:tcW w:w="0" w:type="auto"/>
            <w:tcBorders>
              <w:top w:val="nil"/>
              <w:left w:val="nil"/>
              <w:bottom w:val="single" w:color="auto" w:sz="8" w:space="0"/>
              <w:right w:val="nil"/>
            </w:tcBorders>
            <w:shd w:val="clear" w:color="auto" w:fill="auto"/>
            <w:vAlign w:val="center"/>
          </w:tcPr>
          <w:p w14:paraId="15AFDDC0">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Innovative capacity index</w:t>
            </w:r>
          </w:p>
        </w:tc>
        <w:tc>
          <w:tcPr>
            <w:tcW w:w="0" w:type="auto"/>
            <w:tcBorders>
              <w:top w:val="nil"/>
              <w:left w:val="nil"/>
              <w:bottom w:val="single" w:color="auto" w:sz="8" w:space="0"/>
              <w:right w:val="nil"/>
            </w:tcBorders>
            <w:vAlign w:val="center"/>
          </w:tcPr>
          <w:p w14:paraId="16DADB54">
            <w:pPr>
              <w:widowControl/>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Evaluation Report of China's Regional Innovation Capacity 2018</w:t>
            </w:r>
          </w:p>
        </w:tc>
      </w:tr>
    </w:tbl>
    <w:p w14:paraId="202C5B87">
      <w:pPr>
        <w:spacing w:line="360" w:lineRule="auto"/>
        <w:jc w:val="both"/>
        <w:rPr>
          <w:rFonts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4.</w:t>
      </w:r>
      <w:r>
        <w:rPr>
          <w:rFonts w:ascii="Times New Roman" w:hAnsi="Times New Roman" w:eastAsia="宋体" w:cs="Times New Roman"/>
          <w:b/>
          <w:bCs/>
          <w:sz w:val="21"/>
          <w:szCs w:val="21"/>
        </w:rPr>
        <w:t>R</w:t>
      </w:r>
      <w:r>
        <w:rPr>
          <w:rFonts w:hint="eastAsia" w:ascii="Times New Roman" w:hAnsi="Times New Roman" w:eastAsia="宋体" w:cs="Times New Roman"/>
          <w:b/>
          <w:bCs/>
          <w:sz w:val="21"/>
          <w:szCs w:val="21"/>
        </w:rPr>
        <w:t>obust test</w:t>
      </w:r>
    </w:p>
    <w:p w14:paraId="60C01618">
      <w:pPr>
        <w:spacing w:line="360" w:lineRule="auto"/>
        <w:ind w:firstLine="420" w:firstLineChars="200"/>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We </w:t>
      </w:r>
      <w:r>
        <w:rPr>
          <w:rFonts w:ascii="Times New Roman" w:hAnsi="Times New Roman" w:eastAsia="宋体" w:cs="Times New Roman"/>
          <w:sz w:val="21"/>
          <w:szCs w:val="21"/>
        </w:rPr>
        <w:t xml:space="preserve">conducted a robustness test on the configurations of high-level TIE and non-high-level TIE. As fsQCA, which was employed in this study, is a methodological approach based on combinatorial mathematics, slight changes in the operations that result in a subset relationship among the outcomes without altering the configurations proposed in the study are considered robust </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ADDIN EN.CITE &lt;EndNote&gt;&lt;Cite&gt;&lt;Author&gt;Du&lt;/Author&gt;&lt;Year&gt;2022&lt;/Year&gt;&lt;RecNum&gt;64&lt;/RecNum&gt;&lt;DisplayText&gt;(Du et al., 2022)&lt;/DisplayText&gt;&lt;record&gt;&lt;rec-number&gt;64&lt;/rec-number&gt;&lt;foreign-keys&gt;&lt;key app="EN" db-id="xz5dswewx2assdexdr35dv0q2r0909rw9tw2" timestamp="1713423125"&gt;64&lt;/key&gt;&lt;/foreign-keys&gt;&lt;ref-type name="Journal Article"&gt;17&lt;/ref-type&gt;&lt;contributors&gt;&lt;authors&gt;&lt;author&gt;Yunzhou Du&lt;/author&gt;&lt;author&gt;Qiuchen Liu&lt;/author&gt;&lt;author&gt;Kaiwei Chen&lt;/author&gt;&lt;author&gt;Renqiao Xiao&lt;/author&gt;&lt;author&gt;Shanshan Li&lt;/author&gt;&lt;/authors&gt;&lt;/contributors&gt;&lt;titles&gt;&lt;title&gt;Ecosystem of Doing Business, Total Factor Productivity and Multiple Patterns of High-quality Development of Chinese Cities: A Configuration Analysis Based on Complex Systems View&lt;/title&gt;&lt;secondary-title&gt;journal of Management World&lt;/secondary-title&gt;&lt;/titles&gt;&lt;periodical&gt;&lt;full-title&gt;Journal of Management World&lt;/full-title&gt;&lt;/periodical&gt;&lt;pages&gt;127-145&lt;/pages&gt;&lt;volume&gt;38&lt;/volume&gt;&lt;number&gt;9&lt;/number&gt;&lt;dates&gt;&lt;year&gt;2022&lt;/year&gt;&lt;/dates&gt;&lt;urls&gt;&lt;/urls&gt;&lt;/record&gt;&lt;/Cite&gt;&lt;/EndNote&gt;</w:instrText>
      </w:r>
      <w:r>
        <w:rPr>
          <w:rFonts w:ascii="Times New Roman" w:hAnsi="Times New Roman" w:eastAsia="宋体" w:cs="Times New Roman"/>
          <w:sz w:val="21"/>
          <w:szCs w:val="21"/>
        </w:rPr>
        <w:fldChar w:fldCharType="separate"/>
      </w:r>
      <w:r>
        <w:rPr>
          <w:rFonts w:ascii="Times New Roman" w:hAnsi="Times New Roman" w:eastAsia="宋体" w:cs="Times New Roman"/>
          <w:sz w:val="21"/>
          <w:szCs w:val="21"/>
        </w:rPr>
        <w:t>(Du et al., 2022)</w:t>
      </w:r>
      <w:r>
        <w:rPr>
          <w:rFonts w:ascii="Times New Roman" w:hAnsi="Times New Roman" w:eastAsia="宋体" w:cs="Times New Roman"/>
          <w:sz w:val="21"/>
          <w:szCs w:val="21"/>
        </w:rPr>
        <w:fldChar w:fldCharType="end"/>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Robustness tests commonly involve four approaches, including raising the consistency threshold, enhancing PRI consistency, adding or removing cases, and adding other conditions.</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Typically, one of the four robustness test methods can be chosen for the robustness test. In this study, we chose to raise the case consistency threshold from 0.8 to 0.85. In the high-level TIE configuration path, the configuration structure remained unchanged, with the coverage of solutions decreasing from 0.663 to 0.631. In the low-level TIE configuration path, the configuration structure also remained unchanged, with the coverage of solutions decreasing from 0.345 to 0.314.</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The robustness test results indicate that the configuration structure and related parameters are largely consistent with the aforementioned analysis results, confirming the robustness of these findings.</w:t>
      </w:r>
    </w:p>
    <w:p w14:paraId="02A615E9">
      <w:pPr>
        <w:numPr>
          <w:ilvl w:val="0"/>
          <w:numId w:val="2"/>
        </w:numPr>
        <w:spacing w:line="360" w:lineRule="auto"/>
        <w:jc w:val="both"/>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Background Information on the Business Environment</w:t>
      </w:r>
    </w:p>
    <w:p w14:paraId="11BE21FE">
      <w:pPr>
        <w:spacing w:line="360" w:lineRule="auto"/>
        <w:ind w:firstLine="420" w:firstLineChars="200"/>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Due to word limit constraints, detailed information is provided in the appendix. In fact, many countries around the world have already started optimizing the business environment for tourism in order to improve tourism efficiency and increase investment in tourism projects. China, with its vast territory and significant regional resource disparities, has seen incomplete statistics showing that 22 provinces and municipalities have already introduced relevant policies or measures. Therefore, how to optimize the business environment and the mindset required for such optimization are issues that deserve the attention of numerous researchers.</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79"/>
        <w:gridCol w:w="5503"/>
      </w:tblGrid>
      <w:tr w14:paraId="48659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1" w:type="dxa"/>
          </w:tcPr>
          <w:p w14:paraId="257F3593">
            <w:pPr>
              <w:spacing w:line="36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3274060" cy="962660"/>
                  <wp:effectExtent l="0" t="0" r="2540" b="254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6"/>
                          <a:stretch>
                            <a:fillRect/>
                          </a:stretch>
                        </pic:blipFill>
                        <pic:spPr>
                          <a:xfrm>
                            <a:off x="0" y="0"/>
                            <a:ext cx="3274060" cy="962660"/>
                          </a:xfrm>
                          <a:prstGeom prst="rect">
                            <a:avLst/>
                          </a:prstGeom>
                          <a:noFill/>
                          <a:ln>
                            <a:noFill/>
                          </a:ln>
                        </pic:spPr>
                      </pic:pic>
                    </a:graphicData>
                  </a:graphic>
                </wp:inline>
              </w:drawing>
            </w:r>
          </w:p>
        </w:tc>
        <w:tc>
          <w:tcPr>
            <w:tcW w:w="5341" w:type="dxa"/>
          </w:tcPr>
          <w:p w14:paraId="5C8ED092">
            <w:pPr>
              <w:spacing w:line="360" w:lineRule="auto"/>
              <w:jc w:val="both"/>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2545080" cy="780415"/>
                  <wp:effectExtent l="0" t="0" r="7620" b="698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7"/>
                          <a:stretch>
                            <a:fillRect/>
                          </a:stretch>
                        </pic:blipFill>
                        <pic:spPr>
                          <a:xfrm>
                            <a:off x="0" y="0"/>
                            <a:ext cx="2545080" cy="780415"/>
                          </a:xfrm>
                          <a:prstGeom prst="rect">
                            <a:avLst/>
                          </a:prstGeom>
                          <a:noFill/>
                          <a:ln>
                            <a:noFill/>
                          </a:ln>
                        </pic:spPr>
                      </pic:pic>
                    </a:graphicData>
                  </a:graphic>
                </wp:inline>
              </w:drawing>
            </w:r>
          </w:p>
        </w:tc>
      </w:tr>
      <w:tr w14:paraId="5F21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1" w:type="dxa"/>
          </w:tcPr>
          <w:p w14:paraId="3CA6CB9E">
            <w:pPr>
              <w:spacing w:line="360" w:lineRule="auto"/>
              <w:jc w:val="both"/>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2809875" cy="810260"/>
                  <wp:effectExtent l="0" t="0" r="9525" b="254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8"/>
                          <a:stretch>
                            <a:fillRect/>
                          </a:stretch>
                        </pic:blipFill>
                        <pic:spPr>
                          <a:xfrm>
                            <a:off x="0" y="0"/>
                            <a:ext cx="2809875" cy="810260"/>
                          </a:xfrm>
                          <a:prstGeom prst="rect">
                            <a:avLst/>
                          </a:prstGeom>
                          <a:noFill/>
                          <a:ln>
                            <a:noFill/>
                          </a:ln>
                        </pic:spPr>
                      </pic:pic>
                    </a:graphicData>
                  </a:graphic>
                </wp:inline>
              </w:drawing>
            </w:r>
          </w:p>
        </w:tc>
        <w:tc>
          <w:tcPr>
            <w:tcW w:w="5341" w:type="dxa"/>
          </w:tcPr>
          <w:p w14:paraId="54D87348">
            <w:pPr>
              <w:spacing w:line="360" w:lineRule="auto"/>
              <w:jc w:val="both"/>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3197860" cy="860425"/>
                  <wp:effectExtent l="0" t="0" r="2540" b="3175"/>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9"/>
                          <a:stretch>
                            <a:fillRect/>
                          </a:stretch>
                        </pic:blipFill>
                        <pic:spPr>
                          <a:xfrm>
                            <a:off x="0" y="0"/>
                            <a:ext cx="3197860" cy="860425"/>
                          </a:xfrm>
                          <a:prstGeom prst="rect">
                            <a:avLst/>
                          </a:prstGeom>
                          <a:noFill/>
                          <a:ln>
                            <a:noFill/>
                          </a:ln>
                        </pic:spPr>
                      </pic:pic>
                    </a:graphicData>
                  </a:graphic>
                </wp:inline>
              </w:drawing>
            </w:r>
          </w:p>
        </w:tc>
      </w:tr>
      <w:tr w14:paraId="2B3EC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1" w:type="dxa"/>
          </w:tcPr>
          <w:p w14:paraId="65DBFBB7">
            <w:pPr>
              <w:spacing w:line="360" w:lineRule="auto"/>
              <w:jc w:val="both"/>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3028315" cy="862330"/>
                  <wp:effectExtent l="0" t="0" r="6985" b="127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20"/>
                          <a:stretch>
                            <a:fillRect/>
                          </a:stretch>
                        </pic:blipFill>
                        <pic:spPr>
                          <a:xfrm>
                            <a:off x="0" y="0"/>
                            <a:ext cx="3028315" cy="862330"/>
                          </a:xfrm>
                          <a:prstGeom prst="rect">
                            <a:avLst/>
                          </a:prstGeom>
                          <a:noFill/>
                          <a:ln>
                            <a:noFill/>
                          </a:ln>
                        </pic:spPr>
                      </pic:pic>
                    </a:graphicData>
                  </a:graphic>
                </wp:inline>
              </w:drawing>
            </w:r>
          </w:p>
        </w:tc>
        <w:tc>
          <w:tcPr>
            <w:tcW w:w="5341" w:type="dxa"/>
          </w:tcPr>
          <w:p w14:paraId="6DB04AA3">
            <w:pPr>
              <w:spacing w:line="360" w:lineRule="auto"/>
              <w:jc w:val="both"/>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2985135" cy="1086485"/>
                  <wp:effectExtent l="0" t="0" r="12065" b="5715"/>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21"/>
                          <a:stretch>
                            <a:fillRect/>
                          </a:stretch>
                        </pic:blipFill>
                        <pic:spPr>
                          <a:xfrm>
                            <a:off x="0" y="0"/>
                            <a:ext cx="2985135" cy="1086485"/>
                          </a:xfrm>
                          <a:prstGeom prst="rect">
                            <a:avLst/>
                          </a:prstGeom>
                          <a:noFill/>
                          <a:ln>
                            <a:noFill/>
                          </a:ln>
                        </pic:spPr>
                      </pic:pic>
                    </a:graphicData>
                  </a:graphic>
                </wp:inline>
              </w:drawing>
            </w:r>
          </w:p>
        </w:tc>
      </w:tr>
      <w:tr w14:paraId="0E6E5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1" w:type="dxa"/>
          </w:tcPr>
          <w:p w14:paraId="68524994">
            <w:pPr>
              <w:spacing w:line="360" w:lineRule="auto"/>
              <w:jc w:val="both"/>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3133725" cy="908050"/>
                  <wp:effectExtent l="0" t="0" r="3175" b="635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22"/>
                          <a:stretch>
                            <a:fillRect/>
                          </a:stretch>
                        </pic:blipFill>
                        <pic:spPr>
                          <a:xfrm>
                            <a:off x="0" y="0"/>
                            <a:ext cx="3133725" cy="908050"/>
                          </a:xfrm>
                          <a:prstGeom prst="rect">
                            <a:avLst/>
                          </a:prstGeom>
                          <a:noFill/>
                          <a:ln>
                            <a:noFill/>
                          </a:ln>
                        </pic:spPr>
                      </pic:pic>
                    </a:graphicData>
                  </a:graphic>
                </wp:inline>
              </w:drawing>
            </w:r>
          </w:p>
        </w:tc>
        <w:tc>
          <w:tcPr>
            <w:tcW w:w="5341" w:type="dxa"/>
          </w:tcPr>
          <w:p w14:paraId="19F51DB9">
            <w:pPr>
              <w:spacing w:line="360" w:lineRule="auto"/>
              <w:jc w:val="both"/>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3527425" cy="1025525"/>
                  <wp:effectExtent l="0" t="0" r="3175" b="3175"/>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pic:cNvPicPr>
                        </pic:nvPicPr>
                        <pic:blipFill>
                          <a:blip r:embed="rId23"/>
                          <a:stretch>
                            <a:fillRect/>
                          </a:stretch>
                        </pic:blipFill>
                        <pic:spPr>
                          <a:xfrm>
                            <a:off x="0" y="0"/>
                            <a:ext cx="3527425" cy="1025525"/>
                          </a:xfrm>
                          <a:prstGeom prst="rect">
                            <a:avLst/>
                          </a:prstGeom>
                          <a:noFill/>
                          <a:ln>
                            <a:noFill/>
                          </a:ln>
                        </pic:spPr>
                      </pic:pic>
                    </a:graphicData>
                  </a:graphic>
                </wp:inline>
              </w:drawing>
            </w:r>
          </w:p>
        </w:tc>
      </w:tr>
      <w:tr w14:paraId="642D0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1" w:type="dxa"/>
          </w:tcPr>
          <w:p w14:paraId="3E443FF0">
            <w:pPr>
              <w:spacing w:line="360" w:lineRule="auto"/>
              <w:jc w:val="both"/>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3310255" cy="1031875"/>
                  <wp:effectExtent l="0" t="0" r="4445" b="9525"/>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pic:cNvPicPr>
                        </pic:nvPicPr>
                        <pic:blipFill>
                          <a:blip r:embed="rId24"/>
                          <a:stretch>
                            <a:fillRect/>
                          </a:stretch>
                        </pic:blipFill>
                        <pic:spPr>
                          <a:xfrm>
                            <a:off x="0" y="0"/>
                            <a:ext cx="3310255" cy="1031875"/>
                          </a:xfrm>
                          <a:prstGeom prst="rect">
                            <a:avLst/>
                          </a:prstGeom>
                          <a:noFill/>
                          <a:ln>
                            <a:noFill/>
                          </a:ln>
                        </pic:spPr>
                      </pic:pic>
                    </a:graphicData>
                  </a:graphic>
                </wp:inline>
              </w:drawing>
            </w:r>
          </w:p>
        </w:tc>
        <w:tc>
          <w:tcPr>
            <w:tcW w:w="5341" w:type="dxa"/>
          </w:tcPr>
          <w:p w14:paraId="0992B87E">
            <w:pPr>
              <w:spacing w:line="360" w:lineRule="auto"/>
              <w:jc w:val="both"/>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3374390" cy="1026160"/>
                  <wp:effectExtent l="0" t="0" r="3810" b="2540"/>
                  <wp:docPr id="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pic:cNvPicPr>
                            <a:picLocks noChangeAspect="1"/>
                          </pic:cNvPicPr>
                        </pic:nvPicPr>
                        <pic:blipFill>
                          <a:blip r:embed="rId25"/>
                          <a:stretch>
                            <a:fillRect/>
                          </a:stretch>
                        </pic:blipFill>
                        <pic:spPr>
                          <a:xfrm>
                            <a:off x="0" y="0"/>
                            <a:ext cx="3374390" cy="1026160"/>
                          </a:xfrm>
                          <a:prstGeom prst="rect">
                            <a:avLst/>
                          </a:prstGeom>
                          <a:noFill/>
                          <a:ln>
                            <a:noFill/>
                          </a:ln>
                        </pic:spPr>
                      </pic:pic>
                    </a:graphicData>
                  </a:graphic>
                </wp:inline>
              </w:drawing>
            </w:r>
          </w:p>
        </w:tc>
      </w:tr>
      <w:tr w14:paraId="6703A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1" w:type="dxa"/>
          </w:tcPr>
          <w:p w14:paraId="0FF7D93A">
            <w:pPr>
              <w:spacing w:line="360" w:lineRule="auto"/>
              <w:jc w:val="both"/>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3081020" cy="1178560"/>
                  <wp:effectExtent l="0" t="0" r="5080" b="2540"/>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pic:cNvPicPr>
                            <a:picLocks noChangeAspect="1"/>
                          </pic:cNvPicPr>
                        </pic:nvPicPr>
                        <pic:blipFill>
                          <a:blip r:embed="rId26"/>
                          <a:stretch>
                            <a:fillRect/>
                          </a:stretch>
                        </pic:blipFill>
                        <pic:spPr>
                          <a:xfrm>
                            <a:off x="0" y="0"/>
                            <a:ext cx="3081020" cy="1178560"/>
                          </a:xfrm>
                          <a:prstGeom prst="rect">
                            <a:avLst/>
                          </a:prstGeom>
                          <a:noFill/>
                          <a:ln>
                            <a:noFill/>
                          </a:ln>
                        </pic:spPr>
                      </pic:pic>
                    </a:graphicData>
                  </a:graphic>
                </wp:inline>
              </w:drawing>
            </w:r>
          </w:p>
        </w:tc>
        <w:tc>
          <w:tcPr>
            <w:tcW w:w="5341" w:type="dxa"/>
          </w:tcPr>
          <w:p w14:paraId="0FD3F44F">
            <w:pPr>
              <w:spacing w:line="360" w:lineRule="auto"/>
              <w:jc w:val="both"/>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3380105" cy="1081405"/>
                  <wp:effectExtent l="0" t="0" r="10795" b="10795"/>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27"/>
                          <a:stretch>
                            <a:fillRect/>
                          </a:stretch>
                        </pic:blipFill>
                        <pic:spPr>
                          <a:xfrm>
                            <a:off x="0" y="0"/>
                            <a:ext cx="3380105" cy="1081405"/>
                          </a:xfrm>
                          <a:prstGeom prst="rect">
                            <a:avLst/>
                          </a:prstGeom>
                          <a:noFill/>
                          <a:ln>
                            <a:noFill/>
                          </a:ln>
                        </pic:spPr>
                      </pic:pic>
                    </a:graphicData>
                  </a:graphic>
                </wp:inline>
              </w:drawing>
            </w:r>
          </w:p>
        </w:tc>
      </w:tr>
      <w:tr w14:paraId="595F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1" w:type="dxa"/>
          </w:tcPr>
          <w:p w14:paraId="77BB5D33">
            <w:pPr>
              <w:spacing w:line="360" w:lineRule="auto"/>
              <w:jc w:val="both"/>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3206750" cy="937260"/>
                  <wp:effectExtent l="0" t="0" r="6350" b="2540"/>
                  <wp:docPr id="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pic:cNvPicPr>
                            <a:picLocks noChangeAspect="1"/>
                          </pic:cNvPicPr>
                        </pic:nvPicPr>
                        <pic:blipFill>
                          <a:blip r:embed="rId28"/>
                          <a:stretch>
                            <a:fillRect/>
                          </a:stretch>
                        </pic:blipFill>
                        <pic:spPr>
                          <a:xfrm>
                            <a:off x="0" y="0"/>
                            <a:ext cx="3206750" cy="937260"/>
                          </a:xfrm>
                          <a:prstGeom prst="rect">
                            <a:avLst/>
                          </a:prstGeom>
                          <a:noFill/>
                          <a:ln>
                            <a:noFill/>
                          </a:ln>
                        </pic:spPr>
                      </pic:pic>
                    </a:graphicData>
                  </a:graphic>
                </wp:inline>
              </w:drawing>
            </w:r>
          </w:p>
        </w:tc>
        <w:tc>
          <w:tcPr>
            <w:tcW w:w="5341" w:type="dxa"/>
          </w:tcPr>
          <w:p w14:paraId="1AEA44BE">
            <w:pPr>
              <w:spacing w:line="360" w:lineRule="auto"/>
              <w:jc w:val="both"/>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3097530" cy="904875"/>
                  <wp:effectExtent l="0" t="0" r="1270" b="9525"/>
                  <wp:docPr id="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pic:cNvPicPr>
                            <a:picLocks noChangeAspect="1"/>
                          </pic:cNvPicPr>
                        </pic:nvPicPr>
                        <pic:blipFill>
                          <a:blip r:embed="rId29"/>
                          <a:stretch>
                            <a:fillRect/>
                          </a:stretch>
                        </pic:blipFill>
                        <pic:spPr>
                          <a:xfrm>
                            <a:off x="0" y="0"/>
                            <a:ext cx="3097530" cy="904875"/>
                          </a:xfrm>
                          <a:prstGeom prst="rect">
                            <a:avLst/>
                          </a:prstGeom>
                          <a:noFill/>
                          <a:ln>
                            <a:noFill/>
                          </a:ln>
                        </pic:spPr>
                      </pic:pic>
                    </a:graphicData>
                  </a:graphic>
                </wp:inline>
              </w:drawing>
            </w:r>
          </w:p>
        </w:tc>
      </w:tr>
      <w:tr w14:paraId="49063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1" w:type="dxa"/>
          </w:tcPr>
          <w:p w14:paraId="240E4076">
            <w:pPr>
              <w:spacing w:line="360" w:lineRule="auto"/>
              <w:jc w:val="both"/>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3073400" cy="916305"/>
                  <wp:effectExtent l="0" t="0" r="0" b="10795"/>
                  <wp:docPr id="1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pic:cNvPicPr>
                            <a:picLocks noChangeAspect="1"/>
                          </pic:cNvPicPr>
                        </pic:nvPicPr>
                        <pic:blipFill>
                          <a:blip r:embed="rId30"/>
                          <a:stretch>
                            <a:fillRect/>
                          </a:stretch>
                        </pic:blipFill>
                        <pic:spPr>
                          <a:xfrm>
                            <a:off x="0" y="0"/>
                            <a:ext cx="3073400" cy="916305"/>
                          </a:xfrm>
                          <a:prstGeom prst="rect">
                            <a:avLst/>
                          </a:prstGeom>
                          <a:noFill/>
                          <a:ln>
                            <a:noFill/>
                          </a:ln>
                        </pic:spPr>
                      </pic:pic>
                    </a:graphicData>
                  </a:graphic>
                </wp:inline>
              </w:drawing>
            </w:r>
          </w:p>
        </w:tc>
        <w:tc>
          <w:tcPr>
            <w:tcW w:w="5341" w:type="dxa"/>
          </w:tcPr>
          <w:p w14:paraId="4BD4E765">
            <w:pPr>
              <w:spacing w:line="360" w:lineRule="auto"/>
              <w:jc w:val="both"/>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3195955" cy="884555"/>
                  <wp:effectExtent l="0" t="0" r="4445" b="4445"/>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31"/>
                          <a:stretch>
                            <a:fillRect/>
                          </a:stretch>
                        </pic:blipFill>
                        <pic:spPr>
                          <a:xfrm>
                            <a:off x="0" y="0"/>
                            <a:ext cx="3195955" cy="884555"/>
                          </a:xfrm>
                          <a:prstGeom prst="rect">
                            <a:avLst/>
                          </a:prstGeom>
                          <a:noFill/>
                          <a:ln>
                            <a:noFill/>
                          </a:ln>
                        </pic:spPr>
                      </pic:pic>
                    </a:graphicData>
                  </a:graphic>
                </wp:inline>
              </w:drawing>
            </w:r>
          </w:p>
        </w:tc>
      </w:tr>
    </w:tbl>
    <w:p w14:paraId="3BBA4ABF">
      <w:pPr>
        <w:spacing w:line="360" w:lineRule="auto"/>
        <w:jc w:val="both"/>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Note: Information source: https://www.unwto.org/investment/business-investing</w:t>
      </w:r>
    </w:p>
    <w:p w14:paraId="4A4E1F1A">
      <w:pPr>
        <w:spacing w:line="360" w:lineRule="auto"/>
        <w:jc w:val="both"/>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China's Tourism Business Environment Practices</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9251"/>
      </w:tblGrid>
      <w:tr w14:paraId="2C7C1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dxa"/>
          </w:tcPr>
          <w:p w14:paraId="147B4682">
            <w:pPr>
              <w:spacing w:line="36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Area</w:t>
            </w:r>
          </w:p>
        </w:tc>
        <w:tc>
          <w:tcPr>
            <w:tcW w:w="9251" w:type="dxa"/>
          </w:tcPr>
          <w:p w14:paraId="2AB30FB9">
            <w:pPr>
              <w:spacing w:line="360" w:lineRule="auto"/>
              <w:jc w:val="both"/>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Initiatives or policy documents related to the business environment for tourism</w:t>
            </w:r>
          </w:p>
        </w:tc>
      </w:tr>
      <w:tr w14:paraId="6E7A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dxa"/>
          </w:tcPr>
          <w:p w14:paraId="49E693C0">
            <w:pPr>
              <w:spacing w:line="36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Beijing</w:t>
            </w:r>
          </w:p>
        </w:tc>
        <w:tc>
          <w:tcPr>
            <w:tcW w:w="9251" w:type="dxa"/>
          </w:tcPr>
          <w:p w14:paraId="775E2630">
            <w:pPr>
              <w:spacing w:line="36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https://whlyj.beijing.gov.cn/ztzl/business/202405/t20240508_3665102.html</w:t>
            </w:r>
          </w:p>
        </w:tc>
      </w:tr>
      <w:tr w14:paraId="52525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dxa"/>
          </w:tcPr>
          <w:p w14:paraId="3A64ABB9">
            <w:pPr>
              <w:spacing w:line="36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liaoning</w:t>
            </w:r>
          </w:p>
        </w:tc>
        <w:tc>
          <w:tcPr>
            <w:tcW w:w="9251" w:type="dxa"/>
          </w:tcPr>
          <w:p w14:paraId="772387D9">
            <w:pPr>
              <w:spacing w:line="36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https://whly.ln.gov.cn/whly/zfxxgk/zc/xzgfxwj/2024091415135865299/</w:t>
            </w:r>
          </w:p>
        </w:tc>
      </w:tr>
      <w:tr w14:paraId="457A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dxa"/>
          </w:tcPr>
          <w:p w14:paraId="4F899BAA">
            <w:pPr>
              <w:spacing w:line="36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Xinjiang</w:t>
            </w:r>
          </w:p>
        </w:tc>
        <w:tc>
          <w:tcPr>
            <w:tcW w:w="9251" w:type="dxa"/>
          </w:tcPr>
          <w:p w14:paraId="536299D8">
            <w:pPr>
              <w:spacing w:line="36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https://wlt.xinjiang.gov.cn/wlt/yfzl/202408/700285f5df1c413b9fbc7fc75c1fd9c0.shtml</w:t>
            </w:r>
          </w:p>
        </w:tc>
      </w:tr>
      <w:tr w14:paraId="74351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dxa"/>
          </w:tcPr>
          <w:p w14:paraId="336E9F12">
            <w:pPr>
              <w:spacing w:line="36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Ningxia</w:t>
            </w:r>
          </w:p>
        </w:tc>
        <w:tc>
          <w:tcPr>
            <w:tcW w:w="9251" w:type="dxa"/>
          </w:tcPr>
          <w:p w14:paraId="2D84231E">
            <w:pPr>
              <w:spacing w:line="36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https://www.baidu.com/link?url=nAwhrI_nrcgBMlmHT9c46iu34YfgojMuKbS4iwtlH78cOfWhGCYdV-VUamPfUWT3q84ujWZoKA8uvNTI42m5UHsLRwbbV-bqhjM7bN0XXWa&amp;wd=&amp;eqid=d1bc67f4000ba732000000066762728a</w:t>
            </w:r>
          </w:p>
        </w:tc>
      </w:tr>
      <w:tr w14:paraId="170FE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dxa"/>
          </w:tcPr>
          <w:p w14:paraId="15081A06">
            <w:pPr>
              <w:spacing w:line="36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Qinghai</w:t>
            </w:r>
          </w:p>
        </w:tc>
        <w:tc>
          <w:tcPr>
            <w:tcW w:w="9251" w:type="dxa"/>
          </w:tcPr>
          <w:p w14:paraId="082CC609">
            <w:pPr>
              <w:spacing w:line="36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https://www.baidu.com/link?url=r-rQdVw7AaJVQZ0ubjBJrgW0qTHtnGnSTohjU1OcRGFMV9aix8oVo6spgcqAExsHNBom_KGgZnU9L7XAXv8-1_&amp;wd=&amp;eqid=f107b3cd0099ba0d00000006676272b4</w:t>
            </w:r>
          </w:p>
        </w:tc>
      </w:tr>
      <w:tr w14:paraId="10097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dxa"/>
          </w:tcPr>
          <w:p w14:paraId="4D1AD5C5">
            <w:pPr>
              <w:spacing w:line="36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Gansu</w:t>
            </w:r>
          </w:p>
        </w:tc>
        <w:tc>
          <w:tcPr>
            <w:tcW w:w="9251" w:type="dxa"/>
          </w:tcPr>
          <w:p w14:paraId="31B4760A">
            <w:pPr>
              <w:spacing w:line="36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https://www.tianshui.gov.cn/wlj/info/2122/262862.htm</w:t>
            </w:r>
          </w:p>
        </w:tc>
      </w:tr>
      <w:tr w14:paraId="08577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dxa"/>
          </w:tcPr>
          <w:p w14:paraId="55929E55">
            <w:pPr>
              <w:spacing w:line="36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Yunnan</w:t>
            </w:r>
          </w:p>
        </w:tc>
        <w:tc>
          <w:tcPr>
            <w:tcW w:w="9251" w:type="dxa"/>
          </w:tcPr>
          <w:p w14:paraId="6503C7F7">
            <w:pPr>
              <w:spacing w:line="36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https://baijiahao.baidu.com/s?id=1730615989684947850&amp;wfr=spider&amp;for=pc</w:t>
            </w:r>
          </w:p>
        </w:tc>
      </w:tr>
      <w:tr w14:paraId="69B76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dxa"/>
          </w:tcPr>
          <w:p w14:paraId="5DC66CE3">
            <w:pPr>
              <w:spacing w:line="36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Sichuan</w:t>
            </w:r>
          </w:p>
        </w:tc>
        <w:tc>
          <w:tcPr>
            <w:tcW w:w="9251" w:type="dxa"/>
          </w:tcPr>
          <w:p w14:paraId="128B2A4F">
            <w:pPr>
              <w:spacing w:line="36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http://sc.people.com.cn/n2/2024/0817/c345167-40947002.html</w:t>
            </w:r>
          </w:p>
        </w:tc>
      </w:tr>
      <w:tr w14:paraId="51E61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dxa"/>
          </w:tcPr>
          <w:p w14:paraId="0098554D">
            <w:pPr>
              <w:spacing w:line="36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Chongqing</w:t>
            </w:r>
          </w:p>
        </w:tc>
        <w:tc>
          <w:tcPr>
            <w:tcW w:w="9251" w:type="dxa"/>
          </w:tcPr>
          <w:p w14:paraId="470776A7">
            <w:pPr>
              <w:spacing w:line="36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https://www.baidu.com/link?url=PFXzJgf5NsnULppNSnkQCdPcImU0LvwHbzBuvw2clF4xX3Cgpdi2j6Dz5LSHuZyx8fk_MGh-FmTRseFZqZZVShb3wSIL6i5BN-kVNVNqtYy&amp;wd=&amp;eqid=d182b88e003c88260000000667627397</w:t>
            </w:r>
          </w:p>
        </w:tc>
      </w:tr>
      <w:tr w14:paraId="27273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dxa"/>
          </w:tcPr>
          <w:p w14:paraId="084AF45C">
            <w:pPr>
              <w:spacing w:line="36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Guangxi</w:t>
            </w:r>
          </w:p>
        </w:tc>
        <w:tc>
          <w:tcPr>
            <w:tcW w:w="9251" w:type="dxa"/>
          </w:tcPr>
          <w:p w14:paraId="4FB4B3FA">
            <w:pPr>
              <w:spacing w:line="36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https://nnsw.nanning.gov.cn/zt/yhyshj/t6190202.html</w:t>
            </w:r>
          </w:p>
        </w:tc>
      </w:tr>
      <w:tr w14:paraId="09089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dxa"/>
          </w:tcPr>
          <w:p w14:paraId="47C210BD">
            <w:pPr>
              <w:spacing w:line="36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Inner mongolia</w:t>
            </w:r>
          </w:p>
        </w:tc>
        <w:tc>
          <w:tcPr>
            <w:tcW w:w="9251" w:type="dxa"/>
          </w:tcPr>
          <w:p w14:paraId="41962E12">
            <w:pPr>
              <w:spacing w:line="36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https://www.baidu.com/link?url=ATmC8TkuUxpdw3dpW4m2gBT8CbaoEfCBp-NxHwZDtIKEGppEfZsbntn-p_S5YQeqq2JK6z0dN4Qisn_8gT-KxFxAlRz5Hu_v4Xk9L8IesaC&amp;wd=&amp;eqid=d68a6b6f006cde86000000066762740c</w:t>
            </w:r>
          </w:p>
        </w:tc>
      </w:tr>
      <w:tr w14:paraId="28EF4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dxa"/>
          </w:tcPr>
          <w:p w14:paraId="30CB9CED">
            <w:pPr>
              <w:spacing w:line="36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Hubei</w:t>
            </w:r>
          </w:p>
        </w:tc>
        <w:tc>
          <w:tcPr>
            <w:tcW w:w="9251" w:type="dxa"/>
          </w:tcPr>
          <w:p w14:paraId="5DF0A717">
            <w:pPr>
              <w:spacing w:line="36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https://wlt.hubei.gov.cn/bmdt/mtjj/202209/t20220930_4330567.shtml</w:t>
            </w:r>
          </w:p>
        </w:tc>
      </w:tr>
      <w:tr w14:paraId="67737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dxa"/>
          </w:tcPr>
          <w:p w14:paraId="6833969A">
            <w:pPr>
              <w:spacing w:line="36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Henan</w:t>
            </w:r>
          </w:p>
        </w:tc>
        <w:tc>
          <w:tcPr>
            <w:tcW w:w="9251" w:type="dxa"/>
          </w:tcPr>
          <w:p w14:paraId="07A6256F">
            <w:pPr>
              <w:spacing w:line="36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https://hct.henan.gov.cn/2024/06-10/3005729.html</w:t>
            </w:r>
          </w:p>
        </w:tc>
      </w:tr>
      <w:tr w14:paraId="44CA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dxa"/>
          </w:tcPr>
          <w:p w14:paraId="56BA17BE">
            <w:pPr>
              <w:spacing w:line="36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Jiangxi</w:t>
            </w:r>
          </w:p>
        </w:tc>
        <w:tc>
          <w:tcPr>
            <w:tcW w:w="9251" w:type="dxa"/>
          </w:tcPr>
          <w:p w14:paraId="39115DCF">
            <w:pPr>
              <w:spacing w:line="36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https://www.mct.gov.cn/whzx/qgwhxxlb/jx/202306/t20230620_944612.htm</w:t>
            </w:r>
          </w:p>
        </w:tc>
      </w:tr>
      <w:tr w14:paraId="2EEDD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dxa"/>
          </w:tcPr>
          <w:p w14:paraId="436DD76D">
            <w:pPr>
              <w:spacing w:line="36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Hainan</w:t>
            </w:r>
          </w:p>
        </w:tc>
        <w:tc>
          <w:tcPr>
            <w:tcW w:w="9251" w:type="dxa"/>
          </w:tcPr>
          <w:p w14:paraId="7AC1B25C">
            <w:pPr>
              <w:spacing w:line="36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https://www.hainan.gov.cn/hainan/yhyshj/yhyshj.shtml</w:t>
            </w:r>
          </w:p>
        </w:tc>
      </w:tr>
      <w:tr w14:paraId="68232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dxa"/>
          </w:tcPr>
          <w:p w14:paraId="22A125FC">
            <w:pPr>
              <w:spacing w:line="36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Guangdong</w:t>
            </w:r>
          </w:p>
        </w:tc>
        <w:tc>
          <w:tcPr>
            <w:tcW w:w="9251" w:type="dxa"/>
          </w:tcPr>
          <w:p w14:paraId="09F43AB8">
            <w:pPr>
              <w:spacing w:line="36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https://www.hainan.gov.cn/hainan/yhyshj/yhyshj.shtml</w:t>
            </w:r>
          </w:p>
        </w:tc>
      </w:tr>
      <w:tr w14:paraId="53A4A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dxa"/>
          </w:tcPr>
          <w:p w14:paraId="2E68577E">
            <w:pPr>
              <w:spacing w:line="36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Fujian</w:t>
            </w:r>
          </w:p>
        </w:tc>
        <w:tc>
          <w:tcPr>
            <w:tcW w:w="9251" w:type="dxa"/>
          </w:tcPr>
          <w:p w14:paraId="1EF98889">
            <w:pPr>
              <w:spacing w:line="36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https://wlt.fujian.gov.cn/wldt/btdt/202409/t20240924_6528327.htm</w:t>
            </w:r>
          </w:p>
        </w:tc>
      </w:tr>
      <w:tr w14:paraId="73648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dxa"/>
          </w:tcPr>
          <w:p w14:paraId="7C5304E3">
            <w:pPr>
              <w:spacing w:line="36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Jiangsu</w:t>
            </w:r>
          </w:p>
        </w:tc>
        <w:tc>
          <w:tcPr>
            <w:tcW w:w="9251" w:type="dxa"/>
          </w:tcPr>
          <w:p w14:paraId="2F1E0FDD">
            <w:pPr>
              <w:spacing w:line="36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https://www.mct.gov.cn/whzx/qgwhxxlb/js/202205/t20220531_933262.htm</w:t>
            </w:r>
          </w:p>
        </w:tc>
      </w:tr>
      <w:tr w14:paraId="11C57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dxa"/>
          </w:tcPr>
          <w:p w14:paraId="530C8311">
            <w:pPr>
              <w:spacing w:line="36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Shanghai</w:t>
            </w:r>
          </w:p>
        </w:tc>
        <w:tc>
          <w:tcPr>
            <w:tcW w:w="9251" w:type="dxa"/>
          </w:tcPr>
          <w:p w14:paraId="027ECEC4">
            <w:pPr>
              <w:spacing w:line="36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https://www.sohu.com/a/288889523_384507</w:t>
            </w:r>
          </w:p>
        </w:tc>
      </w:tr>
      <w:tr w14:paraId="04941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dxa"/>
          </w:tcPr>
          <w:p w14:paraId="55FFBBF2">
            <w:pPr>
              <w:spacing w:line="36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Hebei</w:t>
            </w:r>
          </w:p>
        </w:tc>
        <w:tc>
          <w:tcPr>
            <w:tcW w:w="9251" w:type="dxa"/>
          </w:tcPr>
          <w:p w14:paraId="4AAAAB3D">
            <w:pPr>
              <w:spacing w:line="36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https://whly.hebei.gov.cn/c/2023-09-25/574020.html</w:t>
            </w:r>
          </w:p>
        </w:tc>
      </w:tr>
      <w:tr w14:paraId="48021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dxa"/>
          </w:tcPr>
          <w:p w14:paraId="6F8F3517">
            <w:pPr>
              <w:spacing w:line="36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Tianjin</w:t>
            </w:r>
          </w:p>
        </w:tc>
        <w:tc>
          <w:tcPr>
            <w:tcW w:w="9251" w:type="dxa"/>
          </w:tcPr>
          <w:p w14:paraId="0F667245">
            <w:pPr>
              <w:spacing w:line="36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https://whly.tj.gov.cn/ZTZL719/yhyshj/</w:t>
            </w:r>
          </w:p>
        </w:tc>
      </w:tr>
    </w:tbl>
    <w:p w14:paraId="2FDF8F0E">
      <w:pPr>
        <w:spacing w:line="360" w:lineRule="auto"/>
        <w:jc w:val="both"/>
        <w:rPr>
          <w:rFonts w:hint="default" w:ascii="Times New Roman" w:hAnsi="Times New Roman" w:eastAsia="宋体" w:cs="Times New Roman"/>
          <w:sz w:val="21"/>
          <w:szCs w:val="21"/>
          <w:lang w:val="en-US" w:eastAsia="zh-CN"/>
        </w:rPr>
      </w:pPr>
    </w:p>
    <w:p w14:paraId="4B9F7DCF">
      <w:pPr>
        <w:rPr>
          <w:sz w:val="21"/>
          <w:szCs w:val="21"/>
        </w:rPr>
      </w:pPr>
    </w:p>
    <w:sectPr>
      <w:pgSz w:w="11906" w:h="16838"/>
      <w:pgMar w:top="720" w:right="720" w:bottom="72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35CC4B"/>
    <w:multiLevelType w:val="singleLevel"/>
    <w:tmpl w:val="BC35CC4B"/>
    <w:lvl w:ilvl="0" w:tentative="0">
      <w:start w:val="5"/>
      <w:numFmt w:val="decimal"/>
      <w:suff w:val="space"/>
      <w:lvlText w:val="%1."/>
      <w:lvlJc w:val="left"/>
    </w:lvl>
  </w:abstractNum>
  <w:abstractNum w:abstractNumId="1">
    <w:nsid w:val="1DBF5AC2"/>
    <w:multiLevelType w:val="singleLevel"/>
    <w:tmpl w:val="1DBF5AC2"/>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F30"/>
    <w:rsid w:val="00075059"/>
    <w:rsid w:val="003C7343"/>
    <w:rsid w:val="003F6774"/>
    <w:rsid w:val="00622205"/>
    <w:rsid w:val="00842CF4"/>
    <w:rsid w:val="00955F62"/>
    <w:rsid w:val="009970C2"/>
    <w:rsid w:val="00BD7F30"/>
    <w:rsid w:val="00C7507E"/>
    <w:rsid w:val="00D20860"/>
    <w:rsid w:val="00F161CE"/>
    <w:rsid w:val="00F629E9"/>
    <w:rsid w:val="00F639F3"/>
    <w:rsid w:val="029C51B3"/>
    <w:rsid w:val="051C4A8C"/>
    <w:rsid w:val="07950B26"/>
    <w:rsid w:val="0A2B3FCA"/>
    <w:rsid w:val="18CF45DB"/>
    <w:rsid w:val="219C7E41"/>
    <w:rsid w:val="3F680884"/>
    <w:rsid w:val="4EAF140A"/>
    <w:rsid w:val="4FD349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styleId="2">
    <w:name w:val="heading 1"/>
    <w:basedOn w:val="1"/>
    <w:next w:val="1"/>
    <w:link w:val="18"/>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19"/>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0"/>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1"/>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2"/>
    <w:semiHidden/>
    <w:unhideWhenUsed/>
    <w:qFormat/>
    <w:uiPriority w:val="9"/>
    <w:pPr>
      <w:keepNext/>
      <w:keepLines/>
      <w:spacing w:before="80" w:after="40"/>
      <w:outlineLvl w:val="4"/>
    </w:pPr>
    <w:rPr>
      <w:rFonts w:cstheme="majorBidi"/>
      <w:color w:val="104862" w:themeColor="accent1" w:themeShade="BF"/>
      <w:sz w:val="24"/>
    </w:rPr>
  </w:style>
  <w:style w:type="paragraph" w:styleId="7">
    <w:name w:val="heading 6"/>
    <w:basedOn w:val="1"/>
    <w:next w:val="1"/>
    <w:link w:val="23"/>
    <w:semiHidden/>
    <w:unhideWhenUsed/>
    <w:qFormat/>
    <w:uiPriority w:val="9"/>
    <w:pPr>
      <w:keepNext/>
      <w:keepLines/>
      <w:spacing w:before="40" w:after="0"/>
      <w:outlineLvl w:val="5"/>
    </w:pPr>
    <w:rPr>
      <w:rFonts w:cstheme="majorBidi"/>
      <w:b/>
      <w:bCs/>
      <w:color w:val="104862" w:themeColor="accent1" w:themeShade="BF"/>
    </w:rPr>
  </w:style>
  <w:style w:type="paragraph" w:styleId="8">
    <w:name w:val="heading 7"/>
    <w:basedOn w:val="1"/>
    <w:next w:val="1"/>
    <w:link w:val="24"/>
    <w:semiHidden/>
    <w:unhideWhenUsed/>
    <w:qFormat/>
    <w:uiPriority w:val="9"/>
    <w:pPr>
      <w:keepNext/>
      <w:keepLines/>
      <w:spacing w:before="40" w:after="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semiHidden/>
    <w:unhideWhenUsed/>
    <w:qFormat/>
    <w:uiPriority w:val="9"/>
    <w:pPr>
      <w:keepNext/>
      <w:keepLines/>
      <w:spacing w:after="0"/>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6"/>
    <w:semiHidden/>
    <w:unhideWhenUsed/>
    <w:qFormat/>
    <w:uiPriority w:val="9"/>
    <w:pPr>
      <w:keepNext/>
      <w:keepLines/>
      <w:spacing w:after="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11">
    <w:name w:val="footer"/>
    <w:basedOn w:val="1"/>
    <w:link w:val="37"/>
    <w:unhideWhenUsed/>
    <w:qFormat/>
    <w:uiPriority w:val="99"/>
    <w:pPr>
      <w:tabs>
        <w:tab w:val="center" w:pos="4153"/>
        <w:tab w:val="right" w:pos="8306"/>
      </w:tabs>
      <w:snapToGrid w:val="0"/>
      <w:spacing w:line="240" w:lineRule="auto"/>
    </w:pPr>
    <w:rPr>
      <w:sz w:val="18"/>
      <w:szCs w:val="18"/>
    </w:rPr>
  </w:style>
  <w:style w:type="paragraph" w:styleId="12">
    <w:name w:val="header"/>
    <w:basedOn w:val="1"/>
    <w:link w:val="36"/>
    <w:unhideWhenUsed/>
    <w:qFormat/>
    <w:uiPriority w:val="99"/>
    <w:pPr>
      <w:tabs>
        <w:tab w:val="center" w:pos="4153"/>
        <w:tab w:val="right" w:pos="8306"/>
      </w:tabs>
      <w:snapToGrid w:val="0"/>
      <w:spacing w:line="240" w:lineRule="auto"/>
      <w:jc w:val="center"/>
    </w:pPr>
    <w:rPr>
      <w:sz w:val="18"/>
      <w:szCs w:val="18"/>
    </w:rPr>
  </w:style>
  <w:style w:type="paragraph" w:styleId="13">
    <w:name w:val="Subtitle"/>
    <w:basedOn w:val="1"/>
    <w:next w:val="1"/>
    <w:link w:val="28"/>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Title"/>
    <w:basedOn w:val="1"/>
    <w:next w:val="1"/>
    <w:link w:val="27"/>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table" w:styleId="16">
    <w:name w:val="Table Grid"/>
    <w:basedOn w:val="1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
    <w:name w:val="标题 1 字符"/>
    <w:basedOn w:val="17"/>
    <w:link w:val="2"/>
    <w:qFormat/>
    <w:uiPriority w:val="9"/>
    <w:rPr>
      <w:rFonts w:asciiTheme="majorHAnsi" w:hAnsiTheme="majorHAnsi" w:eastAsiaTheme="majorEastAsia" w:cstheme="majorBidi"/>
      <w:color w:val="104862" w:themeColor="accent1" w:themeShade="BF"/>
      <w:sz w:val="48"/>
      <w:szCs w:val="48"/>
    </w:rPr>
  </w:style>
  <w:style w:type="character" w:customStyle="1" w:styleId="19">
    <w:name w:val="标题 2 字符"/>
    <w:basedOn w:val="17"/>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0">
    <w:name w:val="标题 3 字符"/>
    <w:basedOn w:val="17"/>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1">
    <w:name w:val="标题 4 字符"/>
    <w:basedOn w:val="17"/>
    <w:link w:val="5"/>
    <w:semiHidden/>
    <w:qFormat/>
    <w:uiPriority w:val="9"/>
    <w:rPr>
      <w:rFonts w:cstheme="majorBidi"/>
      <w:color w:val="104862" w:themeColor="accent1" w:themeShade="BF"/>
      <w:sz w:val="28"/>
      <w:szCs w:val="28"/>
    </w:rPr>
  </w:style>
  <w:style w:type="character" w:customStyle="1" w:styleId="22">
    <w:name w:val="标题 5 字符"/>
    <w:basedOn w:val="17"/>
    <w:link w:val="6"/>
    <w:semiHidden/>
    <w:qFormat/>
    <w:uiPriority w:val="9"/>
    <w:rPr>
      <w:rFonts w:cstheme="majorBidi"/>
      <w:color w:val="104862" w:themeColor="accent1" w:themeShade="BF"/>
      <w:sz w:val="24"/>
    </w:rPr>
  </w:style>
  <w:style w:type="character" w:customStyle="1" w:styleId="23">
    <w:name w:val="标题 6 字符"/>
    <w:basedOn w:val="17"/>
    <w:link w:val="7"/>
    <w:semiHidden/>
    <w:qFormat/>
    <w:uiPriority w:val="9"/>
    <w:rPr>
      <w:rFonts w:cstheme="majorBidi"/>
      <w:b/>
      <w:bCs/>
      <w:color w:val="104862" w:themeColor="accent1" w:themeShade="BF"/>
    </w:rPr>
  </w:style>
  <w:style w:type="character" w:customStyle="1" w:styleId="24">
    <w:name w:val="标题 7 字符"/>
    <w:basedOn w:val="17"/>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5">
    <w:name w:val="标题 8 字符"/>
    <w:basedOn w:val="17"/>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6">
    <w:name w:val="标题 9 字符"/>
    <w:basedOn w:val="17"/>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7">
    <w:name w:val="标题 字符"/>
    <w:basedOn w:val="17"/>
    <w:link w:val="14"/>
    <w:qFormat/>
    <w:uiPriority w:val="10"/>
    <w:rPr>
      <w:rFonts w:asciiTheme="majorHAnsi" w:hAnsiTheme="majorHAnsi" w:eastAsiaTheme="majorEastAsia" w:cstheme="majorBidi"/>
      <w:spacing w:val="-10"/>
      <w:kern w:val="28"/>
      <w:sz w:val="56"/>
      <w:szCs w:val="56"/>
    </w:rPr>
  </w:style>
  <w:style w:type="character" w:customStyle="1" w:styleId="28">
    <w:name w:val="副标题 字符"/>
    <w:basedOn w:val="17"/>
    <w:link w:val="13"/>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9">
    <w:name w:val="Quote"/>
    <w:basedOn w:val="1"/>
    <w:next w:val="1"/>
    <w:link w:val="30"/>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引用 字符"/>
    <w:basedOn w:val="17"/>
    <w:link w:val="29"/>
    <w:qFormat/>
    <w:uiPriority w:val="29"/>
    <w:rPr>
      <w:i/>
      <w:iCs/>
      <w:color w:val="404040" w:themeColor="text1" w:themeTint="BF"/>
      <w14:textFill>
        <w14:solidFill>
          <w14:schemeClr w14:val="tx1">
            <w14:lumMod w14:val="75000"/>
            <w14:lumOff w14:val="25000"/>
          </w14:schemeClr>
        </w14:solidFill>
      </w14:textFill>
    </w:rPr>
  </w:style>
  <w:style w:type="paragraph" w:styleId="31">
    <w:name w:val="List Paragraph"/>
    <w:basedOn w:val="1"/>
    <w:qFormat/>
    <w:uiPriority w:val="34"/>
    <w:pPr>
      <w:ind w:left="720"/>
      <w:contextualSpacing/>
    </w:pPr>
  </w:style>
  <w:style w:type="character" w:customStyle="1" w:styleId="32">
    <w:name w:val="Intense Emphasis"/>
    <w:basedOn w:val="17"/>
    <w:qFormat/>
    <w:uiPriority w:val="21"/>
    <w:rPr>
      <w:i/>
      <w:iCs/>
      <w:color w:val="104862" w:themeColor="accent1" w:themeShade="BF"/>
    </w:rPr>
  </w:style>
  <w:style w:type="paragraph" w:styleId="33">
    <w:name w:val="Intense Quote"/>
    <w:basedOn w:val="1"/>
    <w:next w:val="1"/>
    <w:link w:val="34"/>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4">
    <w:name w:val="明显引用 字符"/>
    <w:basedOn w:val="17"/>
    <w:link w:val="33"/>
    <w:qFormat/>
    <w:uiPriority w:val="30"/>
    <w:rPr>
      <w:i/>
      <w:iCs/>
      <w:color w:val="104862" w:themeColor="accent1" w:themeShade="BF"/>
    </w:rPr>
  </w:style>
  <w:style w:type="character" w:customStyle="1" w:styleId="35">
    <w:name w:val="Intense Reference"/>
    <w:basedOn w:val="17"/>
    <w:qFormat/>
    <w:uiPriority w:val="32"/>
    <w:rPr>
      <w:b/>
      <w:bCs/>
      <w:smallCaps/>
      <w:color w:val="104862" w:themeColor="accent1" w:themeShade="BF"/>
      <w:spacing w:val="5"/>
    </w:rPr>
  </w:style>
  <w:style w:type="character" w:customStyle="1" w:styleId="36">
    <w:name w:val="页眉 字符"/>
    <w:basedOn w:val="17"/>
    <w:link w:val="12"/>
    <w:qFormat/>
    <w:uiPriority w:val="99"/>
    <w:rPr>
      <w:sz w:val="18"/>
      <w:szCs w:val="18"/>
    </w:rPr>
  </w:style>
  <w:style w:type="character" w:customStyle="1" w:styleId="37">
    <w:name w:val="页脚 字符"/>
    <w:basedOn w:val="17"/>
    <w:link w:val="11"/>
    <w:qFormat/>
    <w:uiPriority w:val="99"/>
    <w:rPr>
      <w:sz w:val="18"/>
      <w:szCs w:val="18"/>
    </w:rPr>
  </w:style>
  <w:style w:type="paragraph" w:customStyle="1" w:styleId="38">
    <w:name w:val="MTDisplayEquation"/>
    <w:next w:val="1"/>
    <w:qFormat/>
    <w:uiPriority w:val="0"/>
    <w:pPr>
      <w:widowControl w:val="0"/>
      <w:tabs>
        <w:tab w:val="center" w:pos="4160"/>
        <w:tab w:val="right" w:pos="8300"/>
      </w:tabs>
      <w:spacing w:line="300" w:lineRule="auto"/>
      <w:ind w:firstLine="200" w:firstLineChars="200"/>
      <w:jc w:val="both"/>
    </w:pPr>
    <w:rPr>
      <w:rFonts w:ascii="Times" w:hAnsi="Times" w:eastAsia="宋体" w:cstheme="minorBidi"/>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oleObject" Target="embeddings/oleObject2.bin"/><Relationship Id="rId7" Type="http://schemas.openxmlformats.org/officeDocument/2006/relationships/image" Target="media/image1.w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wmf"/><Relationship Id="rId14" Type="http://schemas.openxmlformats.org/officeDocument/2006/relationships/oleObject" Target="embeddings/oleObject5.bin"/><Relationship Id="rId13" Type="http://schemas.openxmlformats.org/officeDocument/2006/relationships/image" Target="media/image4.wmf"/><Relationship Id="rId12" Type="http://schemas.openxmlformats.org/officeDocument/2006/relationships/oleObject" Target="embeddings/oleObject4.bin"/><Relationship Id="rId11" Type="http://schemas.openxmlformats.org/officeDocument/2006/relationships/image" Target="media/image3.w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2065</Words>
  <Characters>13803</Characters>
  <Lines>30</Lines>
  <Paragraphs>8</Paragraphs>
  <TotalTime>325</TotalTime>
  <ScaleCrop>false</ScaleCrop>
  <LinksUpToDate>false</LinksUpToDate>
  <CharactersWithSpaces>15740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2024-04-23T00:42:00Z</dcterms:created>
  <dc:creator>chao</dc:creator>
  <cp:lastModifiedBy>满江红</cp:lastModifiedBy>
  <dcterms:modified xsi:type="dcterms:W3CDTF">2025-03-25T00:41:57Z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DCE4AE211BFE42C1B409B228EA46025E_12</vt:lpwstr>
  </property>
  <property fmtid="{D5CDD505-2E9C-101B-9397-08002B2CF9AE}" pid="4" name="KSOTemplateDocerSaveRecord">
    <vt:lpwstr>eyJoZGlkIjoiNzJkNGNhZWQ0MmE5YTczZmZkNTFkODNkNzQ0YzM1MWUiLCJ1c2VySWQiOiIxMjEyMDEwNTA0In0=</vt:lpwstr>
  </property>
</Properties>
</file>