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2CB33" w14:textId="77777777" w:rsidR="00C502B8" w:rsidRDefault="00C502B8" w:rsidP="00C502B8">
      <w:pPr>
        <w:spacing w:before="20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Table 1</w:t>
      </w:r>
      <w:r>
        <w:rPr>
          <w:rFonts w:ascii="Arial" w:eastAsia="Arial" w:hAnsi="Arial" w:cs="Arial"/>
        </w:rPr>
        <w:t xml:space="preserve"> Sampling Years of Human Norovirus Genotype Partial Sequences Used in This Study</w:t>
      </w:r>
    </w:p>
    <w:p w14:paraId="11BA191B" w14:textId="77777777" w:rsidR="00C502B8" w:rsidRDefault="00C502B8" w:rsidP="00C502B8">
      <w:pPr>
        <w:spacing w:before="200"/>
      </w:pPr>
      <w:r>
        <w:rPr>
          <w:noProof/>
        </w:rPr>
        <w:drawing>
          <wp:inline distT="114300" distB="114300" distL="114300" distR="114300" wp14:anchorId="625EFA19" wp14:editId="70AD7871">
            <wp:extent cx="5943600" cy="685800"/>
            <wp:effectExtent l="0" t="0" r="0" b="0"/>
            <wp:docPr id="206310202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61CF6B" w14:textId="77777777" w:rsidR="00C502B8" w:rsidRDefault="00C502B8" w:rsidP="00C502B8">
      <w:pPr>
        <w:spacing w:before="200"/>
      </w:pPr>
    </w:p>
    <w:p w14:paraId="67D71313" w14:textId="77777777" w:rsidR="00C502B8" w:rsidRDefault="00C502B8" w:rsidP="00C502B8">
      <w:pPr>
        <w:spacing w:before="20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Table 2</w:t>
      </w:r>
      <w:r>
        <w:rPr>
          <w:rFonts w:ascii="Arial" w:eastAsia="Arial" w:hAnsi="Arial" w:cs="Arial"/>
        </w:rPr>
        <w:t>. Comparison of dN/dS Ratios Across Norovirus Genes in Cluster A and Cluster B</w:t>
      </w:r>
    </w:p>
    <w:p w14:paraId="4103A821" w14:textId="77777777" w:rsidR="00C502B8" w:rsidRDefault="00C502B8" w:rsidP="00C502B8">
      <w:pPr>
        <w:spacing w:before="200"/>
      </w:pPr>
    </w:p>
    <w:p w14:paraId="4455C6DD" w14:textId="77777777" w:rsidR="00C502B8" w:rsidRDefault="00C502B8" w:rsidP="00C502B8">
      <w:pPr>
        <w:spacing w:before="200"/>
        <w:rPr>
          <w:rFonts w:ascii="Arial" w:eastAsia="Arial" w:hAnsi="Arial" w:cs="Arial"/>
        </w:rPr>
      </w:pPr>
      <w:r w:rsidRPr="00A159B8">
        <w:rPr>
          <w:rFonts w:ascii="Arial" w:eastAsia="Arial" w:hAnsi="Arial" w:cs="Arial"/>
          <w:noProof/>
        </w:rPr>
        <w:drawing>
          <wp:inline distT="0" distB="0" distL="0" distR="0" wp14:anchorId="0681CBAA" wp14:editId="3C6EFFF1">
            <wp:extent cx="5943600" cy="1490345"/>
            <wp:effectExtent l="0" t="0" r="0" b="0"/>
            <wp:docPr id="6580516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0516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AF410" w14:textId="77777777" w:rsidR="00C502B8" w:rsidRDefault="00C502B8" w:rsidP="00C502B8">
      <w:pPr>
        <w:spacing w:before="200"/>
        <w:rPr>
          <w:rFonts w:ascii="Arial" w:eastAsia="Arial" w:hAnsi="Arial" w:cs="Arial"/>
        </w:rPr>
      </w:pPr>
    </w:p>
    <w:p w14:paraId="0431D33F" w14:textId="77777777" w:rsidR="00C502B8" w:rsidRDefault="00C502B8" w:rsidP="00C502B8">
      <w:pPr>
        <w:spacing w:before="200"/>
        <w:rPr>
          <w:rFonts w:ascii="Arial" w:eastAsia="Arial" w:hAnsi="Arial" w:cs="Arial"/>
        </w:rPr>
      </w:pPr>
    </w:p>
    <w:p w14:paraId="32FFD37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2B8"/>
    <w:rsid w:val="002E281E"/>
    <w:rsid w:val="003201BB"/>
    <w:rsid w:val="00865217"/>
    <w:rsid w:val="00C502B8"/>
    <w:rsid w:val="00E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2E497"/>
  <w15:chartTrackingRefBased/>
  <w15:docId w15:val="{55934F03-1682-4E1B-86F5-F648FE350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2B8"/>
    <w:pPr>
      <w:spacing w:after="0" w:line="240" w:lineRule="auto"/>
    </w:pPr>
    <w:rPr>
      <w:rFonts w:ascii="Times New Roman" w:eastAsia="Times New Roman" w:hAnsi="Times New Roman" w:cs="Times New Roman"/>
      <w:kern w:val="0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2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2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2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2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2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2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2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2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2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2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2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2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2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2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2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2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2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2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2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02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2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02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2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02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2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02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2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2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2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Springer Nature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2025-05-21T15:03:00Z</dcterms:created>
  <dcterms:modified xsi:type="dcterms:W3CDTF">2025-05-21T15:03:00Z</dcterms:modified>
</cp:coreProperties>
</file>