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6ED" w:rsidRPr="00280837" w:rsidRDefault="000B06ED" w:rsidP="000B06ED">
      <w:pPr>
        <w:spacing w:after="120" w:line="276" w:lineRule="auto"/>
        <w:jc w:val="both"/>
        <w:rPr>
          <w:rFonts w:ascii="Arial" w:eastAsia="Arial" w:hAnsi="Arial" w:cs="Arial"/>
          <w:b/>
          <w:color w:val="000000"/>
          <w:lang w:val="en-US"/>
        </w:rPr>
      </w:pPr>
      <w:r>
        <w:rPr>
          <w:rFonts w:ascii="Arial" w:eastAsia="Arial" w:hAnsi="Arial" w:cs="Arial"/>
          <w:b/>
          <w:color w:val="000000"/>
          <w:lang w:val="en-US"/>
        </w:rPr>
        <w:t xml:space="preserve">Additional file </w:t>
      </w:r>
      <w:r w:rsidR="008648B6">
        <w:rPr>
          <w:rFonts w:ascii="Arial" w:eastAsia="Arial" w:hAnsi="Arial" w:cs="Arial"/>
          <w:b/>
          <w:color w:val="000000"/>
          <w:lang w:val="en-US"/>
        </w:rPr>
        <w:t>4</w:t>
      </w:r>
      <w:bookmarkStart w:id="0" w:name="_GoBack"/>
      <w:bookmarkEnd w:id="0"/>
      <w:r w:rsidRPr="00280837">
        <w:rPr>
          <w:rFonts w:ascii="Arial" w:eastAsia="Arial" w:hAnsi="Arial" w:cs="Arial"/>
          <w:b/>
          <w:color w:val="000000"/>
          <w:lang w:val="en-US"/>
        </w:rPr>
        <w:t xml:space="preserve">: Mental health outcomes recommended by experts, grouped based on the outcomes identified in the systematic review. </w:t>
      </w:r>
    </w:p>
    <w:tbl>
      <w:tblPr>
        <w:tblW w:w="9070"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430"/>
        <w:gridCol w:w="6640"/>
      </w:tblGrid>
      <w:tr w:rsidR="000B06ED" w:rsidRPr="00280837" w:rsidTr="00D40E82">
        <w:trPr>
          <w:trHeight w:val="454"/>
        </w:trPr>
        <w:tc>
          <w:tcPr>
            <w:tcW w:w="2430" w:type="dxa"/>
            <w:shd w:val="clear" w:color="auto" w:fill="EDEDED"/>
            <w:tcMar>
              <w:top w:w="72" w:type="dxa"/>
              <w:left w:w="144" w:type="dxa"/>
              <w:bottom w:w="72" w:type="dxa"/>
              <w:right w:w="144" w:type="dxa"/>
            </w:tcMar>
            <w:vAlign w:val="center"/>
          </w:tcPr>
          <w:p w:rsidR="000B06ED" w:rsidRPr="00280837" w:rsidRDefault="000B06ED" w:rsidP="00D40E82">
            <w:pPr>
              <w:spacing w:line="276" w:lineRule="auto"/>
              <w:jc w:val="center"/>
              <w:rPr>
                <w:rFonts w:ascii="Arial" w:eastAsia="Arial" w:hAnsi="Arial" w:cs="Arial"/>
                <w:b/>
                <w:color w:val="000000"/>
                <w:sz w:val="18"/>
                <w:szCs w:val="18"/>
                <w:lang w:val="en-US"/>
              </w:rPr>
            </w:pPr>
            <w:r w:rsidRPr="00280837">
              <w:rPr>
                <w:rFonts w:ascii="Arial" w:eastAsia="Arial" w:hAnsi="Arial" w:cs="Arial"/>
                <w:b/>
                <w:sz w:val="18"/>
                <w:szCs w:val="18"/>
                <w:lang w:val="en-US"/>
              </w:rPr>
              <w:t xml:space="preserve">Mental health outcomes identified in the systematic review </w:t>
            </w:r>
          </w:p>
        </w:tc>
        <w:tc>
          <w:tcPr>
            <w:tcW w:w="6640" w:type="dxa"/>
            <w:shd w:val="clear" w:color="auto" w:fill="EDEDED"/>
            <w:tcMar>
              <w:top w:w="72" w:type="dxa"/>
              <w:left w:w="144" w:type="dxa"/>
              <w:bottom w:w="72" w:type="dxa"/>
              <w:right w:w="144" w:type="dxa"/>
            </w:tcMar>
            <w:vAlign w:val="center"/>
          </w:tcPr>
          <w:p w:rsidR="000B06ED" w:rsidRPr="00280837" w:rsidRDefault="000B06ED" w:rsidP="00D40E82">
            <w:pPr>
              <w:spacing w:line="276" w:lineRule="auto"/>
              <w:jc w:val="center"/>
              <w:rPr>
                <w:rFonts w:ascii="Arial" w:eastAsia="Arial" w:hAnsi="Arial" w:cs="Arial"/>
                <w:b/>
                <w:color w:val="000000"/>
                <w:sz w:val="18"/>
                <w:szCs w:val="18"/>
                <w:lang w:val="en-US"/>
              </w:rPr>
            </w:pPr>
            <w:r w:rsidRPr="00280837">
              <w:rPr>
                <w:rFonts w:ascii="Arial" w:eastAsia="Arial" w:hAnsi="Arial" w:cs="Arial"/>
                <w:b/>
                <w:sz w:val="18"/>
                <w:szCs w:val="18"/>
                <w:lang w:val="en-US"/>
              </w:rPr>
              <w:t xml:space="preserve">Specific mental health outcomes or categories recommended by experts </w:t>
            </w:r>
          </w:p>
        </w:tc>
      </w:tr>
      <w:tr w:rsidR="000B06ED" w:rsidRPr="00280837" w:rsidTr="00D40E82">
        <w:trPr>
          <w:trHeight w:val="1361"/>
        </w:trPr>
        <w:tc>
          <w:tcPr>
            <w:tcW w:w="2430" w:type="dxa"/>
            <w:shd w:val="clear" w:color="auto" w:fill="auto"/>
            <w:tcMar>
              <w:top w:w="72" w:type="dxa"/>
              <w:left w:w="144" w:type="dxa"/>
              <w:bottom w:w="72" w:type="dxa"/>
              <w:right w:w="144" w:type="dxa"/>
            </w:tcMar>
            <w:vAlign w:val="center"/>
          </w:tcPr>
          <w:p w:rsidR="000B06ED" w:rsidRPr="00280837" w:rsidRDefault="000B06ED" w:rsidP="00D40E82">
            <w:pPr>
              <w:spacing w:line="276" w:lineRule="auto"/>
              <w:rPr>
                <w:rFonts w:ascii="Arial" w:eastAsia="Arial" w:hAnsi="Arial" w:cs="Arial"/>
                <w:color w:val="000000"/>
                <w:sz w:val="18"/>
                <w:szCs w:val="18"/>
                <w:lang w:val="en-US"/>
              </w:rPr>
            </w:pPr>
            <w:r w:rsidRPr="00280837">
              <w:rPr>
                <w:rFonts w:ascii="Arial" w:eastAsia="Arial" w:hAnsi="Arial" w:cs="Arial"/>
                <w:sz w:val="18"/>
                <w:szCs w:val="18"/>
                <w:lang w:val="en-US"/>
              </w:rPr>
              <w:t xml:space="preserve">1. Psychosocial functioning </w:t>
            </w:r>
          </w:p>
        </w:tc>
        <w:tc>
          <w:tcPr>
            <w:tcW w:w="6640" w:type="dxa"/>
            <w:shd w:val="clear" w:color="auto" w:fill="auto"/>
            <w:tcMar>
              <w:top w:w="72" w:type="dxa"/>
              <w:left w:w="144" w:type="dxa"/>
              <w:bottom w:w="72" w:type="dxa"/>
              <w:right w:w="144" w:type="dxa"/>
            </w:tcMar>
            <w:vAlign w:val="center"/>
          </w:tcPr>
          <w:p w:rsidR="000B06ED" w:rsidRPr="00280837" w:rsidRDefault="000B06ED" w:rsidP="000B06ED">
            <w:pPr>
              <w:numPr>
                <w:ilvl w:val="0"/>
                <w:numId w:val="4"/>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lang w:val="en-US"/>
              </w:rPr>
              <w:t>Community cohesion</w:t>
            </w:r>
            <w:r w:rsidRPr="00280837">
              <w:rPr>
                <w:rFonts w:ascii="Arial" w:eastAsia="Arial" w:hAnsi="Arial" w:cs="Arial"/>
                <w:color w:val="000000"/>
                <w:sz w:val="18"/>
                <w:szCs w:val="18"/>
                <w:lang w:val="en-US"/>
              </w:rPr>
              <w:t xml:space="preserve">: </w:t>
            </w:r>
            <w:r w:rsidRPr="00280837">
              <w:rPr>
                <w:rFonts w:ascii="Arial" w:eastAsia="Arial" w:hAnsi="Arial" w:cs="Arial"/>
                <w:sz w:val="18"/>
                <w:szCs w:val="18"/>
                <w:lang w:val="en-US"/>
              </w:rPr>
              <w:t>Connection</w:t>
            </w:r>
            <w:r w:rsidRPr="00280837">
              <w:rPr>
                <w:rFonts w:ascii="Arial" w:eastAsia="Arial" w:hAnsi="Arial" w:cs="Arial"/>
                <w:color w:val="000000"/>
                <w:sz w:val="18"/>
                <w:szCs w:val="18"/>
                <w:lang w:val="en-US"/>
              </w:rPr>
              <w:t xml:space="preserve"> with their community </w:t>
            </w:r>
          </w:p>
          <w:p w:rsidR="000B06ED" w:rsidRPr="00280837" w:rsidRDefault="000B06ED" w:rsidP="000B06ED">
            <w:pPr>
              <w:numPr>
                <w:ilvl w:val="0"/>
                <w:numId w:val="4"/>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lang w:val="en-US"/>
              </w:rPr>
              <w:t>Working/Studying</w:t>
            </w:r>
            <w:r w:rsidRPr="00280837">
              <w:rPr>
                <w:rFonts w:ascii="Arial" w:eastAsia="Arial" w:hAnsi="Arial" w:cs="Arial"/>
                <w:color w:val="000000"/>
                <w:sz w:val="18"/>
                <w:szCs w:val="18"/>
                <w:lang w:val="en-US"/>
              </w:rPr>
              <w:t xml:space="preserve"> or not (experts mentioned that this was meaningful to mental health </w:t>
            </w:r>
            <w:r w:rsidRPr="00280837">
              <w:rPr>
                <w:rFonts w:ascii="Arial" w:eastAsia="Arial" w:hAnsi="Arial" w:cs="Arial"/>
                <w:sz w:val="18"/>
                <w:szCs w:val="18"/>
                <w:lang w:val="en-US"/>
              </w:rPr>
              <w:t>patients</w:t>
            </w:r>
            <w:r w:rsidRPr="00280837">
              <w:rPr>
                <w:rFonts w:ascii="Arial" w:eastAsia="Arial" w:hAnsi="Arial" w:cs="Arial"/>
                <w:color w:val="000000"/>
                <w:sz w:val="18"/>
                <w:szCs w:val="18"/>
                <w:lang w:val="en-US"/>
              </w:rPr>
              <w:t>)</w:t>
            </w:r>
          </w:p>
          <w:p w:rsidR="000B06ED" w:rsidRPr="00280837" w:rsidRDefault="000B06ED" w:rsidP="000B06ED">
            <w:pPr>
              <w:numPr>
                <w:ilvl w:val="0"/>
                <w:numId w:val="4"/>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lang w:val="en-US"/>
              </w:rPr>
              <w:t>Participation</w:t>
            </w:r>
            <w:r w:rsidRPr="00280837">
              <w:rPr>
                <w:rFonts w:ascii="Arial" w:eastAsia="Arial" w:hAnsi="Arial" w:cs="Arial"/>
                <w:color w:val="000000"/>
                <w:sz w:val="18"/>
                <w:szCs w:val="18"/>
                <w:lang w:val="en-US"/>
              </w:rPr>
              <w:t xml:space="preserve"> in community </w:t>
            </w:r>
            <w:r w:rsidRPr="00280837">
              <w:rPr>
                <w:rFonts w:ascii="Arial" w:eastAsia="Arial" w:hAnsi="Arial" w:cs="Arial"/>
                <w:sz w:val="18"/>
                <w:szCs w:val="18"/>
                <w:lang w:val="en-US"/>
              </w:rPr>
              <w:t>organizations</w:t>
            </w:r>
            <w:r w:rsidRPr="00280837">
              <w:rPr>
                <w:rFonts w:ascii="Arial" w:eastAsia="Arial" w:hAnsi="Arial" w:cs="Arial"/>
                <w:color w:val="000000"/>
                <w:sz w:val="18"/>
                <w:szCs w:val="18"/>
                <w:lang w:val="en-US"/>
              </w:rPr>
              <w:t xml:space="preserve"> or not </w:t>
            </w:r>
          </w:p>
          <w:p w:rsidR="000B06ED" w:rsidRPr="00280837" w:rsidRDefault="000B06ED" w:rsidP="000B06ED">
            <w:pPr>
              <w:numPr>
                <w:ilvl w:val="0"/>
                <w:numId w:val="4"/>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lang w:val="en-US"/>
              </w:rPr>
              <w:t>Relationships</w:t>
            </w:r>
            <w:r w:rsidRPr="00280837">
              <w:rPr>
                <w:rFonts w:ascii="Arial" w:eastAsia="Arial" w:hAnsi="Arial" w:cs="Arial"/>
                <w:color w:val="000000"/>
                <w:sz w:val="18"/>
                <w:szCs w:val="18"/>
                <w:lang w:val="en-US"/>
              </w:rPr>
              <w:t>: Family and partner</w:t>
            </w:r>
          </w:p>
          <w:p w:rsidR="000B06ED" w:rsidRPr="00280837" w:rsidRDefault="000B06ED" w:rsidP="000B06ED">
            <w:pPr>
              <w:numPr>
                <w:ilvl w:val="0"/>
                <w:numId w:val="4"/>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lang w:val="en-US"/>
              </w:rPr>
              <w:t xml:space="preserve">Living independently </w:t>
            </w:r>
          </w:p>
        </w:tc>
      </w:tr>
      <w:tr w:rsidR="000B06ED" w:rsidRPr="00280837" w:rsidTr="00D40E82">
        <w:trPr>
          <w:trHeight w:val="1531"/>
        </w:trPr>
        <w:tc>
          <w:tcPr>
            <w:tcW w:w="2430" w:type="dxa"/>
            <w:shd w:val="clear" w:color="auto" w:fill="auto"/>
            <w:tcMar>
              <w:top w:w="72" w:type="dxa"/>
              <w:left w:w="144" w:type="dxa"/>
              <w:bottom w:w="72" w:type="dxa"/>
              <w:right w:w="144" w:type="dxa"/>
            </w:tcMar>
            <w:vAlign w:val="center"/>
          </w:tcPr>
          <w:p w:rsidR="000B06ED" w:rsidRPr="00280837" w:rsidRDefault="000B06ED" w:rsidP="00D40E82">
            <w:pPr>
              <w:spacing w:line="276" w:lineRule="auto"/>
              <w:rPr>
                <w:rFonts w:ascii="Arial" w:eastAsia="Arial" w:hAnsi="Arial" w:cs="Arial"/>
                <w:color w:val="000000"/>
                <w:sz w:val="18"/>
                <w:szCs w:val="18"/>
                <w:lang w:val="en-US"/>
              </w:rPr>
            </w:pPr>
            <w:r w:rsidRPr="00280837">
              <w:rPr>
                <w:rFonts w:ascii="Arial" w:eastAsia="Arial" w:hAnsi="Arial" w:cs="Arial"/>
                <w:sz w:val="18"/>
                <w:szCs w:val="18"/>
                <w:lang w:val="en-US"/>
              </w:rPr>
              <w:t xml:space="preserve">2. Quality of life </w:t>
            </w:r>
          </w:p>
        </w:tc>
        <w:tc>
          <w:tcPr>
            <w:tcW w:w="6640" w:type="dxa"/>
            <w:shd w:val="clear" w:color="auto" w:fill="auto"/>
            <w:tcMar>
              <w:top w:w="72" w:type="dxa"/>
              <w:left w:w="144" w:type="dxa"/>
              <w:bottom w:w="72" w:type="dxa"/>
              <w:right w:w="144" w:type="dxa"/>
            </w:tcMar>
            <w:vAlign w:val="center"/>
          </w:tcPr>
          <w:p w:rsidR="000B06ED" w:rsidRPr="00280837" w:rsidRDefault="000B06ED" w:rsidP="000B06ED">
            <w:pPr>
              <w:numPr>
                <w:ilvl w:val="0"/>
                <w:numId w:val="5"/>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u w:val="single"/>
                <w:lang w:val="en-US"/>
              </w:rPr>
              <w:t>Quality of life</w:t>
            </w:r>
            <w:r w:rsidRPr="00280837">
              <w:rPr>
                <w:rFonts w:ascii="Arial" w:eastAsia="Arial" w:hAnsi="Arial" w:cs="Arial"/>
                <w:color w:val="000000"/>
                <w:sz w:val="18"/>
                <w:szCs w:val="18"/>
                <w:lang w:val="en-US"/>
              </w:rPr>
              <w:t xml:space="preserve">: Many experts recommended this outcome, especially for people with severe mental disorders, because it could be used independently of the diagnosis, and because it is useful for economic studies. However, they also mentioned that results on this outcome would not show the changes made in symptoms, </w:t>
            </w:r>
            <w:r w:rsidRPr="00280837">
              <w:rPr>
                <w:rFonts w:ascii="Arial" w:eastAsia="Arial" w:hAnsi="Arial" w:cs="Arial"/>
                <w:sz w:val="18"/>
                <w:szCs w:val="18"/>
                <w:lang w:val="en-US"/>
              </w:rPr>
              <w:t>scales</w:t>
            </w:r>
            <w:r w:rsidRPr="00280837">
              <w:rPr>
                <w:rFonts w:ascii="Arial" w:eastAsia="Arial" w:hAnsi="Arial" w:cs="Arial"/>
                <w:color w:val="000000"/>
                <w:sz w:val="18"/>
                <w:szCs w:val="18"/>
                <w:lang w:val="en-US"/>
              </w:rPr>
              <w:t xml:space="preserve"> usually assess social conditions, which are harder to change as a result of a mental health treatment, and they did not identify a good-enough </w:t>
            </w:r>
            <w:r w:rsidRPr="00280837">
              <w:rPr>
                <w:rFonts w:ascii="Arial" w:eastAsia="Arial" w:hAnsi="Arial" w:cs="Arial"/>
                <w:sz w:val="18"/>
                <w:szCs w:val="18"/>
                <w:lang w:val="en-US"/>
              </w:rPr>
              <w:t>scale</w:t>
            </w:r>
            <w:r w:rsidRPr="00280837">
              <w:rPr>
                <w:rFonts w:ascii="Arial" w:eastAsia="Arial" w:hAnsi="Arial" w:cs="Arial"/>
                <w:color w:val="000000"/>
                <w:sz w:val="18"/>
                <w:szCs w:val="18"/>
                <w:lang w:val="en-US"/>
              </w:rPr>
              <w:t xml:space="preserve">. </w:t>
            </w:r>
          </w:p>
        </w:tc>
      </w:tr>
      <w:tr w:rsidR="000B06ED" w:rsidRPr="00280837" w:rsidTr="00D40E82">
        <w:trPr>
          <w:trHeight w:val="567"/>
        </w:trPr>
        <w:tc>
          <w:tcPr>
            <w:tcW w:w="2430" w:type="dxa"/>
            <w:shd w:val="clear" w:color="auto" w:fill="auto"/>
            <w:tcMar>
              <w:top w:w="72" w:type="dxa"/>
              <w:left w:w="144" w:type="dxa"/>
              <w:bottom w:w="72" w:type="dxa"/>
              <w:right w:w="144" w:type="dxa"/>
            </w:tcMar>
            <w:vAlign w:val="center"/>
          </w:tcPr>
          <w:p w:rsidR="000B06ED" w:rsidRPr="00280837" w:rsidRDefault="000B06ED" w:rsidP="00D40E82">
            <w:pPr>
              <w:spacing w:line="276" w:lineRule="auto"/>
              <w:rPr>
                <w:rFonts w:ascii="Arial" w:eastAsia="Arial" w:hAnsi="Arial" w:cs="Arial"/>
                <w:color w:val="000000"/>
                <w:sz w:val="18"/>
                <w:szCs w:val="18"/>
                <w:lang w:val="en-US"/>
              </w:rPr>
            </w:pPr>
            <w:r w:rsidRPr="00280837">
              <w:rPr>
                <w:rFonts w:ascii="Arial" w:eastAsia="Arial" w:hAnsi="Arial" w:cs="Arial"/>
                <w:sz w:val="18"/>
                <w:szCs w:val="18"/>
                <w:lang w:val="en-US"/>
              </w:rPr>
              <w:t xml:space="preserve">3. Needs assessment </w:t>
            </w:r>
          </w:p>
        </w:tc>
        <w:tc>
          <w:tcPr>
            <w:tcW w:w="6640" w:type="dxa"/>
            <w:shd w:val="clear" w:color="auto" w:fill="auto"/>
            <w:tcMar>
              <w:top w:w="72" w:type="dxa"/>
              <w:left w:w="144" w:type="dxa"/>
              <w:bottom w:w="72" w:type="dxa"/>
              <w:right w:w="144" w:type="dxa"/>
            </w:tcMar>
            <w:vAlign w:val="center"/>
          </w:tcPr>
          <w:p w:rsidR="000B06ED" w:rsidRPr="00280837" w:rsidRDefault="000B06ED" w:rsidP="000B06ED">
            <w:pPr>
              <w:numPr>
                <w:ilvl w:val="0"/>
                <w:numId w:val="6"/>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lang w:val="en-US"/>
              </w:rPr>
              <w:t>Relationships</w:t>
            </w:r>
            <w:r w:rsidRPr="00280837">
              <w:rPr>
                <w:rFonts w:ascii="Arial" w:eastAsia="Arial" w:hAnsi="Arial" w:cs="Arial"/>
                <w:color w:val="000000"/>
                <w:sz w:val="18"/>
                <w:szCs w:val="18"/>
                <w:lang w:val="en-US"/>
              </w:rPr>
              <w:t xml:space="preserve">: Family and partner </w:t>
            </w:r>
          </w:p>
          <w:p w:rsidR="000B06ED" w:rsidRPr="00280837" w:rsidRDefault="000B06ED" w:rsidP="000B06ED">
            <w:pPr>
              <w:numPr>
                <w:ilvl w:val="0"/>
                <w:numId w:val="6"/>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lang w:val="en-US"/>
              </w:rPr>
              <w:t xml:space="preserve">Treatment adherence </w:t>
            </w:r>
          </w:p>
        </w:tc>
      </w:tr>
      <w:tr w:rsidR="000B06ED" w:rsidRPr="00280837" w:rsidTr="00D40E82">
        <w:trPr>
          <w:trHeight w:val="1275"/>
        </w:trPr>
        <w:tc>
          <w:tcPr>
            <w:tcW w:w="2430" w:type="dxa"/>
            <w:shd w:val="clear" w:color="auto" w:fill="auto"/>
            <w:tcMar>
              <w:top w:w="72" w:type="dxa"/>
              <w:left w:w="144" w:type="dxa"/>
              <w:bottom w:w="72" w:type="dxa"/>
              <w:right w:w="144" w:type="dxa"/>
            </w:tcMar>
            <w:vAlign w:val="center"/>
          </w:tcPr>
          <w:p w:rsidR="000B06ED" w:rsidRPr="00280837" w:rsidRDefault="000B06ED" w:rsidP="00D40E82">
            <w:pPr>
              <w:spacing w:line="276" w:lineRule="auto"/>
              <w:rPr>
                <w:rFonts w:ascii="Arial" w:eastAsia="Arial" w:hAnsi="Arial" w:cs="Arial"/>
                <w:color w:val="000000"/>
                <w:sz w:val="18"/>
                <w:szCs w:val="18"/>
                <w:lang w:val="en-US"/>
              </w:rPr>
            </w:pPr>
            <w:r w:rsidRPr="00280837">
              <w:rPr>
                <w:rFonts w:ascii="Arial" w:eastAsia="Arial" w:hAnsi="Arial" w:cs="Arial"/>
                <w:sz w:val="18"/>
                <w:szCs w:val="18"/>
                <w:lang w:val="en-US"/>
              </w:rPr>
              <w:t xml:space="preserve">4. Symptoms and symptoms severity </w:t>
            </w:r>
          </w:p>
        </w:tc>
        <w:tc>
          <w:tcPr>
            <w:tcW w:w="6640" w:type="dxa"/>
            <w:shd w:val="clear" w:color="auto" w:fill="auto"/>
            <w:tcMar>
              <w:top w:w="72" w:type="dxa"/>
              <w:left w:w="144" w:type="dxa"/>
              <w:bottom w:w="72" w:type="dxa"/>
              <w:right w:w="144" w:type="dxa"/>
            </w:tcMar>
            <w:vAlign w:val="center"/>
          </w:tcPr>
          <w:p w:rsidR="000B06ED" w:rsidRPr="00280837" w:rsidRDefault="000B06ED" w:rsidP="000B06ED">
            <w:pPr>
              <w:numPr>
                <w:ilvl w:val="0"/>
                <w:numId w:val="1"/>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u w:val="single"/>
                <w:lang w:val="en-US"/>
              </w:rPr>
              <w:t>Symptoms</w:t>
            </w:r>
            <w:r w:rsidRPr="00280837">
              <w:rPr>
                <w:rFonts w:ascii="Arial" w:eastAsia="Arial" w:hAnsi="Arial" w:cs="Arial"/>
                <w:color w:val="000000"/>
                <w:sz w:val="18"/>
                <w:szCs w:val="18"/>
                <w:lang w:val="en-US"/>
              </w:rPr>
              <w:t xml:space="preserve">: All experts recommended this outcome and provided examples of potential </w:t>
            </w:r>
            <w:r w:rsidRPr="00280837">
              <w:rPr>
                <w:rFonts w:ascii="Arial" w:eastAsia="Arial" w:hAnsi="Arial" w:cs="Arial"/>
                <w:sz w:val="18"/>
                <w:szCs w:val="18"/>
                <w:lang w:val="en-US"/>
              </w:rPr>
              <w:t>scales</w:t>
            </w:r>
            <w:r w:rsidRPr="00280837">
              <w:rPr>
                <w:rFonts w:ascii="Arial" w:eastAsia="Arial" w:hAnsi="Arial" w:cs="Arial"/>
                <w:color w:val="000000"/>
                <w:sz w:val="18"/>
                <w:szCs w:val="18"/>
                <w:lang w:val="en-US"/>
              </w:rPr>
              <w:t xml:space="preserve">, especially short ones and globally used, such as PHQ-9 or GAD-7. Some experts also recommended assessing this outcome by multi-diagnostic </w:t>
            </w:r>
            <w:r w:rsidRPr="00280837">
              <w:rPr>
                <w:rFonts w:ascii="Arial" w:eastAsia="Arial" w:hAnsi="Arial" w:cs="Arial"/>
                <w:sz w:val="18"/>
                <w:szCs w:val="18"/>
                <w:lang w:val="en-US"/>
              </w:rPr>
              <w:t>scales</w:t>
            </w:r>
            <w:r w:rsidRPr="00280837">
              <w:rPr>
                <w:rFonts w:ascii="Arial" w:eastAsia="Arial" w:hAnsi="Arial" w:cs="Arial"/>
                <w:color w:val="000000"/>
                <w:sz w:val="18"/>
                <w:szCs w:val="18"/>
                <w:lang w:val="en-US"/>
              </w:rPr>
              <w:t xml:space="preserve">, such as BPRS; and others were cautious with this outcome since </w:t>
            </w:r>
            <w:r w:rsidRPr="00280837">
              <w:rPr>
                <w:rFonts w:ascii="Arial" w:eastAsia="Arial" w:hAnsi="Arial" w:cs="Arial"/>
                <w:sz w:val="18"/>
                <w:szCs w:val="18"/>
                <w:lang w:val="en-US"/>
              </w:rPr>
              <w:t>not all</w:t>
            </w:r>
            <w:r w:rsidRPr="00280837">
              <w:rPr>
                <w:rFonts w:ascii="Arial" w:eastAsia="Arial" w:hAnsi="Arial" w:cs="Arial"/>
                <w:color w:val="000000"/>
                <w:sz w:val="18"/>
                <w:szCs w:val="18"/>
                <w:lang w:val="en-US"/>
              </w:rPr>
              <w:t xml:space="preserve"> </w:t>
            </w:r>
            <w:r w:rsidRPr="00280837">
              <w:rPr>
                <w:rFonts w:ascii="Arial" w:eastAsia="Arial" w:hAnsi="Arial" w:cs="Arial"/>
                <w:sz w:val="18"/>
                <w:szCs w:val="18"/>
                <w:lang w:val="en-US"/>
              </w:rPr>
              <w:t xml:space="preserve">patients </w:t>
            </w:r>
            <w:r w:rsidRPr="00280837">
              <w:rPr>
                <w:rFonts w:ascii="Arial" w:eastAsia="Arial" w:hAnsi="Arial" w:cs="Arial"/>
                <w:color w:val="000000"/>
                <w:sz w:val="18"/>
                <w:szCs w:val="18"/>
                <w:lang w:val="en-US"/>
              </w:rPr>
              <w:t xml:space="preserve">fall </w:t>
            </w:r>
            <w:r w:rsidRPr="00280837">
              <w:rPr>
                <w:rFonts w:ascii="Arial" w:eastAsia="Arial" w:hAnsi="Arial" w:cs="Arial"/>
                <w:sz w:val="18"/>
                <w:szCs w:val="18"/>
                <w:lang w:val="en-US"/>
              </w:rPr>
              <w:t>easily</w:t>
            </w:r>
            <w:r w:rsidRPr="00280837">
              <w:rPr>
                <w:rFonts w:ascii="Arial" w:eastAsia="Arial" w:hAnsi="Arial" w:cs="Arial"/>
                <w:color w:val="000000"/>
                <w:sz w:val="18"/>
                <w:szCs w:val="18"/>
                <w:lang w:val="en-US"/>
              </w:rPr>
              <w:t xml:space="preserve"> into specific diagnostics. </w:t>
            </w:r>
          </w:p>
          <w:p w:rsidR="000B06ED" w:rsidRPr="00280837" w:rsidRDefault="000B06ED" w:rsidP="000B06ED">
            <w:pPr>
              <w:numPr>
                <w:ilvl w:val="0"/>
                <w:numId w:val="1"/>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b/>
                <w:color w:val="000000"/>
                <w:sz w:val="18"/>
                <w:szCs w:val="18"/>
                <w:u w:val="single"/>
                <w:lang w:val="en-US"/>
              </w:rPr>
              <w:t xml:space="preserve">Prevent relapse </w:t>
            </w:r>
          </w:p>
        </w:tc>
      </w:tr>
      <w:tr w:rsidR="000B06ED" w:rsidRPr="00280837" w:rsidTr="00D40E82">
        <w:trPr>
          <w:trHeight w:val="737"/>
        </w:trPr>
        <w:tc>
          <w:tcPr>
            <w:tcW w:w="2430" w:type="dxa"/>
            <w:shd w:val="clear" w:color="auto" w:fill="auto"/>
            <w:tcMar>
              <w:top w:w="72" w:type="dxa"/>
              <w:left w:w="144" w:type="dxa"/>
              <w:bottom w:w="72" w:type="dxa"/>
              <w:right w:w="144" w:type="dxa"/>
            </w:tcMar>
            <w:vAlign w:val="center"/>
          </w:tcPr>
          <w:p w:rsidR="000B06ED" w:rsidRPr="00280837" w:rsidRDefault="000B06ED" w:rsidP="00D40E82">
            <w:pPr>
              <w:spacing w:line="276" w:lineRule="auto"/>
              <w:rPr>
                <w:rFonts w:ascii="Arial" w:eastAsia="Arial" w:hAnsi="Arial" w:cs="Arial"/>
                <w:color w:val="000000"/>
                <w:sz w:val="18"/>
                <w:szCs w:val="18"/>
                <w:lang w:val="en-US"/>
              </w:rPr>
            </w:pPr>
            <w:r w:rsidRPr="00280837">
              <w:rPr>
                <w:rFonts w:ascii="Arial" w:eastAsia="Arial" w:hAnsi="Arial" w:cs="Arial"/>
                <w:sz w:val="18"/>
                <w:szCs w:val="18"/>
                <w:lang w:val="en-US"/>
              </w:rPr>
              <w:t xml:space="preserve">5. Satisfaction with services </w:t>
            </w:r>
          </w:p>
        </w:tc>
        <w:tc>
          <w:tcPr>
            <w:tcW w:w="6640" w:type="dxa"/>
            <w:shd w:val="clear" w:color="auto" w:fill="auto"/>
            <w:tcMar>
              <w:top w:w="72" w:type="dxa"/>
              <w:left w:w="144" w:type="dxa"/>
              <w:bottom w:w="72" w:type="dxa"/>
              <w:right w:w="144" w:type="dxa"/>
            </w:tcMar>
            <w:vAlign w:val="center"/>
          </w:tcPr>
          <w:p w:rsidR="000B06ED" w:rsidRPr="00280837" w:rsidRDefault="000B06ED" w:rsidP="000B06ED">
            <w:pPr>
              <w:numPr>
                <w:ilvl w:val="0"/>
                <w:numId w:val="2"/>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Satisfaction with health services </w:t>
            </w:r>
          </w:p>
          <w:p w:rsidR="000B06ED" w:rsidRPr="00280837" w:rsidRDefault="000B06ED" w:rsidP="000B06ED">
            <w:pPr>
              <w:numPr>
                <w:ilvl w:val="0"/>
                <w:numId w:val="2"/>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Opportune care </w:t>
            </w:r>
          </w:p>
          <w:p w:rsidR="000B06ED" w:rsidRPr="00280837" w:rsidRDefault="000B06ED" w:rsidP="000B06ED">
            <w:pPr>
              <w:numPr>
                <w:ilvl w:val="0"/>
                <w:numId w:val="2"/>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Receiving care </w:t>
            </w:r>
          </w:p>
        </w:tc>
      </w:tr>
      <w:tr w:rsidR="000B06ED" w:rsidRPr="00280837" w:rsidTr="00D40E82">
        <w:trPr>
          <w:trHeight w:val="567"/>
        </w:trPr>
        <w:tc>
          <w:tcPr>
            <w:tcW w:w="2430" w:type="dxa"/>
            <w:shd w:val="clear" w:color="auto" w:fill="auto"/>
            <w:tcMar>
              <w:top w:w="72" w:type="dxa"/>
              <w:left w:w="144" w:type="dxa"/>
              <w:bottom w:w="72" w:type="dxa"/>
              <w:right w:w="144" w:type="dxa"/>
            </w:tcMar>
            <w:vAlign w:val="center"/>
          </w:tcPr>
          <w:p w:rsidR="000B06ED" w:rsidRPr="00280837" w:rsidRDefault="000B06ED" w:rsidP="00D40E82">
            <w:pPr>
              <w:spacing w:line="276" w:lineRule="auto"/>
              <w:rPr>
                <w:rFonts w:ascii="Arial" w:eastAsia="Arial" w:hAnsi="Arial" w:cs="Arial"/>
                <w:color w:val="000000"/>
                <w:sz w:val="18"/>
                <w:szCs w:val="18"/>
                <w:lang w:val="en-US"/>
              </w:rPr>
            </w:pPr>
            <w:r w:rsidRPr="00280837">
              <w:rPr>
                <w:rFonts w:ascii="Arial" w:eastAsia="Arial" w:hAnsi="Arial" w:cs="Arial"/>
                <w:sz w:val="18"/>
                <w:szCs w:val="18"/>
                <w:lang w:val="en-US"/>
              </w:rPr>
              <w:t xml:space="preserve">6. Disability and functional impairment </w:t>
            </w:r>
          </w:p>
        </w:tc>
        <w:tc>
          <w:tcPr>
            <w:tcW w:w="6640" w:type="dxa"/>
            <w:shd w:val="clear" w:color="auto" w:fill="auto"/>
            <w:tcMar>
              <w:top w:w="72" w:type="dxa"/>
              <w:left w:w="144" w:type="dxa"/>
              <w:bottom w:w="72" w:type="dxa"/>
              <w:right w:w="144" w:type="dxa"/>
            </w:tcMar>
            <w:vAlign w:val="center"/>
          </w:tcPr>
          <w:p w:rsidR="000B06ED" w:rsidRPr="00280837" w:rsidRDefault="000B06ED" w:rsidP="000B06ED">
            <w:pPr>
              <w:numPr>
                <w:ilvl w:val="0"/>
                <w:numId w:val="3"/>
              </w:numPr>
              <w:spacing w:after="0" w:line="276" w:lineRule="auto"/>
              <w:ind w:left="282" w:hanging="219"/>
              <w:jc w:val="both"/>
              <w:rPr>
                <w:rFonts w:ascii="Arial" w:eastAsia="Arial" w:hAnsi="Arial" w:cs="Arial"/>
                <w:color w:val="000000"/>
                <w:sz w:val="18"/>
                <w:szCs w:val="18"/>
                <w:lang w:val="en-US"/>
              </w:rPr>
            </w:pPr>
            <w:r w:rsidRPr="00280837">
              <w:rPr>
                <w:rFonts w:ascii="Arial" w:eastAsia="Arial" w:hAnsi="Arial" w:cs="Arial"/>
                <w:color w:val="000000"/>
                <w:sz w:val="18"/>
                <w:szCs w:val="18"/>
                <w:lang w:val="en-US"/>
              </w:rPr>
              <w:t xml:space="preserve">Stigma: Current perception and changes over time </w:t>
            </w:r>
          </w:p>
        </w:tc>
      </w:tr>
    </w:tbl>
    <w:p w:rsidR="00DD57DE" w:rsidRDefault="00DD57DE"/>
    <w:sectPr w:rsidR="00DD57DE" w:rsidSect="0016714C">
      <w:pgSz w:w="11906" w:h="16838"/>
      <w:pgMar w:top="1417" w:right="1440" w:bottom="1417"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F4F5F"/>
    <w:multiLevelType w:val="multilevel"/>
    <w:tmpl w:val="4E5456A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 w15:restartNumberingAfterBreak="0">
    <w:nsid w:val="16753153"/>
    <w:multiLevelType w:val="multilevel"/>
    <w:tmpl w:val="E7485AE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2" w15:restartNumberingAfterBreak="0">
    <w:nsid w:val="23DC6735"/>
    <w:multiLevelType w:val="multilevel"/>
    <w:tmpl w:val="31B8D964"/>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3" w15:restartNumberingAfterBreak="0">
    <w:nsid w:val="2877090D"/>
    <w:multiLevelType w:val="multilevel"/>
    <w:tmpl w:val="EC9A4E4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4" w15:restartNumberingAfterBreak="0">
    <w:nsid w:val="44A065FB"/>
    <w:multiLevelType w:val="multilevel"/>
    <w:tmpl w:val="416A0286"/>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5" w15:restartNumberingAfterBreak="0">
    <w:nsid w:val="76F72E6B"/>
    <w:multiLevelType w:val="multilevel"/>
    <w:tmpl w:val="07ACB7EC"/>
    <w:lvl w:ilvl="0">
      <w:start w:val="1"/>
      <w:numFmt w:val="bullet"/>
      <w:lvlText w:val="•"/>
      <w:lvlJc w:val="left"/>
      <w:pPr>
        <w:ind w:left="720" w:hanging="360"/>
      </w:pPr>
      <w:rPr>
        <w:rFonts w:ascii="Arial" w:eastAsia="Arial" w:hAnsi="Arial" w:cs="Arial"/>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6ED"/>
    <w:rsid w:val="000B06ED"/>
    <w:rsid w:val="0016714C"/>
    <w:rsid w:val="008648B6"/>
    <w:rsid w:val="00DD57DE"/>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CE38E6-0766-48C0-B707-8F2B7805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06ED"/>
    <w:rPr>
      <w:rFonts w:ascii="Calibri" w:eastAsia="Calibri" w:hAnsi="Calibri" w:cs="Calibri"/>
      <w:lang w:val="en-GB"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1457</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Cavero</dc:creator>
  <cp:keywords/>
  <dc:description/>
  <cp:lastModifiedBy>Victoria Cavero</cp:lastModifiedBy>
  <cp:revision>2</cp:revision>
  <dcterms:created xsi:type="dcterms:W3CDTF">2025-05-06T18:35:00Z</dcterms:created>
  <dcterms:modified xsi:type="dcterms:W3CDTF">2025-05-08T15:34:00Z</dcterms:modified>
</cp:coreProperties>
</file>