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A8A0" w14:textId="747A0DEB" w:rsidR="00165119" w:rsidRDefault="001F25CF" w:rsidP="002B661C">
      <w:pPr>
        <w:pStyle w:val="Paragraph"/>
        <w:spacing w:before="0" w:line="360" w:lineRule="auto"/>
        <w:ind w:firstLine="0"/>
        <w:rPr>
          <w:b/>
        </w:rPr>
      </w:pPr>
      <w:r w:rsidRPr="00490076">
        <w:rPr>
          <w:b/>
        </w:rPr>
        <w:t>Materials and Methods</w:t>
      </w:r>
    </w:p>
    <w:p w14:paraId="4DD0D18A" w14:textId="3E378F1D" w:rsidR="00E95A15" w:rsidRPr="00490076" w:rsidRDefault="001F25CF" w:rsidP="002B661C">
      <w:pPr>
        <w:spacing w:line="360" w:lineRule="auto"/>
        <w:rPr>
          <w:b/>
          <w:bCs/>
          <w:sz w:val="24"/>
          <w:szCs w:val="24"/>
        </w:rPr>
      </w:pPr>
      <w:r w:rsidRPr="00490076">
        <w:rPr>
          <w:b/>
          <w:bCs/>
          <w:sz w:val="24"/>
          <w:szCs w:val="24"/>
        </w:rPr>
        <w:t xml:space="preserve">Preparation of Total </w:t>
      </w:r>
      <w:r w:rsidR="009E4312">
        <w:rPr>
          <w:b/>
          <w:bCs/>
          <w:sz w:val="24"/>
          <w:szCs w:val="24"/>
        </w:rPr>
        <w:t>Lipid Extracts</w:t>
      </w:r>
      <w:r w:rsidRPr="00490076">
        <w:rPr>
          <w:b/>
          <w:bCs/>
          <w:sz w:val="24"/>
          <w:szCs w:val="24"/>
        </w:rPr>
        <w:t>:</w:t>
      </w:r>
    </w:p>
    <w:p w14:paraId="3F4095A5" w14:textId="1300523E" w:rsidR="002B661C" w:rsidRDefault="0016264D" w:rsidP="002B661C">
      <w:pPr>
        <w:spacing w:line="360" w:lineRule="auto"/>
        <w:jc w:val="both"/>
        <w:rPr>
          <w:sz w:val="24"/>
          <w:szCs w:val="24"/>
          <w:lang w:eastAsia="zh-CN"/>
        </w:rPr>
      </w:pPr>
      <w:r>
        <w:rPr>
          <w:sz w:val="24"/>
          <w:szCs w:val="24"/>
          <w:lang w:eastAsia="zh-CN"/>
        </w:rPr>
        <w:t xml:space="preserve">The surface of the pottery shreds was wiped with methanol (HPLC grade, Qualigens, cat. no. Q43637G) to remove exogenous contaminants. Approximately 2 g of the pottery shreds were finely ground in a mortar and transferred to a 10 ml glass extraction tube (I) containing 5 ml of organic extraction solvent CHCl3 (Qualigens, cat. no. Q43316) in MeOH (2:1 vol/vol). The mixture was then ultrasonicated in a water bath at room temperature for 30 minutes. Next, the mixture was transferred to a clean Eppendorf vial and centrifuged at 12,000 rpm for 10 minutes at room temperature. The upper layer (supernatant) of the centrifuged mixture contains all the organic residues, which are transferred to a fresh glass tube (II) for further analysis. The leftover solid component was discarded. Following this, 2 mL of the organic extraction solvent was added directly to extraction tube (I) and centrifuged for another 10 minutes at the same rpm as mentioned above to recover the remaining organic residues adhering to the walls of extraction tube (I). The solvents in glass tube (II) were removed by slow evaporation. The dried enriched organic residues appeared as oily droplets and are referred to as total lipid extract (TLE), stored at 5 °C in a refrigerator for analysis. </w:t>
      </w:r>
    </w:p>
    <w:p w14:paraId="73285788" w14:textId="77777777" w:rsidR="002B661C" w:rsidRDefault="002B661C" w:rsidP="002B661C">
      <w:pPr>
        <w:spacing w:line="360" w:lineRule="auto"/>
        <w:jc w:val="both"/>
        <w:rPr>
          <w:sz w:val="24"/>
          <w:szCs w:val="24"/>
          <w:lang w:eastAsia="zh-CN"/>
        </w:rPr>
      </w:pPr>
    </w:p>
    <w:p w14:paraId="3F159713" w14:textId="77777777" w:rsidR="009E4312" w:rsidRPr="00490076" w:rsidRDefault="009E4312" w:rsidP="002B661C">
      <w:pPr>
        <w:spacing w:line="360" w:lineRule="auto"/>
        <w:rPr>
          <w:b/>
          <w:bCs/>
          <w:sz w:val="24"/>
          <w:szCs w:val="24"/>
        </w:rPr>
      </w:pPr>
      <w:r w:rsidRPr="00490076">
        <w:rPr>
          <w:b/>
          <w:bCs/>
          <w:sz w:val="24"/>
          <w:szCs w:val="24"/>
        </w:rPr>
        <w:t>UPLC–Tandem mass spectrometry:</w:t>
      </w:r>
    </w:p>
    <w:p w14:paraId="3A518247" w14:textId="77777777" w:rsidR="009E4312" w:rsidRPr="00490076" w:rsidRDefault="009E4312" w:rsidP="002B661C">
      <w:pPr>
        <w:spacing w:line="360" w:lineRule="auto"/>
        <w:rPr>
          <w:b/>
          <w:bCs/>
          <w:sz w:val="24"/>
          <w:szCs w:val="24"/>
        </w:rPr>
      </w:pPr>
    </w:p>
    <w:p w14:paraId="6EED7F37" w14:textId="28508E56" w:rsidR="00E86362" w:rsidRDefault="002810EC" w:rsidP="00E86362">
      <w:pPr>
        <w:spacing w:line="360" w:lineRule="auto"/>
        <w:jc w:val="both"/>
        <w:rPr>
          <w:sz w:val="24"/>
          <w:szCs w:val="24"/>
        </w:rPr>
      </w:pPr>
      <w:r w:rsidRPr="002810EC">
        <w:rPr>
          <w:bCs/>
          <w:sz w:val="24"/>
          <w:szCs w:val="24"/>
        </w:rPr>
        <w:t xml:space="preserve">To understand the nature of the chemical </w:t>
      </w:r>
      <w:proofErr w:type="gramStart"/>
      <w:r w:rsidR="00E86362" w:rsidRPr="002810EC">
        <w:rPr>
          <w:bCs/>
          <w:sz w:val="24"/>
          <w:szCs w:val="24"/>
        </w:rPr>
        <w:t>species</w:t>
      </w:r>
      <w:proofErr w:type="gramEnd"/>
      <w:r w:rsidRPr="002810EC">
        <w:rPr>
          <w:bCs/>
          <w:sz w:val="24"/>
          <w:szCs w:val="24"/>
        </w:rPr>
        <w:t xml:space="preserve"> present in the TLE, the sample was resuspended in 0.5 mL of LC-MS grade methanol (Fisher </w:t>
      </w:r>
      <w:proofErr w:type="gramStart"/>
      <w:r w:rsidRPr="002810EC">
        <w:rPr>
          <w:bCs/>
          <w:sz w:val="24"/>
          <w:szCs w:val="24"/>
        </w:rPr>
        <w:t>Scientific)  and</w:t>
      </w:r>
      <w:proofErr w:type="gramEnd"/>
      <w:r w:rsidRPr="002810EC">
        <w:rPr>
          <w:bCs/>
          <w:sz w:val="24"/>
          <w:szCs w:val="24"/>
        </w:rPr>
        <w:t xml:space="preserve"> injected into a UPLC-Q-</w:t>
      </w:r>
      <w:proofErr w:type="spellStart"/>
      <w:r w:rsidRPr="002810EC">
        <w:rPr>
          <w:bCs/>
          <w:sz w:val="24"/>
          <w:szCs w:val="24"/>
        </w:rPr>
        <w:t>ToF</w:t>
      </w:r>
      <w:proofErr w:type="spellEnd"/>
      <w:r w:rsidRPr="002810EC">
        <w:rPr>
          <w:bCs/>
          <w:sz w:val="24"/>
          <w:szCs w:val="24"/>
        </w:rPr>
        <w:t xml:space="preserve">-MS/MS (Waters </w:t>
      </w:r>
      <w:proofErr w:type="spellStart"/>
      <w:r w:rsidRPr="002810EC">
        <w:rPr>
          <w:bCs/>
          <w:sz w:val="24"/>
          <w:szCs w:val="24"/>
        </w:rPr>
        <w:t>Xevo</w:t>
      </w:r>
      <w:proofErr w:type="spellEnd"/>
      <w:r w:rsidRPr="002810EC">
        <w:rPr>
          <w:bCs/>
          <w:sz w:val="24"/>
          <w:szCs w:val="24"/>
        </w:rPr>
        <w:t xml:space="preserve"> G2-XS </w:t>
      </w:r>
      <w:proofErr w:type="spellStart"/>
      <w:r w:rsidRPr="002810EC">
        <w:rPr>
          <w:bCs/>
          <w:sz w:val="24"/>
          <w:szCs w:val="24"/>
        </w:rPr>
        <w:t>Q-ToF</w:t>
      </w:r>
      <w:proofErr w:type="spellEnd"/>
      <w:r w:rsidRPr="002810EC">
        <w:rPr>
          <w:bCs/>
          <w:sz w:val="24"/>
          <w:szCs w:val="24"/>
        </w:rPr>
        <w:t xml:space="preserve"> mass spectrometer). At the beginning and end of each batch, a black was injected to evaluate for carryover. For UPLC, </w:t>
      </w:r>
      <w:r w:rsidR="00E86362">
        <w:rPr>
          <w:bCs/>
          <w:sz w:val="24"/>
          <w:szCs w:val="24"/>
        </w:rPr>
        <w:t>a</w:t>
      </w:r>
      <w:r w:rsidR="00E86362">
        <w:rPr>
          <w:sz w:val="24"/>
          <w:szCs w:val="24"/>
        </w:rPr>
        <w:t xml:space="preserve"> Waters ACQUITY UPLC H-Class System (Waters Corp., Milford, MA 01757, USA) with a binary solvent delivery system and an autosampler was utilized to conduct the UPLC analysis. A Waters ACQUITY </w:t>
      </w:r>
      <w:proofErr w:type="spellStart"/>
      <w:r w:rsidR="00E86362">
        <w:rPr>
          <w:sz w:val="24"/>
          <w:szCs w:val="24"/>
        </w:rPr>
        <w:t>UPLCr</w:t>
      </w:r>
      <w:proofErr w:type="spellEnd"/>
      <w:r w:rsidR="00E86362">
        <w:rPr>
          <w:sz w:val="24"/>
          <w:szCs w:val="24"/>
        </w:rPr>
        <w:t xml:space="preserve"> BEH C18 Column, 130Å, 2.1mm X 50mm, 1.7µm, served for the chromatography. Two eluents were used as the mobile phase; Mobile phase A is 0.1% FA (vol/vol) in ultrapure water, and Mobile phase B is 0.1% FA (vol/vol) in acetonitrile. The UPLC elution conditions were optimized as follows: a linear gradient from 50% to 80% B in 5 minutes, from 80% to 95% B in 10–36 minutes, and from 95% to 50% B in 36.10–38 minutes. A flow rate of 0.300 mL/min was maintained. A Waters </w:t>
      </w:r>
      <w:proofErr w:type="spellStart"/>
      <w:r w:rsidR="00E86362">
        <w:rPr>
          <w:sz w:val="24"/>
          <w:szCs w:val="24"/>
        </w:rPr>
        <w:t>Xevo</w:t>
      </w:r>
      <w:proofErr w:type="spellEnd"/>
      <w:r w:rsidR="00E86362">
        <w:rPr>
          <w:sz w:val="24"/>
          <w:szCs w:val="24"/>
        </w:rPr>
        <w:t xml:space="preserve"> G2-XS </w:t>
      </w:r>
      <w:proofErr w:type="spellStart"/>
      <w:r w:rsidR="00E86362">
        <w:rPr>
          <w:sz w:val="24"/>
          <w:szCs w:val="24"/>
        </w:rPr>
        <w:t>Q-To</w:t>
      </w:r>
      <w:r w:rsidR="00E86362">
        <w:rPr>
          <w:sz w:val="24"/>
          <w:szCs w:val="24"/>
        </w:rPr>
        <w:t>F</w:t>
      </w:r>
      <w:proofErr w:type="spellEnd"/>
      <w:r w:rsidR="00E86362">
        <w:rPr>
          <w:sz w:val="24"/>
          <w:szCs w:val="24"/>
        </w:rPr>
        <w:t xml:space="preserve"> (Waters MS Technologies, Manchester, UK) equipped with a </w:t>
      </w:r>
      <w:proofErr w:type="spellStart"/>
      <w:r w:rsidR="00E86362">
        <w:rPr>
          <w:sz w:val="24"/>
          <w:szCs w:val="24"/>
        </w:rPr>
        <w:t>unispray</w:t>
      </w:r>
      <w:proofErr w:type="spellEnd"/>
      <w:r w:rsidR="00E86362">
        <w:rPr>
          <w:sz w:val="24"/>
          <w:szCs w:val="24"/>
        </w:rPr>
        <w:t xml:space="preserve"> ionization source was deployed for the positive ion mode of the MS analysis. Leucine-enkephalin was utilized as the lock mass to generate a [M+</w:t>
      </w:r>
      <w:proofErr w:type="gramStart"/>
      <w:r w:rsidR="00E86362">
        <w:rPr>
          <w:sz w:val="24"/>
          <w:szCs w:val="24"/>
        </w:rPr>
        <w:t>H]+</w:t>
      </w:r>
      <w:proofErr w:type="gramEnd"/>
      <w:r w:rsidR="00E86362">
        <w:rPr>
          <w:sz w:val="24"/>
          <w:szCs w:val="24"/>
        </w:rPr>
        <w:t xml:space="preserve"> ion (m/z 556.2771) at a concentration of 200 </w:t>
      </w:r>
      <w:proofErr w:type="spellStart"/>
      <w:r w:rsidR="00E86362">
        <w:rPr>
          <w:sz w:val="24"/>
          <w:szCs w:val="24"/>
        </w:rPr>
        <w:t>pg</w:t>
      </w:r>
      <w:proofErr w:type="spellEnd"/>
      <w:r w:rsidR="00E86362">
        <w:rPr>
          <w:sz w:val="24"/>
          <w:szCs w:val="24"/>
        </w:rPr>
        <w:t xml:space="preserve">/mL and an infusion flow </w:t>
      </w:r>
      <w:r w:rsidR="00E86362">
        <w:rPr>
          <w:sz w:val="24"/>
          <w:szCs w:val="24"/>
        </w:rPr>
        <w:lastRenderedPageBreak/>
        <w:t xml:space="preserve">rate of 10 mL/min using the Lock Spray mode. The autosampler was maintained at 10°C, while the column was kept at 40°C. The </w:t>
      </w:r>
      <w:proofErr w:type="spellStart"/>
      <w:r w:rsidR="00E86362">
        <w:rPr>
          <w:sz w:val="24"/>
          <w:szCs w:val="24"/>
        </w:rPr>
        <w:t>desolvation</w:t>
      </w:r>
      <w:proofErr w:type="spellEnd"/>
      <w:r w:rsidR="00E86362">
        <w:rPr>
          <w:sz w:val="24"/>
          <w:szCs w:val="24"/>
        </w:rPr>
        <w:t xml:space="preserve"> gas flow was set to 1000 L/h at 500°C. The source temperature was established at 150°C, and the cone gas flow rate was configured to 50 L/h. The cone and capillary voltages were set to 30.0 V and 3 kV (+</w:t>
      </w:r>
      <w:proofErr w:type="spellStart"/>
      <w:r w:rsidR="00E86362">
        <w:rPr>
          <w:sz w:val="24"/>
          <w:szCs w:val="24"/>
        </w:rPr>
        <w:t>ve</w:t>
      </w:r>
      <w:proofErr w:type="spellEnd"/>
      <w:r w:rsidR="00E86362">
        <w:rPr>
          <w:sz w:val="24"/>
          <w:szCs w:val="24"/>
        </w:rPr>
        <w:t xml:space="preserve">), respectively. Data acquisition was performed using </w:t>
      </w:r>
      <w:proofErr w:type="spellStart"/>
      <w:r w:rsidR="00E86362">
        <w:rPr>
          <w:sz w:val="24"/>
          <w:szCs w:val="24"/>
        </w:rPr>
        <w:t>MassLynx</w:t>
      </w:r>
      <w:proofErr w:type="spellEnd"/>
      <w:r w:rsidR="00E86362">
        <w:rPr>
          <w:sz w:val="24"/>
          <w:szCs w:val="24"/>
        </w:rPr>
        <w:t xml:space="preserve"> v4.2 software (Waters).</w:t>
      </w:r>
    </w:p>
    <w:p w14:paraId="5476B384" w14:textId="4F2E1AF1" w:rsidR="00E86362" w:rsidRDefault="00E86362" w:rsidP="00E86362">
      <w:pPr>
        <w:spacing w:line="360" w:lineRule="auto"/>
        <w:jc w:val="both"/>
        <w:rPr>
          <w:bCs/>
          <w:sz w:val="24"/>
          <w:szCs w:val="24"/>
        </w:rPr>
      </w:pPr>
      <w:r w:rsidRPr="00E86362">
        <w:rPr>
          <w:sz w:val="24"/>
          <w:szCs w:val="24"/>
        </w:rPr>
        <w:t xml:space="preserve">For further identification of chemical species, MS/MS was performed using a collision cell filled with Argon. </w:t>
      </w:r>
      <w:r>
        <w:rPr>
          <w:sz w:val="24"/>
          <w:szCs w:val="24"/>
        </w:rPr>
        <w:t xml:space="preserve">The selected species are isolated in the quadrupole </w:t>
      </w:r>
      <w:r w:rsidRPr="00E86362">
        <w:rPr>
          <w:bCs/>
          <w:sz w:val="24"/>
          <w:szCs w:val="24"/>
        </w:rPr>
        <w:t>(data-directed MS/MS)</w:t>
      </w:r>
    </w:p>
    <w:p w14:paraId="5C9A7FFD" w14:textId="2891EE86" w:rsidR="00E86362" w:rsidRPr="00E86362" w:rsidRDefault="00E86362" w:rsidP="00E86362">
      <w:pPr>
        <w:spacing w:line="360" w:lineRule="auto"/>
        <w:jc w:val="both"/>
        <w:rPr>
          <w:bCs/>
          <w:sz w:val="24"/>
          <w:szCs w:val="24"/>
        </w:rPr>
      </w:pPr>
      <w:r>
        <w:rPr>
          <w:bCs/>
          <w:sz w:val="24"/>
          <w:szCs w:val="24"/>
        </w:rPr>
        <w:t xml:space="preserve">With a fixed kinetic energy, the molecules fragment </w:t>
      </w:r>
      <w:r w:rsidR="0048649B">
        <w:rPr>
          <w:bCs/>
          <w:sz w:val="24"/>
          <w:szCs w:val="24"/>
        </w:rPr>
        <w:t>when they collide</w:t>
      </w:r>
      <w:r>
        <w:rPr>
          <w:bCs/>
          <w:sz w:val="24"/>
          <w:szCs w:val="24"/>
        </w:rPr>
        <w:t xml:space="preserve"> with the </w:t>
      </w:r>
      <w:proofErr w:type="spellStart"/>
      <w:r>
        <w:rPr>
          <w:bCs/>
          <w:sz w:val="24"/>
          <w:szCs w:val="24"/>
        </w:rPr>
        <w:t>Ar</w:t>
      </w:r>
      <w:proofErr w:type="spellEnd"/>
      <w:r>
        <w:rPr>
          <w:bCs/>
          <w:sz w:val="24"/>
          <w:szCs w:val="24"/>
        </w:rPr>
        <w:t xml:space="preserve"> gas.</w:t>
      </w:r>
      <w:r w:rsidR="0048649B">
        <w:rPr>
          <w:bCs/>
          <w:sz w:val="24"/>
          <w:szCs w:val="24"/>
        </w:rPr>
        <w:t xml:space="preserve"> </w:t>
      </w:r>
      <w:r>
        <w:rPr>
          <w:bCs/>
          <w:sz w:val="24"/>
          <w:szCs w:val="24"/>
        </w:rPr>
        <w:t xml:space="preserve">The mass of the fragmented molecules is analyzed.  </w:t>
      </w:r>
      <w:r w:rsidR="0048649B">
        <w:rPr>
          <w:bCs/>
          <w:sz w:val="24"/>
          <w:szCs w:val="24"/>
        </w:rPr>
        <w:t xml:space="preserve">Elemental composition analysis was performed using the monoisotopic mass obtained from MS or MS/MS. </w:t>
      </w:r>
    </w:p>
    <w:p w14:paraId="5EC6C836" w14:textId="68D1AEDC" w:rsidR="00E86362" w:rsidRDefault="00E86362" w:rsidP="00E86362">
      <w:pPr>
        <w:spacing w:line="360" w:lineRule="auto"/>
        <w:rPr>
          <w:sz w:val="24"/>
          <w:szCs w:val="24"/>
        </w:rPr>
      </w:pPr>
    </w:p>
    <w:p w14:paraId="123DB8D5" w14:textId="77777777" w:rsidR="00A806AB" w:rsidRDefault="00A806AB" w:rsidP="002B661C">
      <w:pPr>
        <w:spacing w:line="360" w:lineRule="auto"/>
        <w:jc w:val="both"/>
        <w:rPr>
          <w:b/>
          <w:bCs/>
          <w:sz w:val="24"/>
          <w:szCs w:val="24"/>
        </w:rPr>
      </w:pPr>
      <w:r w:rsidRPr="00A806AB">
        <w:rPr>
          <w:b/>
          <w:bCs/>
          <w:sz w:val="24"/>
          <w:szCs w:val="24"/>
        </w:rPr>
        <w:t>Reference:</w:t>
      </w:r>
    </w:p>
    <w:p w14:paraId="64E87474" w14:textId="77777777" w:rsidR="00A806AB" w:rsidRDefault="00A806AB" w:rsidP="002B661C">
      <w:pPr>
        <w:spacing w:line="360" w:lineRule="auto"/>
        <w:jc w:val="both"/>
        <w:rPr>
          <w:b/>
          <w:bCs/>
          <w:sz w:val="24"/>
          <w:szCs w:val="24"/>
        </w:rPr>
      </w:pPr>
    </w:p>
    <w:p w14:paraId="44C8855E" w14:textId="77777777" w:rsidR="00A806AB" w:rsidRPr="00A806AB" w:rsidRDefault="00A806AB" w:rsidP="002B661C">
      <w:pPr>
        <w:widowControl w:val="0"/>
        <w:autoSpaceDE w:val="0"/>
        <w:autoSpaceDN w:val="0"/>
        <w:adjustRightInd w:val="0"/>
        <w:spacing w:line="360" w:lineRule="auto"/>
        <w:ind w:left="640" w:hanging="640"/>
        <w:rPr>
          <w:noProof/>
          <w:sz w:val="24"/>
          <w:szCs w:val="24"/>
        </w:rPr>
      </w:pPr>
      <w:r>
        <w:rPr>
          <w:b/>
          <w:bCs/>
          <w:sz w:val="24"/>
          <w:szCs w:val="24"/>
        </w:rPr>
        <w:fldChar w:fldCharType="begin" w:fldLock="1"/>
      </w:r>
      <w:r>
        <w:rPr>
          <w:b/>
          <w:bCs/>
          <w:sz w:val="24"/>
          <w:szCs w:val="24"/>
        </w:rPr>
        <w:instrText xml:space="preserve">ADDIN Mendeley Bibliography CSL_BIBLIOGRAPHY </w:instrText>
      </w:r>
      <w:r>
        <w:rPr>
          <w:b/>
          <w:bCs/>
          <w:sz w:val="24"/>
          <w:szCs w:val="24"/>
        </w:rPr>
        <w:fldChar w:fldCharType="separate"/>
      </w:r>
      <w:r w:rsidRPr="00A806AB">
        <w:rPr>
          <w:noProof/>
          <w:sz w:val="24"/>
          <w:szCs w:val="24"/>
        </w:rPr>
        <w:t>1.</w:t>
      </w:r>
      <w:r w:rsidRPr="00A806AB">
        <w:rPr>
          <w:noProof/>
          <w:sz w:val="24"/>
          <w:szCs w:val="24"/>
        </w:rPr>
        <w:tab/>
        <w:t xml:space="preserve">Correa-Ascencio, M. &amp; Evershed, R. P. High throughput screening of organic residues in archaeological potsherds using direct acidified methanol extraction. </w:t>
      </w:r>
      <w:r w:rsidRPr="00A806AB">
        <w:rPr>
          <w:i/>
          <w:iCs/>
          <w:noProof/>
          <w:sz w:val="24"/>
          <w:szCs w:val="24"/>
        </w:rPr>
        <w:t>Anal. Methods</w:t>
      </w:r>
      <w:r w:rsidRPr="00A806AB">
        <w:rPr>
          <w:noProof/>
          <w:sz w:val="24"/>
          <w:szCs w:val="24"/>
        </w:rPr>
        <w:t xml:space="preserve"> </w:t>
      </w:r>
      <w:r w:rsidRPr="00A806AB">
        <w:rPr>
          <w:b/>
          <w:bCs/>
          <w:noProof/>
          <w:sz w:val="24"/>
          <w:szCs w:val="24"/>
        </w:rPr>
        <w:t>6</w:t>
      </w:r>
      <w:r w:rsidRPr="00A806AB">
        <w:rPr>
          <w:noProof/>
          <w:sz w:val="24"/>
          <w:szCs w:val="24"/>
        </w:rPr>
        <w:t>, 1330–1340 (2014).</w:t>
      </w:r>
    </w:p>
    <w:p w14:paraId="5BB15152" w14:textId="77777777" w:rsidR="00A806AB" w:rsidRPr="00A806AB" w:rsidRDefault="00A806AB" w:rsidP="002B661C">
      <w:pPr>
        <w:widowControl w:val="0"/>
        <w:autoSpaceDE w:val="0"/>
        <w:autoSpaceDN w:val="0"/>
        <w:adjustRightInd w:val="0"/>
        <w:spacing w:line="360" w:lineRule="auto"/>
        <w:ind w:left="640" w:hanging="640"/>
        <w:rPr>
          <w:noProof/>
          <w:sz w:val="24"/>
        </w:rPr>
      </w:pPr>
      <w:r w:rsidRPr="00A806AB">
        <w:rPr>
          <w:noProof/>
          <w:sz w:val="24"/>
          <w:szCs w:val="24"/>
        </w:rPr>
        <w:t>2.</w:t>
      </w:r>
      <w:r w:rsidRPr="00A806AB">
        <w:rPr>
          <w:noProof/>
          <w:sz w:val="24"/>
          <w:szCs w:val="24"/>
        </w:rPr>
        <w:tab/>
        <w:t xml:space="preserve">Sacchi, R. </w:t>
      </w:r>
      <w:r w:rsidRPr="00A806AB">
        <w:rPr>
          <w:i/>
          <w:iCs/>
          <w:noProof/>
          <w:sz w:val="24"/>
          <w:szCs w:val="24"/>
        </w:rPr>
        <w:t>et al.</w:t>
      </w:r>
      <w:r w:rsidRPr="00A806AB">
        <w:rPr>
          <w:noProof/>
          <w:sz w:val="24"/>
          <w:szCs w:val="24"/>
        </w:rPr>
        <w:t xml:space="preserve"> Olive oil from the 79 A.D. Vesuvius eruption stored at the Naples National Archaeological Museum (Italy). </w:t>
      </w:r>
      <w:r w:rsidRPr="00A806AB">
        <w:rPr>
          <w:i/>
          <w:iCs/>
          <w:noProof/>
          <w:sz w:val="24"/>
          <w:szCs w:val="24"/>
        </w:rPr>
        <w:t>npj Sci. Food</w:t>
      </w:r>
      <w:r w:rsidRPr="00A806AB">
        <w:rPr>
          <w:noProof/>
          <w:sz w:val="24"/>
          <w:szCs w:val="24"/>
        </w:rPr>
        <w:t xml:space="preserve"> </w:t>
      </w:r>
      <w:r w:rsidRPr="00A806AB">
        <w:rPr>
          <w:b/>
          <w:bCs/>
          <w:noProof/>
          <w:sz w:val="24"/>
          <w:szCs w:val="24"/>
        </w:rPr>
        <w:t>4</w:t>
      </w:r>
      <w:r w:rsidRPr="00A806AB">
        <w:rPr>
          <w:noProof/>
          <w:sz w:val="24"/>
          <w:szCs w:val="24"/>
        </w:rPr>
        <w:t>, (2020).</w:t>
      </w:r>
    </w:p>
    <w:p w14:paraId="2910AA8A" w14:textId="1C27971A" w:rsidR="00E95A15" w:rsidRPr="00490076" w:rsidRDefault="00A806AB" w:rsidP="002B661C">
      <w:pPr>
        <w:spacing w:line="360" w:lineRule="auto"/>
        <w:jc w:val="both"/>
        <w:rPr>
          <w:b/>
          <w:bCs/>
          <w:sz w:val="24"/>
          <w:szCs w:val="24"/>
          <w:lang w:val="en-IN"/>
        </w:rPr>
      </w:pPr>
      <w:r>
        <w:rPr>
          <w:b/>
          <w:bCs/>
          <w:sz w:val="24"/>
          <w:szCs w:val="24"/>
        </w:rPr>
        <w:fldChar w:fldCharType="end"/>
      </w:r>
    </w:p>
    <w:sectPr w:rsidR="00E95A15" w:rsidRPr="00490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9B5"/>
    <w:multiLevelType w:val="hybridMultilevel"/>
    <w:tmpl w:val="C2607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41326B"/>
    <w:multiLevelType w:val="hybridMultilevel"/>
    <w:tmpl w:val="593A8FA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4472A4"/>
    <w:multiLevelType w:val="hybridMultilevel"/>
    <w:tmpl w:val="593A8FA2"/>
    <w:lvl w:ilvl="0" w:tplc="9FCE22FE">
      <w:start w:val="1"/>
      <w:numFmt w:val="decimal"/>
      <w:lvlText w:val="%1."/>
      <w:lvlJc w:val="left"/>
      <w:pPr>
        <w:ind w:left="786"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032D8A"/>
    <w:multiLevelType w:val="hybridMultilevel"/>
    <w:tmpl w:val="3F04E388"/>
    <w:lvl w:ilvl="0" w:tplc="7A80EB16">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6013950">
    <w:abstractNumId w:val="0"/>
  </w:num>
  <w:num w:numId="2" w16cid:durableId="1561747225">
    <w:abstractNumId w:val="2"/>
  </w:num>
  <w:num w:numId="3" w16cid:durableId="348530754">
    <w:abstractNumId w:val="3"/>
  </w:num>
  <w:num w:numId="4" w16cid:durableId="201484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C4"/>
    <w:rsid w:val="000318A1"/>
    <w:rsid w:val="00040324"/>
    <w:rsid w:val="000929A4"/>
    <w:rsid w:val="00093455"/>
    <w:rsid w:val="000D7F02"/>
    <w:rsid w:val="000E3B4B"/>
    <w:rsid w:val="000E5113"/>
    <w:rsid w:val="00111CBA"/>
    <w:rsid w:val="00114EDD"/>
    <w:rsid w:val="00127D66"/>
    <w:rsid w:val="0013547F"/>
    <w:rsid w:val="001358CD"/>
    <w:rsid w:val="00141726"/>
    <w:rsid w:val="001568C4"/>
    <w:rsid w:val="001607EA"/>
    <w:rsid w:val="0016264D"/>
    <w:rsid w:val="00165119"/>
    <w:rsid w:val="0018355C"/>
    <w:rsid w:val="001B09A4"/>
    <w:rsid w:val="001E442E"/>
    <w:rsid w:val="001F25CF"/>
    <w:rsid w:val="00261C8A"/>
    <w:rsid w:val="002810EC"/>
    <w:rsid w:val="00281FFE"/>
    <w:rsid w:val="0029431E"/>
    <w:rsid w:val="002B661C"/>
    <w:rsid w:val="002E2BB1"/>
    <w:rsid w:val="00300D04"/>
    <w:rsid w:val="00353CC1"/>
    <w:rsid w:val="00366E12"/>
    <w:rsid w:val="003B6238"/>
    <w:rsid w:val="004176FE"/>
    <w:rsid w:val="0042375C"/>
    <w:rsid w:val="0048649B"/>
    <w:rsid w:val="00490076"/>
    <w:rsid w:val="004C267C"/>
    <w:rsid w:val="004E5A43"/>
    <w:rsid w:val="004F5AB3"/>
    <w:rsid w:val="005002C8"/>
    <w:rsid w:val="00551011"/>
    <w:rsid w:val="00557E5A"/>
    <w:rsid w:val="005604E7"/>
    <w:rsid w:val="00565B14"/>
    <w:rsid w:val="0059687F"/>
    <w:rsid w:val="005D5AA9"/>
    <w:rsid w:val="006544D6"/>
    <w:rsid w:val="00660CF7"/>
    <w:rsid w:val="006828D6"/>
    <w:rsid w:val="006A5E68"/>
    <w:rsid w:val="006B26D5"/>
    <w:rsid w:val="006B3812"/>
    <w:rsid w:val="006F1F64"/>
    <w:rsid w:val="006F7401"/>
    <w:rsid w:val="006F76B9"/>
    <w:rsid w:val="00716091"/>
    <w:rsid w:val="0072784F"/>
    <w:rsid w:val="00741AE6"/>
    <w:rsid w:val="00757217"/>
    <w:rsid w:val="007573E2"/>
    <w:rsid w:val="007706A3"/>
    <w:rsid w:val="0079650F"/>
    <w:rsid w:val="007C7358"/>
    <w:rsid w:val="007F6E71"/>
    <w:rsid w:val="00800320"/>
    <w:rsid w:val="00846B31"/>
    <w:rsid w:val="00861557"/>
    <w:rsid w:val="008E16C6"/>
    <w:rsid w:val="008E3644"/>
    <w:rsid w:val="008F3F99"/>
    <w:rsid w:val="00914993"/>
    <w:rsid w:val="009378E2"/>
    <w:rsid w:val="009578C4"/>
    <w:rsid w:val="009840C8"/>
    <w:rsid w:val="00996413"/>
    <w:rsid w:val="009C48BC"/>
    <w:rsid w:val="009D6093"/>
    <w:rsid w:val="009E4312"/>
    <w:rsid w:val="00A005C1"/>
    <w:rsid w:val="00A30B58"/>
    <w:rsid w:val="00A32A25"/>
    <w:rsid w:val="00A806AB"/>
    <w:rsid w:val="00A8689D"/>
    <w:rsid w:val="00AB00F9"/>
    <w:rsid w:val="00AB6FA3"/>
    <w:rsid w:val="00AC5419"/>
    <w:rsid w:val="00AC5C2F"/>
    <w:rsid w:val="00AE5678"/>
    <w:rsid w:val="00B23B19"/>
    <w:rsid w:val="00B354CE"/>
    <w:rsid w:val="00B97898"/>
    <w:rsid w:val="00BD4992"/>
    <w:rsid w:val="00BF3187"/>
    <w:rsid w:val="00C02952"/>
    <w:rsid w:val="00C80CCB"/>
    <w:rsid w:val="00C9781C"/>
    <w:rsid w:val="00CA155C"/>
    <w:rsid w:val="00CA3814"/>
    <w:rsid w:val="00CB75CE"/>
    <w:rsid w:val="00CD5A32"/>
    <w:rsid w:val="00D11251"/>
    <w:rsid w:val="00D5649F"/>
    <w:rsid w:val="00D86A66"/>
    <w:rsid w:val="00DA0BD1"/>
    <w:rsid w:val="00DA0F50"/>
    <w:rsid w:val="00DC2EDC"/>
    <w:rsid w:val="00DE1323"/>
    <w:rsid w:val="00E44640"/>
    <w:rsid w:val="00E51449"/>
    <w:rsid w:val="00E70CFB"/>
    <w:rsid w:val="00E86362"/>
    <w:rsid w:val="00E87596"/>
    <w:rsid w:val="00E95A15"/>
    <w:rsid w:val="00E96BF9"/>
    <w:rsid w:val="00EE6FB7"/>
    <w:rsid w:val="00F07BA6"/>
    <w:rsid w:val="00F2077C"/>
    <w:rsid w:val="00F36FE9"/>
    <w:rsid w:val="00F87D3E"/>
    <w:rsid w:val="00F93820"/>
    <w:rsid w:val="00F95A71"/>
    <w:rsid w:val="00FB3797"/>
    <w:rsid w:val="00FB7FF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DDBC6"/>
  <w15:docId w15:val="{E4FA5049-5139-4623-9ED1-A88E24AD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CF"/>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25CF"/>
    <w:pPr>
      <w:spacing w:before="120"/>
      <w:ind w:firstLine="720"/>
    </w:pPr>
    <w:rPr>
      <w:rFonts w:eastAsia="Times New Roman"/>
      <w:sz w:val="24"/>
      <w:szCs w:val="24"/>
    </w:rPr>
  </w:style>
  <w:style w:type="paragraph" w:styleId="NormalWeb">
    <w:name w:val="Normal (Web)"/>
    <w:basedOn w:val="Normal"/>
    <w:uiPriority w:val="99"/>
    <w:unhideWhenUsed/>
    <w:qFormat/>
    <w:rsid w:val="00AC5C2F"/>
    <w:pPr>
      <w:spacing w:before="100" w:beforeAutospacing="1" w:after="100" w:afterAutospacing="1"/>
    </w:pPr>
    <w:rPr>
      <w:rFonts w:eastAsia="Times New Roman"/>
      <w:sz w:val="24"/>
      <w:szCs w:val="24"/>
      <w:lang w:val="en-IN" w:eastAsia="en-IN"/>
    </w:rPr>
  </w:style>
  <w:style w:type="paragraph" w:styleId="BalloonText">
    <w:name w:val="Balloon Text"/>
    <w:basedOn w:val="Normal"/>
    <w:link w:val="BalloonTextChar"/>
    <w:uiPriority w:val="99"/>
    <w:semiHidden/>
    <w:unhideWhenUsed/>
    <w:rsid w:val="000318A1"/>
    <w:rPr>
      <w:rFonts w:ascii="Tahoma" w:hAnsi="Tahoma" w:cs="Tahoma"/>
      <w:sz w:val="16"/>
      <w:szCs w:val="16"/>
    </w:rPr>
  </w:style>
  <w:style w:type="character" w:customStyle="1" w:styleId="BalloonTextChar">
    <w:name w:val="Balloon Text Char"/>
    <w:basedOn w:val="DefaultParagraphFont"/>
    <w:link w:val="BalloonText"/>
    <w:uiPriority w:val="99"/>
    <w:semiHidden/>
    <w:rsid w:val="000318A1"/>
    <w:rPr>
      <w:rFonts w:ascii="Tahoma" w:eastAsia="Calibri" w:hAnsi="Tahoma" w:cs="Tahoma"/>
      <w:sz w:val="16"/>
      <w:szCs w:val="16"/>
      <w:lang w:val="en-US"/>
    </w:rPr>
  </w:style>
  <w:style w:type="paragraph" w:styleId="ListParagraph">
    <w:name w:val="List Paragraph"/>
    <w:basedOn w:val="Normal"/>
    <w:uiPriority w:val="34"/>
    <w:qFormat/>
    <w:rsid w:val="00490076"/>
    <w:pPr>
      <w:ind w:left="720"/>
      <w:contextualSpacing/>
    </w:pPr>
  </w:style>
  <w:style w:type="table" w:styleId="TableGrid">
    <w:name w:val="Table Grid"/>
    <w:basedOn w:val="TableNormal"/>
    <w:uiPriority w:val="59"/>
    <w:unhideWhenUsed/>
    <w:rsid w:val="00A30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30B5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30B5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A30B5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6B3812"/>
    <w:rPr>
      <w:color w:val="0000FF" w:themeColor="hyperlink"/>
      <w:u w:val="single"/>
    </w:rPr>
  </w:style>
  <w:style w:type="character" w:styleId="UnresolvedMention">
    <w:name w:val="Unresolved Mention"/>
    <w:basedOn w:val="DefaultParagraphFont"/>
    <w:uiPriority w:val="99"/>
    <w:semiHidden/>
    <w:unhideWhenUsed/>
    <w:rsid w:val="006B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1396">
      <w:bodyDiv w:val="1"/>
      <w:marLeft w:val="0"/>
      <w:marRight w:val="0"/>
      <w:marTop w:val="0"/>
      <w:marBottom w:val="0"/>
      <w:divBdr>
        <w:top w:val="none" w:sz="0" w:space="0" w:color="auto"/>
        <w:left w:val="none" w:sz="0" w:space="0" w:color="auto"/>
        <w:bottom w:val="none" w:sz="0" w:space="0" w:color="auto"/>
        <w:right w:val="none" w:sz="0" w:space="0" w:color="auto"/>
      </w:divBdr>
    </w:div>
    <w:div w:id="262763656">
      <w:bodyDiv w:val="1"/>
      <w:marLeft w:val="0"/>
      <w:marRight w:val="0"/>
      <w:marTop w:val="0"/>
      <w:marBottom w:val="0"/>
      <w:divBdr>
        <w:top w:val="none" w:sz="0" w:space="0" w:color="auto"/>
        <w:left w:val="none" w:sz="0" w:space="0" w:color="auto"/>
        <w:bottom w:val="none" w:sz="0" w:space="0" w:color="auto"/>
        <w:right w:val="none" w:sz="0" w:space="0" w:color="auto"/>
      </w:divBdr>
    </w:div>
    <w:div w:id="908227774">
      <w:bodyDiv w:val="1"/>
      <w:marLeft w:val="0"/>
      <w:marRight w:val="0"/>
      <w:marTop w:val="0"/>
      <w:marBottom w:val="0"/>
      <w:divBdr>
        <w:top w:val="none" w:sz="0" w:space="0" w:color="auto"/>
        <w:left w:val="none" w:sz="0" w:space="0" w:color="auto"/>
        <w:bottom w:val="none" w:sz="0" w:space="0" w:color="auto"/>
        <w:right w:val="none" w:sz="0" w:space="0" w:color="auto"/>
      </w:divBdr>
    </w:div>
    <w:div w:id="1079909386">
      <w:bodyDiv w:val="1"/>
      <w:marLeft w:val="0"/>
      <w:marRight w:val="0"/>
      <w:marTop w:val="0"/>
      <w:marBottom w:val="0"/>
      <w:divBdr>
        <w:top w:val="none" w:sz="0" w:space="0" w:color="auto"/>
        <w:left w:val="none" w:sz="0" w:space="0" w:color="auto"/>
        <w:bottom w:val="none" w:sz="0" w:space="0" w:color="auto"/>
        <w:right w:val="none" w:sz="0" w:space="0" w:color="auto"/>
      </w:divBdr>
    </w:div>
    <w:div w:id="1515724103">
      <w:bodyDiv w:val="1"/>
      <w:marLeft w:val="0"/>
      <w:marRight w:val="0"/>
      <w:marTop w:val="0"/>
      <w:marBottom w:val="0"/>
      <w:divBdr>
        <w:top w:val="none" w:sz="0" w:space="0" w:color="auto"/>
        <w:left w:val="none" w:sz="0" w:space="0" w:color="auto"/>
        <w:bottom w:val="none" w:sz="0" w:space="0" w:color="auto"/>
        <w:right w:val="none" w:sz="0" w:space="0" w:color="auto"/>
      </w:divBdr>
    </w:div>
    <w:div w:id="1539777384">
      <w:bodyDiv w:val="1"/>
      <w:marLeft w:val="0"/>
      <w:marRight w:val="0"/>
      <w:marTop w:val="0"/>
      <w:marBottom w:val="0"/>
      <w:divBdr>
        <w:top w:val="none" w:sz="0" w:space="0" w:color="auto"/>
        <w:left w:val="none" w:sz="0" w:space="0" w:color="auto"/>
        <w:bottom w:val="none" w:sz="0" w:space="0" w:color="auto"/>
        <w:right w:val="none" w:sz="0" w:space="0" w:color="auto"/>
      </w:divBdr>
    </w:div>
    <w:div w:id="20180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34C6B5-7381-411C-861E-21045DAF2EE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802E-6BE2-459F-9B1C-409EDA77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3275</Characters>
  <Application>Microsoft Office Word</Application>
  <DocSecurity>0</DocSecurity>
  <Lines>136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Vijayanand Chandrasekaran</cp:lastModifiedBy>
  <cp:revision>2</cp:revision>
  <dcterms:created xsi:type="dcterms:W3CDTF">2025-05-06T14:25:00Z</dcterms:created>
  <dcterms:modified xsi:type="dcterms:W3CDTF">2025-05-06T14:25:00Z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4204bf0c-f24c-3dff-8b45-b028c3bc49b4</vt:lpwstr>
  </property>
  <property fmtid="{D5CDD505-2E9C-101B-9397-08002B2CF9AE}" pid="24" name="Mendeley Citation Style_1">
    <vt:lpwstr>http://www.zotero.org/styles/nature</vt:lpwstr>
  </property>
  <property fmtid="{D5CDD505-2E9C-101B-9397-08002B2CF9AE}" pid="25" name="GrammarlyDocumentId">
    <vt:lpwstr>ffa46eccd6d04f84a820dbf811124ff16e9d3397115e0c927b57091800aa88b3</vt:lpwstr>
  </property>
</Properties>
</file>