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0503" w:rsidRPr="004865FB" w:rsidRDefault="00120503" w:rsidP="00120503">
      <w:pPr>
        <w:suppressAutoHyphens w:val="0"/>
        <w:spacing w:line="240" w:lineRule="auto"/>
        <w:jc w:val="left"/>
        <w:rPr>
          <w:b/>
          <w:lang w:val="en-SG" w:eastAsia="en-SG"/>
        </w:rPr>
      </w:pPr>
      <w:r>
        <w:rPr>
          <w:b/>
          <w:lang w:val="en-SG" w:eastAsia="en-SG"/>
        </w:rPr>
        <w:t xml:space="preserve">Supplementary </w:t>
      </w:r>
      <w:r w:rsidRPr="004865FB">
        <w:rPr>
          <w:b/>
          <w:lang w:val="en-SG" w:eastAsia="en-SG"/>
        </w:rPr>
        <w:t xml:space="preserve">Table </w:t>
      </w:r>
      <w:r>
        <w:rPr>
          <w:b/>
          <w:lang w:val="en-SG" w:eastAsia="en-SG"/>
        </w:rPr>
        <w:t>1</w:t>
      </w:r>
      <w:r w:rsidRPr="004865FB">
        <w:rPr>
          <w:b/>
          <w:lang w:val="en-SG" w:eastAsia="en-SG"/>
        </w:rPr>
        <w:t>. Overview of studies on 18FDG-PET/CT in OAMZL, from 2010 to 2025</w:t>
      </w:r>
    </w:p>
    <w:p w:rsidR="00120503" w:rsidRPr="004865FB" w:rsidRDefault="00120503" w:rsidP="00120503">
      <w:pPr>
        <w:suppressAutoHyphens w:val="0"/>
        <w:spacing w:line="240" w:lineRule="auto"/>
        <w:jc w:val="left"/>
        <w:rPr>
          <w:b/>
          <w:lang w:val="en-SG" w:eastAsia="en-SG"/>
        </w:rPr>
      </w:pPr>
    </w:p>
    <w:tbl>
      <w:tblPr>
        <w:tblStyle w:val="TableGrid"/>
        <w:tblW w:w="5000" w:type="pct"/>
        <w:tblLook w:val="04A0" w:firstRow="1" w:lastRow="0" w:firstColumn="1" w:lastColumn="0" w:noHBand="0" w:noVBand="1"/>
      </w:tblPr>
      <w:tblGrid>
        <w:gridCol w:w="1054"/>
        <w:gridCol w:w="1113"/>
        <w:gridCol w:w="1409"/>
        <w:gridCol w:w="1267"/>
        <w:gridCol w:w="4173"/>
      </w:tblGrid>
      <w:tr w:rsidR="00120503" w:rsidRPr="00994848" w:rsidTr="00AF2B89">
        <w:tc>
          <w:tcPr>
            <w:tcW w:w="599" w:type="pct"/>
          </w:tcPr>
          <w:p w:rsidR="00120503" w:rsidRPr="00994848" w:rsidRDefault="00120503" w:rsidP="00AF2B89">
            <w:pPr>
              <w:spacing w:line="276" w:lineRule="auto"/>
              <w:rPr>
                <w:rFonts w:asciiTheme="minorHAnsi" w:hAnsiTheme="minorHAnsi" w:cstheme="minorHAnsi"/>
                <w:b/>
                <w:bCs/>
                <w:sz w:val="16"/>
                <w:szCs w:val="16"/>
              </w:rPr>
            </w:pPr>
            <w:r w:rsidRPr="00994848">
              <w:rPr>
                <w:rFonts w:asciiTheme="minorHAnsi" w:hAnsiTheme="minorHAnsi" w:cstheme="minorHAnsi"/>
                <w:b/>
                <w:bCs/>
                <w:sz w:val="16"/>
                <w:szCs w:val="16"/>
              </w:rPr>
              <w:t>Reference</w:t>
            </w:r>
          </w:p>
        </w:tc>
        <w:tc>
          <w:tcPr>
            <w:tcW w:w="560" w:type="pct"/>
          </w:tcPr>
          <w:p w:rsidR="00120503" w:rsidRPr="00994848" w:rsidRDefault="00120503" w:rsidP="00AF2B89">
            <w:pPr>
              <w:spacing w:line="276" w:lineRule="auto"/>
              <w:rPr>
                <w:rFonts w:asciiTheme="minorHAnsi" w:hAnsiTheme="minorHAnsi" w:cstheme="minorHAnsi"/>
                <w:b/>
                <w:bCs/>
                <w:sz w:val="16"/>
                <w:szCs w:val="16"/>
              </w:rPr>
            </w:pPr>
            <w:r w:rsidRPr="00994848">
              <w:rPr>
                <w:rFonts w:asciiTheme="minorHAnsi" w:hAnsiTheme="minorHAnsi" w:cstheme="minorHAnsi"/>
                <w:b/>
                <w:bCs/>
                <w:sz w:val="16"/>
                <w:szCs w:val="16"/>
              </w:rPr>
              <w:t>Study type</w:t>
            </w:r>
          </w:p>
        </w:tc>
        <w:tc>
          <w:tcPr>
            <w:tcW w:w="796" w:type="pct"/>
          </w:tcPr>
          <w:p w:rsidR="00120503" w:rsidRPr="00994848" w:rsidRDefault="00120503" w:rsidP="00AF2B89">
            <w:pPr>
              <w:spacing w:line="276" w:lineRule="auto"/>
              <w:rPr>
                <w:rFonts w:asciiTheme="minorHAnsi" w:hAnsiTheme="minorHAnsi" w:cstheme="minorHAnsi"/>
                <w:b/>
                <w:bCs/>
                <w:sz w:val="16"/>
                <w:szCs w:val="16"/>
              </w:rPr>
            </w:pPr>
            <w:r w:rsidRPr="00994848">
              <w:rPr>
                <w:rFonts w:asciiTheme="minorHAnsi" w:hAnsiTheme="minorHAnsi" w:cstheme="minorHAnsi"/>
                <w:b/>
                <w:bCs/>
                <w:sz w:val="16"/>
                <w:szCs w:val="16"/>
              </w:rPr>
              <w:t>Number of patients studied</w:t>
            </w:r>
          </w:p>
        </w:tc>
        <w:tc>
          <w:tcPr>
            <w:tcW w:w="717" w:type="pct"/>
          </w:tcPr>
          <w:p w:rsidR="00120503" w:rsidRPr="00994848" w:rsidRDefault="00120503" w:rsidP="00AF2B89">
            <w:pPr>
              <w:spacing w:line="276" w:lineRule="auto"/>
              <w:rPr>
                <w:rFonts w:asciiTheme="minorHAnsi" w:hAnsiTheme="minorHAnsi" w:cstheme="minorHAnsi"/>
                <w:b/>
                <w:bCs/>
                <w:sz w:val="16"/>
                <w:szCs w:val="16"/>
              </w:rPr>
            </w:pPr>
            <w:r w:rsidRPr="00994848">
              <w:rPr>
                <w:rFonts w:asciiTheme="minorHAnsi" w:hAnsiTheme="minorHAnsi" w:cstheme="minorHAnsi"/>
                <w:b/>
                <w:bCs/>
                <w:sz w:val="16"/>
                <w:szCs w:val="16"/>
              </w:rPr>
              <w:t>Ocular sites for OAMZL</w:t>
            </w:r>
          </w:p>
        </w:tc>
        <w:tc>
          <w:tcPr>
            <w:tcW w:w="2328" w:type="pct"/>
          </w:tcPr>
          <w:p w:rsidR="00120503" w:rsidRPr="00994848" w:rsidRDefault="00120503" w:rsidP="00AF2B89">
            <w:pPr>
              <w:spacing w:line="276" w:lineRule="auto"/>
              <w:rPr>
                <w:rFonts w:asciiTheme="minorHAnsi" w:hAnsiTheme="minorHAnsi" w:cstheme="minorHAnsi"/>
                <w:b/>
                <w:bCs/>
                <w:sz w:val="16"/>
                <w:szCs w:val="16"/>
              </w:rPr>
            </w:pPr>
            <w:r w:rsidRPr="00994848">
              <w:rPr>
                <w:rFonts w:asciiTheme="minorHAnsi" w:hAnsiTheme="minorHAnsi" w:cstheme="minorHAnsi"/>
                <w:b/>
                <w:bCs/>
                <w:sz w:val="16"/>
                <w:szCs w:val="16"/>
              </w:rPr>
              <w:t>Key findings</w:t>
            </w:r>
          </w:p>
        </w:tc>
      </w:tr>
      <w:tr w:rsidR="00120503" w:rsidRPr="00994848" w:rsidTr="00AF2B89">
        <w:tc>
          <w:tcPr>
            <w:tcW w:w="599" w:type="pct"/>
          </w:tcPr>
          <w:p w:rsidR="00120503" w:rsidRPr="00994848" w:rsidRDefault="00120503" w:rsidP="00AF2B89">
            <w:pPr>
              <w:spacing w:line="276" w:lineRule="auto"/>
              <w:rPr>
                <w:rFonts w:asciiTheme="minorHAnsi" w:hAnsiTheme="minorHAnsi" w:cstheme="minorHAnsi"/>
                <w:sz w:val="16"/>
                <w:szCs w:val="16"/>
              </w:rPr>
            </w:pPr>
            <w:proofErr w:type="spellStart"/>
            <w:r w:rsidRPr="00994848">
              <w:rPr>
                <w:rFonts w:asciiTheme="minorHAnsi" w:hAnsiTheme="minorHAnsi" w:cstheme="minorHAnsi"/>
                <w:sz w:val="16"/>
                <w:szCs w:val="16"/>
              </w:rPr>
              <w:t>Zanni</w:t>
            </w:r>
            <w:proofErr w:type="spellEnd"/>
            <w:r w:rsidRPr="00994848">
              <w:rPr>
                <w:rFonts w:asciiTheme="minorHAnsi" w:hAnsiTheme="minorHAnsi" w:cstheme="minorHAnsi"/>
                <w:sz w:val="16"/>
                <w:szCs w:val="16"/>
              </w:rPr>
              <w:t xml:space="preserve"> et al. (2012)</w:t>
            </w:r>
            <w:r>
              <w:rPr>
                <w:rFonts w:asciiTheme="minorHAnsi" w:hAnsiTheme="minorHAnsi" w:cstheme="minorHAnsi"/>
                <w:sz w:val="16"/>
                <w:szCs w:val="16"/>
              </w:rPr>
              <w:t xml:space="preserve"> </w:t>
            </w:r>
            <w:r>
              <w:rPr>
                <w:rFonts w:asciiTheme="minorHAnsi" w:hAnsiTheme="minorHAnsi" w:cstheme="minorHAnsi"/>
                <w:sz w:val="16"/>
                <w:szCs w:val="16"/>
              </w:rPr>
              <w:fldChar w:fldCharType="begin"/>
            </w:r>
            <w:r>
              <w:rPr>
                <w:rFonts w:asciiTheme="minorHAnsi" w:hAnsiTheme="minorHAnsi" w:cstheme="minorHAnsi"/>
                <w:sz w:val="16"/>
                <w:szCs w:val="16"/>
              </w:rPr>
              <w:instrText xml:space="preserve"> ADDIN ZOTERO_ITEM CSL_CITATION {"citationID":"gcMhdBm6","properties":{"formattedCitation":"(25)","plainCitation":"(25)","noteIndex":0},"citationItems":[{"id":271,"uris":["http://zotero.org/users/local/ojY8FCrP/items/H82LKTIX"],"itemData":{"id":271,"type":"article-journal","abstract":"Fluorine 18 deoxyglucose positron emission tomography ((18)FDG PET) is widely used in staging of non-Hodgkin's lymphomas (NHL), but very few studies have focused on its role in the initial staging of patients with ocular adnexal lymphoma (OAL). The aim of this study was therefore to evaluate the role of (18)FDG PET in the diagnosis of ophthalmologic lymphoma. A retrospective review of all imaging records, including computed tomography (CT), magnetic resonance imaging (MRI), and FDG PET, was performed. Forty-one OAL patients were included in the study. A pathologic review according to the World Health Organization classification showed 32 low-grade lymphoma patients (78%), including 26 mucosa-associated lymphoid tissue lymphomas (63%). Ophthalmologic sites were intra-orbital + lacrimal gland in 24 patients (59%), conjunctival in 13 patients (32%), multiple in 4 cases, and bilateral in 6 patients. (18)FDG PET was positive in orbital and conjunctival sites in 68 and 35% of cases, respectively. (18)FDG PET positivity was correlated with pathologic sites detected by MRI in 22/30 patients (73%); (18)FDG PET positivity was correlated with pathologic sites detected by CT in 25/34 patients (73%). This study shows that (18)FDG PET has a lower sensitivity than MRI to detect ophthalmologic lymphoma, particularly in non-conjunctival sites.","container-title":"Hematology (Amsterdam, Netherlands)","DOI":"10.1179/102453312X13221316477813","ISSN":"1607-8454","issue":"2","journalAbbreviation":"Hematology","language":"eng","note":"PMID: 22664045","page":"76-84","source":"PubMed","title":"Value of 18FDG PET scan in staging of ocular adnexal lymphomas: a large single-center experience","title-short":"Value of 18FDG PET scan in staging of ocular adnexal lymphomas","volume":"17","author":[{"family":"Zanni","given":"Manuela"},{"family":"Moulin-Romsee","given":"Gérard"},{"family":"Servois","given":"Vincent"},{"family":"Validire","given":"Patricia"},{"family":"Bénamor","given":"Myriam"},{"family":"Plancher","given":"Corine"},{"family":"Rouic","given":"Livia Lumbroso-le"},{"family":"Dendale","given":"Rémi"},{"family":"Vincent-Salomon","given":"Anne"},{"family":"Asselain","given":"Bernard"},{"family":"Sahli","given":"Rafika"},{"family":"Decaudin","given":"Didier"}],"issued":{"date-parts":[["2012",3]]}}}],"schema":"https://github.com/citation-style-language/schema/raw/master/csl-citation.json"} </w:instrText>
            </w:r>
            <w:r>
              <w:rPr>
                <w:rFonts w:asciiTheme="minorHAnsi" w:hAnsiTheme="minorHAnsi" w:cstheme="minorHAnsi"/>
                <w:sz w:val="16"/>
                <w:szCs w:val="16"/>
              </w:rPr>
              <w:fldChar w:fldCharType="separate"/>
            </w:r>
            <w:r w:rsidRPr="00D14C2B">
              <w:rPr>
                <w:rFonts w:ascii="Calibri" w:hAnsi="Calibri" w:cs="Calibri"/>
                <w:sz w:val="16"/>
              </w:rPr>
              <w:t>(25)</w:t>
            </w:r>
            <w:r>
              <w:rPr>
                <w:rFonts w:asciiTheme="minorHAnsi" w:hAnsiTheme="minorHAnsi" w:cstheme="minorHAnsi"/>
                <w:sz w:val="16"/>
                <w:szCs w:val="16"/>
              </w:rPr>
              <w:fldChar w:fldCharType="end"/>
            </w:r>
          </w:p>
        </w:tc>
        <w:tc>
          <w:tcPr>
            <w:tcW w:w="560"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Retrospective</w:t>
            </w:r>
          </w:p>
        </w:tc>
        <w:tc>
          <w:tcPr>
            <w:tcW w:w="796" w:type="pct"/>
          </w:tcPr>
          <w:p w:rsidR="00120503" w:rsidRPr="00994848" w:rsidRDefault="00120503" w:rsidP="00AF2B89">
            <w:pPr>
              <w:spacing w:line="276" w:lineRule="auto"/>
              <w:jc w:val="left"/>
              <w:rPr>
                <w:rFonts w:asciiTheme="minorHAnsi" w:hAnsiTheme="minorHAnsi" w:cstheme="minorHAnsi"/>
                <w:sz w:val="16"/>
                <w:szCs w:val="16"/>
              </w:rPr>
            </w:pPr>
            <w:r w:rsidRPr="00994848">
              <w:rPr>
                <w:rFonts w:asciiTheme="minorHAnsi" w:hAnsiTheme="minorHAnsi" w:cstheme="minorHAnsi"/>
                <w:sz w:val="16"/>
                <w:szCs w:val="16"/>
              </w:rPr>
              <w:t>26 (OAMZL); 41 (total cohort of ocular adnexal lymphoma (OAL))</w:t>
            </w:r>
          </w:p>
        </w:tc>
        <w:tc>
          <w:tcPr>
            <w:tcW w:w="717"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Orbit, lacrimal gland, conjunctiva, eyelid</w:t>
            </w:r>
          </w:p>
        </w:tc>
        <w:tc>
          <w:tcPr>
            <w:tcW w:w="2328" w:type="pct"/>
          </w:tcPr>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18FDG-PET/CT was positive in 50% of ocular adnexal marginal zone lymphomas (OAMZL), while CT was positive in 79% of OAMZL</w:t>
            </w:r>
          </w:p>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 xml:space="preserve">In view of the very high sensitivity of MRI and/or CT in the detection of ocular lymphoma sites, especially conjunctival involvement, 18FDG-PET/CT imaging is not very useful for the diagnosis of ocular adnexal lesions  </w:t>
            </w:r>
          </w:p>
        </w:tc>
      </w:tr>
      <w:tr w:rsidR="00120503" w:rsidRPr="00994848" w:rsidTr="00AF2B89">
        <w:tc>
          <w:tcPr>
            <w:tcW w:w="599"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Nasser et al. (2014)</w:t>
            </w:r>
            <w:r>
              <w:rPr>
                <w:rFonts w:asciiTheme="minorHAnsi" w:hAnsiTheme="minorHAnsi" w:cstheme="minorHAnsi"/>
                <w:sz w:val="16"/>
                <w:szCs w:val="16"/>
              </w:rPr>
              <w:t xml:space="preserve"> </w:t>
            </w:r>
            <w:r>
              <w:rPr>
                <w:rFonts w:asciiTheme="minorHAnsi" w:hAnsiTheme="minorHAnsi" w:cstheme="minorHAnsi"/>
                <w:sz w:val="16"/>
                <w:szCs w:val="16"/>
              </w:rPr>
              <w:fldChar w:fldCharType="begin"/>
            </w:r>
            <w:r>
              <w:rPr>
                <w:rFonts w:asciiTheme="minorHAnsi" w:hAnsiTheme="minorHAnsi" w:cstheme="minorHAnsi"/>
                <w:sz w:val="16"/>
                <w:szCs w:val="16"/>
              </w:rPr>
              <w:instrText xml:space="preserve"> ADDIN ZOTERO_ITEM CSL_CITATION {"citationID":"4GVbdTdv","properties":{"formattedCitation":"(27)","plainCitation":"(27)","noteIndex":0},"citationItems":[{"id":275,"uris":["http://zotero.org/users/local/ojY8FCrP/items/DL4VGKZA"],"itemData":{"id":275,"type":"article-journal","abstract":"Abstract The objective of this study was to assess the value of magnetic resonance imaging (MRI) of the orbit for conjunctival mucosa-associated lymphoid tissue (MALT) lymphoma. The yield of other staging tests at baseline were also evaluated. Twenty-one consecutive patients treated for conjunctival MALT lymphoma were retrospectively studied. Lymphoma was staged according to both the Ann Arbor system and the seventh edition of the AJCC [American Joint Committee on Cancer] cancer staging manual. Findings on MRI of the orbit, whole-body positron emission tomography/computed tomography (PET/CT), CT of the chest/abdomen/pelvis, bone marrow (BM) biopsy and gastrointestinal (GI) endoscopy were recorded. Seventeen patients had orbital MRI. Fourteen of 17 patients (82%) with obvious conjunctival MALT lymphoma on clinical examination had a negative MRI scan. Only three patients had subtle conjunctival enhancement on orbital MRI. Ann Arbor stage at presentation was as follows: stage IE (15 patients), stage IIE (two patients) and stage IV (four patients). Eighteen of 21 patients had total-body PET/CT; four patients (22%) had hypermetabolic activity evident on PET scan. All 21 patients had bilateral BM biopsies. Fifteen of 21 patients (71%) had GI endoscopy. None of the patients had a positive BM biopsy or findings on GI endoscopy. Our data suggest that orbital MRI has a very low yield for identification of conjunctival MALT lymphoma. Clinical examination is critical in diagnosing and assessing treatment response in conjunctival MALT lymphoma. The yield for GI endoscopy and BM biopsy may also be low in staging of conjunctival MALT lymphoma.","container-title":"Leukemia &amp; Lymphoma","DOI":"10.3109/10428194.2013.826353","ISSN":"1029-2403","issue":"5","journalAbbreviation":"Leuk Lymphoma","language":"eng","note":"PMID: 23879202","page":"1013-1017","source":"PubMed","title":"Clinical value of magnetic resonance imaging and other baseline testing for conjunctival mucosa-associated lymphoid tissue lymphoma","volume":"55","author":[{"family":"Nasser","given":"Qasiem J."},{"family":"Pfeiffer","given":"Margaret L."},{"family":"Romaguera","given":"Jorge"},{"family":"Fowler","given":"Nathan"},{"family":"Debnam","given":"J. Matthew"},{"family":"Samaniego","given":"Felipe"},{"family":"El-Sawy","given":"Tarek"},{"family":"McLaughlin","given":"Peter"},{"family":"Bakhoum","given":"Mathieu F."},{"family":"Esmaeli","given":"Bita"}],"issued":{"date-parts":[["2014",5]]}}}],"schema":"https://github.com/citation-style-language/schema/raw/master/csl-citation.json"} </w:instrText>
            </w:r>
            <w:r>
              <w:rPr>
                <w:rFonts w:asciiTheme="minorHAnsi" w:hAnsiTheme="minorHAnsi" w:cstheme="minorHAnsi"/>
                <w:sz w:val="16"/>
                <w:szCs w:val="16"/>
              </w:rPr>
              <w:fldChar w:fldCharType="separate"/>
            </w:r>
            <w:r w:rsidRPr="00D14C2B">
              <w:rPr>
                <w:rFonts w:ascii="Calibri" w:hAnsi="Calibri" w:cs="Calibri"/>
                <w:sz w:val="16"/>
              </w:rPr>
              <w:t>(27)</w:t>
            </w:r>
            <w:r>
              <w:rPr>
                <w:rFonts w:asciiTheme="minorHAnsi" w:hAnsiTheme="minorHAnsi" w:cstheme="minorHAnsi"/>
                <w:sz w:val="16"/>
                <w:szCs w:val="16"/>
              </w:rPr>
              <w:fldChar w:fldCharType="end"/>
            </w:r>
          </w:p>
        </w:tc>
        <w:tc>
          <w:tcPr>
            <w:tcW w:w="560"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Retrospective</w:t>
            </w:r>
          </w:p>
        </w:tc>
        <w:tc>
          <w:tcPr>
            <w:tcW w:w="796" w:type="pct"/>
          </w:tcPr>
          <w:p w:rsidR="00120503" w:rsidRPr="00994848" w:rsidRDefault="00120503" w:rsidP="00AF2B89">
            <w:pPr>
              <w:spacing w:line="276" w:lineRule="auto"/>
              <w:jc w:val="left"/>
              <w:rPr>
                <w:rFonts w:asciiTheme="minorHAnsi" w:hAnsiTheme="minorHAnsi" w:cstheme="minorHAnsi"/>
                <w:sz w:val="16"/>
                <w:szCs w:val="16"/>
              </w:rPr>
            </w:pPr>
            <w:r w:rsidRPr="00994848">
              <w:rPr>
                <w:rFonts w:asciiTheme="minorHAnsi" w:hAnsiTheme="minorHAnsi" w:cstheme="minorHAnsi"/>
                <w:sz w:val="16"/>
                <w:szCs w:val="16"/>
              </w:rPr>
              <w:t>18 (total OAMZL patients that underwent 18FDG-PET/CT); 21 (total cohort of OAMZL)</w:t>
            </w:r>
          </w:p>
        </w:tc>
        <w:tc>
          <w:tcPr>
            <w:tcW w:w="717"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Conjunctiva</w:t>
            </w:r>
          </w:p>
        </w:tc>
        <w:tc>
          <w:tcPr>
            <w:tcW w:w="2328" w:type="pct"/>
          </w:tcPr>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Only two of 18 patients who underwent whole body PET/CT imaging had hypermetabolic focus in the area of the conjunctival lesion</w:t>
            </w:r>
          </w:p>
        </w:tc>
      </w:tr>
      <w:tr w:rsidR="00120503" w:rsidRPr="00994848" w:rsidTr="00AF2B89">
        <w:tc>
          <w:tcPr>
            <w:tcW w:w="599"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English and Sullivan (2015)</w:t>
            </w:r>
            <w:r>
              <w:rPr>
                <w:rFonts w:asciiTheme="minorHAnsi" w:hAnsiTheme="minorHAnsi" w:cstheme="minorHAnsi"/>
                <w:sz w:val="16"/>
                <w:szCs w:val="16"/>
              </w:rPr>
              <w:t xml:space="preserve"> </w:t>
            </w:r>
            <w:r>
              <w:rPr>
                <w:rFonts w:asciiTheme="minorHAnsi" w:hAnsiTheme="minorHAnsi" w:cstheme="minorHAnsi"/>
                <w:sz w:val="16"/>
                <w:szCs w:val="16"/>
              </w:rPr>
              <w:fldChar w:fldCharType="begin"/>
            </w:r>
            <w:r>
              <w:rPr>
                <w:rFonts w:asciiTheme="minorHAnsi" w:hAnsiTheme="minorHAnsi" w:cstheme="minorHAnsi"/>
                <w:sz w:val="16"/>
                <w:szCs w:val="16"/>
              </w:rPr>
              <w:instrText xml:space="preserve"> ADDIN ZOTERO_ITEM CSL_CITATION {"citationID":"MppOTeic","properties":{"formattedCitation":"(26)","plainCitation":"(26)","noteIndex":0},"citationItems":[{"id":273,"uris":["http://zotero.org/users/local/ojY8FCrP/items/QYIIN68W"],"itemData":{"id":273,"type":"article-journal","abstract":"PURPOSE: To further evaluate fluorine 18 fluoro-deoxyglucose positron emission tomography (FDG PET) in the staging of ocular adnexal lymphoproliferative disease (OALD).\nMETHODS: Retrospective and prospective case series with review of clinical and imaging records including computed tomography (CT), FDG PET (± PET/CT) and/or magnetic resonance imaging (MRI).\nRESULTS: Thirty-four patients had FDG PET and CT scans at initial staging. Eleven were retrospectively reviewed and 23 were prospectively enrolled. Of 34 patients, 17 (50%) had primary disease, 17 (50%) had secondary and of these, 13 patients (38%) had OALD as their initial manifestation. Sixteen patients had active systemic disease in conjunction with their orbital disease. Systemic disease was demonstrated by FDG PET (± CT) in 15 of 16 (94%) patients and 11 of 16 (69%) patients with CT. FDG PET found orbital disease in 27 of 34 patients (79%) versus 33 of 34 patients with orbital CT (97%). Four of 16 patients in which FDG-PET detected systemic disease where CT did not were upstaged and their management changed significantly in 5 cases.\nCONCLUSIONS: This study reaffirms FDG PET as an important part of initial staging. Our study suggests FDG PET detects systemic disease more reliably than CT alone and results in significant changes in management. Our findings suggest FDG PET detection for local OALD is less sensitive than CT. MRI is helpful in augmenting other imaging modalities in further identifying disease. Given the prevalence of simultaneous systemic presentations of OALD, FDG PET in this regard is especially important and highlights the need for coordinated multidisciplinary care.","container-title":"Orbit (Amsterdam, Netherlands)","DOI":"10.3109/01676830.2015.1078368","ISSN":"1744-5108","issue":"5","journalAbbreviation":"Orbit","language":"eng","note":"PMID: 26308502","page":"284-291","source":"PubMed","title":"The Role of FDG-PET in the Diagnosis and Staging of Ocular Adnexal Lymphoproliferative Disease","volume":"34","author":[{"family":"English","given":"James F."},{"family":"Sullivan","given":"Timothy J."}],"issued":{"date-parts":[["2015"]]}}}],"schema":"https://github.com/citation-style-language/schema/raw/master/csl-citation.json"} </w:instrText>
            </w:r>
            <w:r>
              <w:rPr>
                <w:rFonts w:asciiTheme="minorHAnsi" w:hAnsiTheme="minorHAnsi" w:cstheme="minorHAnsi"/>
                <w:sz w:val="16"/>
                <w:szCs w:val="16"/>
              </w:rPr>
              <w:fldChar w:fldCharType="separate"/>
            </w:r>
            <w:r w:rsidRPr="00D14C2B">
              <w:rPr>
                <w:rFonts w:ascii="Calibri" w:hAnsi="Calibri" w:cs="Calibri"/>
                <w:sz w:val="16"/>
              </w:rPr>
              <w:t>(26)</w:t>
            </w:r>
            <w:r>
              <w:rPr>
                <w:rFonts w:asciiTheme="minorHAnsi" w:hAnsiTheme="minorHAnsi" w:cstheme="minorHAnsi"/>
                <w:sz w:val="16"/>
                <w:szCs w:val="16"/>
              </w:rPr>
              <w:fldChar w:fldCharType="end"/>
            </w:r>
          </w:p>
        </w:tc>
        <w:tc>
          <w:tcPr>
            <w:tcW w:w="560"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Retrospective</w:t>
            </w:r>
          </w:p>
        </w:tc>
        <w:tc>
          <w:tcPr>
            <w:tcW w:w="796" w:type="pct"/>
          </w:tcPr>
          <w:p w:rsidR="00120503" w:rsidRPr="00994848" w:rsidRDefault="00120503" w:rsidP="00AF2B89">
            <w:pPr>
              <w:spacing w:line="276" w:lineRule="auto"/>
              <w:jc w:val="left"/>
              <w:rPr>
                <w:rFonts w:asciiTheme="minorHAnsi" w:hAnsiTheme="minorHAnsi" w:cstheme="minorHAnsi"/>
                <w:sz w:val="16"/>
                <w:szCs w:val="16"/>
              </w:rPr>
            </w:pPr>
            <w:r w:rsidRPr="00994848">
              <w:rPr>
                <w:rFonts w:asciiTheme="minorHAnsi" w:hAnsiTheme="minorHAnsi" w:cstheme="minorHAnsi"/>
                <w:sz w:val="16"/>
                <w:szCs w:val="16"/>
              </w:rPr>
              <w:t>14 (OAMZL); 31 (total cohort of OAL)</w:t>
            </w:r>
          </w:p>
        </w:tc>
        <w:tc>
          <w:tcPr>
            <w:tcW w:w="717"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 xml:space="preserve">Orbit, lacrimal gland, conjunctiva, eyelid, lacrimal drainage apparatus </w:t>
            </w:r>
          </w:p>
        </w:tc>
        <w:tc>
          <w:tcPr>
            <w:tcW w:w="2328" w:type="pct"/>
          </w:tcPr>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18FDG-PET/CT is less sensitive than CT in detecting ocular adnexal lymphoproliferative disease</w:t>
            </w:r>
          </w:p>
        </w:tc>
      </w:tr>
      <w:tr w:rsidR="00120503" w:rsidRPr="00994848" w:rsidTr="00AF2B89">
        <w:tc>
          <w:tcPr>
            <w:tcW w:w="599" w:type="pct"/>
          </w:tcPr>
          <w:p w:rsidR="00120503" w:rsidRPr="00994848" w:rsidRDefault="00120503" w:rsidP="00AF2B89">
            <w:pPr>
              <w:spacing w:line="276" w:lineRule="auto"/>
              <w:rPr>
                <w:rFonts w:asciiTheme="minorHAnsi" w:hAnsiTheme="minorHAnsi" w:cstheme="minorHAnsi"/>
                <w:sz w:val="16"/>
                <w:szCs w:val="16"/>
              </w:rPr>
            </w:pPr>
            <w:proofErr w:type="spellStart"/>
            <w:r w:rsidRPr="00994848">
              <w:rPr>
                <w:rFonts w:asciiTheme="minorHAnsi" w:hAnsiTheme="minorHAnsi" w:cstheme="minorHAnsi"/>
                <w:sz w:val="16"/>
                <w:szCs w:val="16"/>
              </w:rPr>
              <w:t>Thuro</w:t>
            </w:r>
            <w:proofErr w:type="spellEnd"/>
            <w:r w:rsidRPr="00994848">
              <w:rPr>
                <w:rFonts w:asciiTheme="minorHAnsi" w:hAnsiTheme="minorHAnsi" w:cstheme="minorHAnsi"/>
                <w:sz w:val="16"/>
                <w:szCs w:val="16"/>
              </w:rPr>
              <w:t xml:space="preserve"> et al. (2017)</w:t>
            </w:r>
            <w:r>
              <w:rPr>
                <w:rFonts w:asciiTheme="minorHAnsi" w:hAnsiTheme="minorHAnsi" w:cstheme="minorHAnsi"/>
                <w:sz w:val="16"/>
                <w:szCs w:val="16"/>
              </w:rPr>
              <w:t xml:space="preserve"> </w:t>
            </w:r>
            <w:r>
              <w:rPr>
                <w:rFonts w:asciiTheme="minorHAnsi" w:hAnsiTheme="minorHAnsi" w:cstheme="minorHAnsi"/>
                <w:sz w:val="16"/>
                <w:szCs w:val="16"/>
              </w:rPr>
              <w:fldChar w:fldCharType="begin"/>
            </w:r>
            <w:r>
              <w:rPr>
                <w:rFonts w:asciiTheme="minorHAnsi" w:hAnsiTheme="minorHAnsi" w:cstheme="minorHAnsi"/>
                <w:sz w:val="16"/>
                <w:szCs w:val="16"/>
              </w:rPr>
              <w:instrText xml:space="preserve"> ADDIN ZOTERO_ITEM CSL_CITATION {"citationID":"JTL0CFLl","properties":{"formattedCitation":"(28)","plainCitation":"(28)","noteIndex":0},"citationItems":[{"id":277,"uris":["http://zotero.org/users/local/ojY8FCrP/items/ATU9VB9R"],"itemData":{"id":277,"type":"article-journal","abstract":"PURPOSE: The aim of this study was to determine rates of positive findings on positron emission tomography (PET) and bone marrow biopsy performed during staging workup for ocular adnexal lymphoma (OAL).\nMETHODS: A retrospective review of OAL patients was conducted. Demographics, primary versus secondary OAL, histologic subtype, and findings on PET and bone marrow biopsy performed as part of the initial staging workup for OAL were recorded.\nRESULTS: The study included 119 patients with OAL. There were 85 primary and 34 secondary OALs. The main histologic subtypes of lymphoma were mucosa-associated lymphoid tissue (n = 61), follicular (n = 26), diffuse large B-cell (n = 17), and mantle cell (n = 10). Positive PET findings were seen in 42 of 68 patients (62%) with primary OAL and 19 of 24 (79%) with secondary OAL. Positive PET findings were seen in 24 of 47 patients (51%) with mucosa-associated lymphoid tissue, 13 of 17 (76%) with follicular, 14 of 15 (93%) with diffuse large B-cell, and 9 of 10 (90%) with mantle cell lymphoma. Positive findings on bone marrow biopsy were seen in 7 of 59 patients (12%) with mucosa-associated lymphoid tissue, 4 of 23 (17%) with follicular, 1 of 17 (6%) with diffuse large B-cell, and 2 of 9 (22%) with mantle cell lymphoma.\nCONCLUSIONS: Our findings suggest that a significant proportion of patients with primary and secondary OAL have positive findings on PET and bone marrow biopsy at initial diagnosis, suggesting a reasonable yield for these tests as part of the initial staging workup in patients with a new diagnosis of OAL.","container-title":"Ophthalmic Plastic and Reconstructive Surgery","DOI":"10.1097/IOP.0000000000000789","ISSN":"1537-2677","issue":"5","journalAbbreviation":"Ophthalmic Plast Reconstr Surg","language":"eng","note":"PMID: 27636243","page":"355-360","source":"PubMed","title":"Rates of Positive Findings on Positron Emission Tomography and Bone Marrow Biopsy in Patients With Ocular Adnexal Lymphoma","volume":"33","author":[{"family":"Thuro","given":"Bradley A."},{"family":"Ning","given":"Jing"},{"family":"Peng","given":"S. Andrew"},{"family":"Pace","given":"Stanley T."},{"family":"Dudeja","given":"Gagan"},{"family":"Ozgur","given":"Omar"},{"family":"Turturro","given":"Franceso"},{"family":"Samaniego","given":"Felipe"},{"family":"Hagemeister","given":"Fredrick B."},{"family":"Fayad","given":"Luis E."},{"family":"Fowler","given":"Nathan H."},{"family":"Pinnix","given":"Chelsea C."},{"family":"Debnam","given":"J. Matthew"},{"family":"Esmaeli","given":"Bita"}],"issued":{"date-parts":[["2017"]]}}}],"schema":"https://github.com/citation-style-language/schema/raw/master/csl-citation.json"} </w:instrText>
            </w:r>
            <w:r>
              <w:rPr>
                <w:rFonts w:asciiTheme="minorHAnsi" w:hAnsiTheme="minorHAnsi" w:cstheme="minorHAnsi"/>
                <w:sz w:val="16"/>
                <w:szCs w:val="16"/>
              </w:rPr>
              <w:fldChar w:fldCharType="separate"/>
            </w:r>
            <w:r w:rsidRPr="00D14C2B">
              <w:rPr>
                <w:rFonts w:ascii="Calibri" w:hAnsi="Calibri" w:cs="Calibri"/>
                <w:sz w:val="16"/>
              </w:rPr>
              <w:t>(28)</w:t>
            </w:r>
            <w:r>
              <w:rPr>
                <w:rFonts w:asciiTheme="minorHAnsi" w:hAnsiTheme="minorHAnsi" w:cstheme="minorHAnsi"/>
                <w:sz w:val="16"/>
                <w:szCs w:val="16"/>
              </w:rPr>
              <w:fldChar w:fldCharType="end"/>
            </w:r>
          </w:p>
        </w:tc>
        <w:tc>
          <w:tcPr>
            <w:tcW w:w="560"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Retrospective</w:t>
            </w:r>
          </w:p>
        </w:tc>
        <w:tc>
          <w:tcPr>
            <w:tcW w:w="796" w:type="pct"/>
          </w:tcPr>
          <w:p w:rsidR="00120503" w:rsidRPr="00994848" w:rsidRDefault="00120503" w:rsidP="00AF2B89">
            <w:pPr>
              <w:spacing w:line="276" w:lineRule="auto"/>
              <w:jc w:val="left"/>
              <w:rPr>
                <w:rFonts w:asciiTheme="minorHAnsi" w:hAnsiTheme="minorHAnsi" w:cstheme="minorHAnsi"/>
                <w:sz w:val="16"/>
                <w:szCs w:val="16"/>
              </w:rPr>
            </w:pPr>
            <w:r w:rsidRPr="00994848">
              <w:rPr>
                <w:rFonts w:asciiTheme="minorHAnsi" w:hAnsiTheme="minorHAnsi" w:cstheme="minorHAnsi"/>
                <w:sz w:val="16"/>
                <w:szCs w:val="16"/>
              </w:rPr>
              <w:t>61 (OAMZL); 119 (total cohort of OAL)</w:t>
            </w:r>
          </w:p>
        </w:tc>
        <w:tc>
          <w:tcPr>
            <w:tcW w:w="717"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Not specified</w:t>
            </w:r>
          </w:p>
        </w:tc>
        <w:tc>
          <w:tcPr>
            <w:tcW w:w="2328" w:type="pct"/>
          </w:tcPr>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More than one-third of patients with primary OAL had evidence of systemic involvement in 18FDG-PET/CT at initial diagnosis</w:t>
            </w:r>
          </w:p>
        </w:tc>
      </w:tr>
      <w:tr w:rsidR="00120503" w:rsidRPr="00994848" w:rsidTr="00AF2B89">
        <w:tc>
          <w:tcPr>
            <w:tcW w:w="599" w:type="pct"/>
          </w:tcPr>
          <w:p w:rsidR="00120503" w:rsidRPr="00994848" w:rsidRDefault="00120503" w:rsidP="00AF2B89">
            <w:pPr>
              <w:spacing w:line="276" w:lineRule="auto"/>
              <w:rPr>
                <w:rFonts w:asciiTheme="minorHAnsi" w:hAnsiTheme="minorHAnsi" w:cstheme="minorHAnsi"/>
                <w:sz w:val="16"/>
                <w:szCs w:val="16"/>
              </w:rPr>
            </w:pPr>
            <w:proofErr w:type="spellStart"/>
            <w:r>
              <w:rPr>
                <w:rFonts w:asciiTheme="minorHAnsi" w:hAnsiTheme="minorHAnsi" w:cstheme="minorHAnsi"/>
                <w:sz w:val="16"/>
                <w:szCs w:val="16"/>
              </w:rPr>
              <w:t>Fujii</w:t>
            </w:r>
            <w:proofErr w:type="spellEnd"/>
            <w:r w:rsidRPr="00994848">
              <w:rPr>
                <w:rFonts w:asciiTheme="minorHAnsi" w:hAnsiTheme="minorHAnsi" w:cstheme="minorHAnsi"/>
                <w:sz w:val="16"/>
                <w:szCs w:val="16"/>
              </w:rPr>
              <w:t xml:space="preserve"> et al. (2018)</w:t>
            </w:r>
            <w:r>
              <w:rPr>
                <w:rFonts w:asciiTheme="minorHAnsi" w:hAnsiTheme="minorHAnsi" w:cstheme="minorHAnsi"/>
                <w:sz w:val="16"/>
                <w:szCs w:val="16"/>
              </w:rPr>
              <w:t xml:space="preserve"> </w:t>
            </w:r>
            <w:r>
              <w:rPr>
                <w:rFonts w:asciiTheme="minorHAnsi" w:hAnsiTheme="minorHAnsi" w:cstheme="minorHAnsi"/>
                <w:sz w:val="16"/>
                <w:szCs w:val="16"/>
              </w:rPr>
              <w:fldChar w:fldCharType="begin"/>
            </w:r>
            <w:r>
              <w:rPr>
                <w:rFonts w:asciiTheme="minorHAnsi" w:hAnsiTheme="minorHAnsi" w:cstheme="minorHAnsi"/>
                <w:sz w:val="16"/>
                <w:szCs w:val="16"/>
              </w:rPr>
              <w:instrText xml:space="preserve"> ADDIN ZOTERO_ITEM CSL_CITATION {"citationID":"PM3HF7cz","properties":{"formattedCitation":"(29)","plainCitation":"(29)","noteIndex":0},"citationItems":[{"id":279,"uris":["http://zotero.org/users/local/ojY8FCrP/items/65C9Y5II"],"itemData":{"id":279,"type":"article-journal","abstract":"The purpose of this study was to investigate the efficacy of F-fluoro-deoxyglucose (FDG) positron emission tomography/computed tomography (PET/CT) for evaluating the ocular adnexal lymphoma treatment responses.We retrospectively reviewed data for 9 histologically confirmed cases of malignant lymphoma. All patients had at least one ocular adnexal tumor site and underwent FDG PET/CT before and after treatment. Patients' histological disease subtypes included diffuse large B-cell lymphoma (n = 3), mucosa-associated lymphoid tissue lymphoma (n = 2), follicular lymphoma (n = 1), NK/T-cell lymphoma (n = 1), lymphoplasmacytic lymphoma (n = 1), and Hodgkin lymphoma (n = 1). The highest FDG uptake by the ocular adnexal lesions was calculated as the maximum standardized uptake value (SUVmax). FDG uptake at ocular adnexal sites and sites of systemic disease after treatment were also assessed using the 5-point Deauville scale.In 1 of the 9 patients, a conjunctival lesion could not be detected by either pre- or posttreatment PET/CT. For 8 of the 9 patients, the SUVmax value at the ocular adnexal site significantly decreased after treatment (7.1 ± 5.1 vs 1.6 ± 0.58; P = .0196). For 7 of the 9 patients, the first posttreatment FDG uptake at the ocular adnexal site was considered a complete metabolic response, and these patients showed an improved clinical ophthalmic presentation with no relapse at ocular adnexal sites during follow-up.FDG PET/CT is useful for evaluation of the response of ocular adnexal lymphoma to treatment, although its usefulness may depend on the histological subtype and site of the lesion.","container-title":"Medicine","DOI":"10.1097/MD.0000000000010543","ISSN":"1536-5964","issue":"17","journalAbbreviation":"Medicine (Baltimore)","language":"eng","note":"PMID: 29703034\nPMCID: PMC5944548","page":"e0543","source":"PubMed","title":"Usefulness of 18F-FDG PET/CT for evaluating response of ocular adnexal lymphoma to treatment","volume":"97","author":[{"family":"Fujii","given":"Hayahiko"},{"family":"Tanaka","given":"Hiroaki"},{"family":"Nomoto","given":"Yohei"},{"family":"Harata","given":"Naoki"},{"family":"Oota","given":"Sayako"},{"family":"Isogai","given":"Jun"},{"family":"Yoshida","given":"Katsuya"}],"issued":{"date-parts":[["2018",4]]}}}],"schema":"https://github.com/citation-style-language/schema/raw/master/csl-citation.json"} </w:instrText>
            </w:r>
            <w:r>
              <w:rPr>
                <w:rFonts w:asciiTheme="minorHAnsi" w:hAnsiTheme="minorHAnsi" w:cstheme="minorHAnsi"/>
                <w:sz w:val="16"/>
                <w:szCs w:val="16"/>
              </w:rPr>
              <w:fldChar w:fldCharType="separate"/>
            </w:r>
            <w:r w:rsidRPr="00D14C2B">
              <w:rPr>
                <w:rFonts w:ascii="Calibri" w:hAnsi="Calibri" w:cs="Calibri"/>
                <w:sz w:val="16"/>
              </w:rPr>
              <w:t>(29)</w:t>
            </w:r>
            <w:r>
              <w:rPr>
                <w:rFonts w:asciiTheme="minorHAnsi" w:hAnsiTheme="minorHAnsi" w:cstheme="minorHAnsi"/>
                <w:sz w:val="16"/>
                <w:szCs w:val="16"/>
              </w:rPr>
              <w:fldChar w:fldCharType="end"/>
            </w:r>
          </w:p>
        </w:tc>
        <w:tc>
          <w:tcPr>
            <w:tcW w:w="560"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Retrospective</w:t>
            </w:r>
          </w:p>
        </w:tc>
        <w:tc>
          <w:tcPr>
            <w:tcW w:w="796" w:type="pct"/>
          </w:tcPr>
          <w:p w:rsidR="00120503" w:rsidRPr="00994848" w:rsidRDefault="00120503" w:rsidP="00AF2B89">
            <w:pPr>
              <w:spacing w:line="276" w:lineRule="auto"/>
              <w:jc w:val="left"/>
              <w:rPr>
                <w:rFonts w:asciiTheme="minorHAnsi" w:hAnsiTheme="minorHAnsi" w:cstheme="minorHAnsi"/>
                <w:sz w:val="16"/>
                <w:szCs w:val="16"/>
              </w:rPr>
            </w:pPr>
            <w:r w:rsidRPr="00994848">
              <w:rPr>
                <w:rFonts w:asciiTheme="minorHAnsi" w:hAnsiTheme="minorHAnsi" w:cstheme="minorHAnsi"/>
                <w:sz w:val="16"/>
                <w:szCs w:val="16"/>
              </w:rPr>
              <w:t>2 (OAMZL); 9 (total cohort of OAMZL)</w:t>
            </w:r>
          </w:p>
        </w:tc>
        <w:tc>
          <w:tcPr>
            <w:tcW w:w="717"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 xml:space="preserve">Orbit, conjunctiva </w:t>
            </w:r>
          </w:p>
        </w:tc>
        <w:tc>
          <w:tcPr>
            <w:tcW w:w="2328" w:type="pct"/>
          </w:tcPr>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Patient with orbital OAMZL had a downtrend in post-treatment 18FDG-PET/CT metabolic score after treatment, while the patient with conjunctiva OAMZL could not be detected by 18FDG-PET/CT</w:t>
            </w:r>
          </w:p>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18FDG-PET/CT is useful for evaluating the response of OAL to treatment (surgery, radiotherapy and chemotherapy)</w:t>
            </w:r>
          </w:p>
        </w:tc>
      </w:tr>
      <w:tr w:rsidR="00120503" w:rsidRPr="00994848" w:rsidTr="00AF2B89">
        <w:tc>
          <w:tcPr>
            <w:tcW w:w="599"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Park et al. (2019)</w:t>
            </w:r>
            <w:r>
              <w:rPr>
                <w:rFonts w:asciiTheme="minorHAnsi" w:hAnsiTheme="minorHAnsi" w:cstheme="minorHAnsi"/>
                <w:sz w:val="16"/>
                <w:szCs w:val="16"/>
              </w:rPr>
              <w:t xml:space="preserve"> </w:t>
            </w:r>
            <w:r>
              <w:rPr>
                <w:rFonts w:asciiTheme="minorHAnsi" w:hAnsiTheme="minorHAnsi" w:cstheme="minorHAnsi"/>
                <w:sz w:val="16"/>
                <w:szCs w:val="16"/>
              </w:rPr>
              <w:fldChar w:fldCharType="begin"/>
            </w:r>
            <w:r>
              <w:rPr>
                <w:rFonts w:asciiTheme="minorHAnsi" w:hAnsiTheme="minorHAnsi" w:cstheme="minorHAnsi"/>
                <w:sz w:val="16"/>
                <w:szCs w:val="16"/>
              </w:rPr>
              <w:instrText xml:space="preserve"> ADDIN ZOTERO_ITEM CSL_CITATION {"citationID":"yC6aNqDR","properties":{"formattedCitation":"(3)","plainCitation":"(3)","noteIndex":0},"citationItems":[{"id":214,"uris":["http://zotero.org/users/local/ojY8FCrP/items/YJ4T22T2"],"itemData":{"id":214,"type":"article-journal","abstract":"Despite the widespread use of F-18 fluorodeoxyglucose positron emission tomography/computed tomography (FDG PET/CT) in the diagnosis and response assessment of patients with lymphoma, few studies have assessed its value in ocular adnexal lymphomas. The purpose of this study was to evaluate the role of FDG PET/CT in staging of non-conjunctival origin ocular adnexal mucosa-associated lymphoid tissue (MALT) lymphomas (OAML). In addition, the diagnostic sensitivity of FDG PET/CT was compared with magnetic resonance imaging (MRI). FDG PET/CT of 123 consecutive patients with pathologically proven OAML between January 2009 and February 2016 were retrospectively reviewed. The patients with MALT lymphoma originating from conjunctiva were excluded. A total 50 patients with non-conjunctival origin OAML were assessed. Maximum standardized uptake value (SUVmax) and additional PET parameters were measured for all lesions. Sensitivity for primary tumor detection was compared with MRI.","container-title":"EJNMMI Research","DOI":"10.1186/s13550-019-0562-1","ISSN":"2191-219X","issue":"1","journalAbbreviation":"EJNMMI Research","page":"99","source":"BioMed Central","title":"Role of F-18 FDG PET/CT in non-conjunctival origin ocular adnexal mucosa-associated lymphoid tissue (MALT) lymphomas","volume":"9","author":[{"family":"Park","given":"Hye Lim"},{"family":"O","given":"Joo Hyun"},{"family":"Park","given":"Sonya Youngju"},{"family":"Jung","given":"Seung-Eun"},{"family":"Park","given":"Gyeongsin"},{"family":"Choi","given":"Byung-Ock"},{"family":"Kim","given":"Sung Hoon"},{"family":"Jeon","given":"Young-Woo"},{"family":"Cho","given":"Seok-Goo"},{"family":"Yang","given":"Suk-Woo"},{"literal":"On behalf of Catholic University Lymphoma Group"}],"issued":{"date-parts":[["2019",11,21]]}}}],"schema":"https://github.com/citation-style-language/schema/raw/master/csl-citation.json"} </w:instrText>
            </w:r>
            <w:r>
              <w:rPr>
                <w:rFonts w:asciiTheme="minorHAnsi" w:hAnsiTheme="minorHAnsi" w:cstheme="minorHAnsi"/>
                <w:sz w:val="16"/>
                <w:szCs w:val="16"/>
              </w:rPr>
              <w:fldChar w:fldCharType="separate"/>
            </w:r>
            <w:r w:rsidRPr="00D14C2B">
              <w:rPr>
                <w:rFonts w:ascii="Calibri" w:hAnsi="Calibri" w:cs="Calibri"/>
                <w:sz w:val="16"/>
              </w:rPr>
              <w:t>(3)</w:t>
            </w:r>
            <w:r>
              <w:rPr>
                <w:rFonts w:asciiTheme="minorHAnsi" w:hAnsiTheme="minorHAnsi" w:cstheme="minorHAnsi"/>
                <w:sz w:val="16"/>
                <w:szCs w:val="16"/>
              </w:rPr>
              <w:fldChar w:fldCharType="end"/>
            </w:r>
          </w:p>
        </w:tc>
        <w:tc>
          <w:tcPr>
            <w:tcW w:w="560"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Retrospective</w:t>
            </w:r>
          </w:p>
        </w:tc>
        <w:tc>
          <w:tcPr>
            <w:tcW w:w="796" w:type="pct"/>
          </w:tcPr>
          <w:p w:rsidR="00120503" w:rsidRPr="00994848" w:rsidRDefault="00120503" w:rsidP="00AF2B89">
            <w:pPr>
              <w:spacing w:line="276" w:lineRule="auto"/>
              <w:jc w:val="left"/>
              <w:rPr>
                <w:rFonts w:asciiTheme="minorHAnsi" w:hAnsiTheme="minorHAnsi" w:cstheme="minorHAnsi"/>
                <w:sz w:val="16"/>
                <w:szCs w:val="16"/>
              </w:rPr>
            </w:pPr>
            <w:r w:rsidRPr="00994848">
              <w:rPr>
                <w:rFonts w:asciiTheme="minorHAnsi" w:hAnsiTheme="minorHAnsi" w:cstheme="minorHAnsi"/>
                <w:sz w:val="16"/>
                <w:szCs w:val="16"/>
              </w:rPr>
              <w:t>50 (non-conjunctival OAMZL); 123 (total cohort of OAMZL)</w:t>
            </w:r>
          </w:p>
        </w:tc>
        <w:tc>
          <w:tcPr>
            <w:tcW w:w="717"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Orbit, lacrimal gland, eyelid</w:t>
            </w:r>
          </w:p>
        </w:tc>
        <w:tc>
          <w:tcPr>
            <w:tcW w:w="2328" w:type="pct"/>
          </w:tcPr>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 xml:space="preserve">50 out of 60 (83.3%) non-conjunctival OAMZL lesions were FDG-avid with mean </w:t>
            </w:r>
            <w:r w:rsidRPr="00994848">
              <w:rPr>
                <w:rFonts w:asciiTheme="minorHAnsi" w:hAnsiTheme="minorHAnsi" w:cstheme="minorHAnsi"/>
                <w:sz w:val="16"/>
                <w:szCs w:val="16"/>
                <w:shd w:val="clear" w:color="auto" w:fill="FFFFFF"/>
              </w:rPr>
              <w:t>± standard deviation SUVmax of 4.8 ± 2.4 (range, 2.0-11.1)</w:t>
            </w:r>
          </w:p>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Mean SUVmax of orbit was significantly higher than that of lacrimal gland or eyelid</w:t>
            </w:r>
          </w:p>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 xml:space="preserve">14% of primary OAMZL patients had extra-ocular involvement detected by 18FDG-PET/CT and were upstaged to stage IIE or IVE, suggesting that 18FDG-PET/CT should be performed for staging of non-conjunctival origin OAMZL to guide treatment </w:t>
            </w:r>
          </w:p>
        </w:tc>
      </w:tr>
      <w:tr w:rsidR="00120503" w:rsidRPr="00994848" w:rsidTr="00AF2B89">
        <w:tc>
          <w:tcPr>
            <w:tcW w:w="599"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Wang et al. (2022)</w:t>
            </w:r>
            <w:r>
              <w:rPr>
                <w:rFonts w:asciiTheme="minorHAnsi" w:hAnsiTheme="minorHAnsi" w:cstheme="minorHAnsi"/>
                <w:sz w:val="16"/>
                <w:szCs w:val="16"/>
              </w:rPr>
              <w:t xml:space="preserve"> </w:t>
            </w:r>
            <w:r>
              <w:rPr>
                <w:rFonts w:asciiTheme="minorHAnsi" w:hAnsiTheme="minorHAnsi" w:cstheme="minorHAnsi"/>
                <w:sz w:val="16"/>
                <w:szCs w:val="16"/>
              </w:rPr>
              <w:fldChar w:fldCharType="begin"/>
            </w:r>
            <w:r>
              <w:rPr>
                <w:rFonts w:asciiTheme="minorHAnsi" w:hAnsiTheme="minorHAnsi" w:cstheme="minorHAnsi"/>
                <w:sz w:val="16"/>
                <w:szCs w:val="16"/>
              </w:rPr>
              <w:instrText xml:space="preserve"> ADDIN ZOTERO_ITEM CSL_CITATION {"citationID":"xRsLqAAH","properties":{"formattedCitation":"(24)","plainCitation":"(24)","noteIndex":0},"citationItems":[{"id":269,"uris":["http://zotero.org/users/local/ojY8FCrP/items/TDBQVPGT"],"itemData":{"id":269,"type":"article-journal","abstract":"OBJECTIVE: The purpose of this study is to evaluate the value of fluorine-18-fludeoxyglucose positron emission tomography (18F-FDG PET)/CT in the diagnosis and treatment evaluation of ocular adnexal mucosa-associated lymphoid tissue (MALT) lymphoma.\nMETHODS: 70 patients with OAML who received radiotherapy were recruited in our study. All the patients had the 18F-FDG PET/CT examination before the treatment. We retrospectively reviewed the medical records, pathological reports, laboratory results, and imaging features of all patients. The associations between 18F-FDG PET/CT parameters and Epstein-Barr virus antibodies, treatment response, MRI data, and Ki-67 expression were investigated.\nRESULTS: The PET/CT scan indicated that 80% (56/70) of the patients showed orbital FDG avidity. The median level of maximum standardized uptake value (SUVmax) of the lesions was 4.65 ± 3.00 (range:1.2-13.5). 92.0% (46/50) of the mass-forming lesions showed 18F-FDG avidity, while only 50.0% (10/20) of the non-massive lesions had 18F-FDG avidity (χ2 = 13.23, p=0.01). The SUVmax in orbit, conjunctiva, and lacrimal gland lymphoma were 5.6, 2.9, and 3.7, respectively. A significant difference was identified of SUVmax among the three locations' lymphoma using one-way ANOVA analysis (F = 5.039, p = 0.01). After completion of radiotherapy, the complete remission rate was achieved in 30.8% (4/13) of the patients without 18F-FDG avidity, and 70.4% (38/54) in cases with 18F-FDG avidity (χ2 = 5.43, p = 0.02). The correlation between high Ki-67 score and 18F-FDG avidity was confirmed (χ2 = 3.916, p = 0.048); however, no significant correlation was found between the SUVmax and Ki-67 score of the lesions (p = 0.971). Three patients (3/70, 4.3%) were upregulated the stage via PET/CT.\nCONCLUSION: 18F-FDG PET/CT had some potential values in the diagnosis and assessment of treatment response in patients with OAML.\nADVANCES IN KNOWLEDGE: The value of 18F-FDG PET/CT for patients with OAML.","container-title":"The British Journal of Radiology","DOI":"10.1259/bjr.20210635","ISSN":"1748-880X","issue":"1130","journalAbbreviation":"Br J Radiol","language":"eng","note":"PMID: 34919440\nPMCID: PMC8822575","page":"20210635","source":"PubMed","title":"The role of 18F-FDG PET/CT in diagnosis and treatment evaluation for ocular adnexal mucosa-associated lymphoid tissue lymphoma","volume":"95","author":[{"family":"Wang","given":"Weifang"},{"family":"Ni","given":"Xiaochen"},{"family":"Tang","given":"Tianci"},{"family":"Wang","given":"Jie"},{"family":"Li","given":"Yi"},{"family":"Song","given":"Xinmao"}],"issued":{"date-parts":[["2022",2,1]]}}}],"schema":"https://github.com/citation-style-language/schema/raw/master/csl-citation.json"} </w:instrText>
            </w:r>
            <w:r>
              <w:rPr>
                <w:rFonts w:asciiTheme="minorHAnsi" w:hAnsiTheme="minorHAnsi" w:cstheme="minorHAnsi"/>
                <w:sz w:val="16"/>
                <w:szCs w:val="16"/>
              </w:rPr>
              <w:fldChar w:fldCharType="separate"/>
            </w:r>
            <w:r w:rsidRPr="00D14C2B">
              <w:rPr>
                <w:rFonts w:ascii="Calibri" w:hAnsi="Calibri" w:cs="Calibri"/>
                <w:sz w:val="16"/>
              </w:rPr>
              <w:t>(24)</w:t>
            </w:r>
            <w:r>
              <w:rPr>
                <w:rFonts w:asciiTheme="minorHAnsi" w:hAnsiTheme="minorHAnsi" w:cstheme="minorHAnsi"/>
                <w:sz w:val="16"/>
                <w:szCs w:val="16"/>
              </w:rPr>
              <w:fldChar w:fldCharType="end"/>
            </w:r>
          </w:p>
        </w:tc>
        <w:tc>
          <w:tcPr>
            <w:tcW w:w="560"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Retrospective</w:t>
            </w:r>
          </w:p>
        </w:tc>
        <w:tc>
          <w:tcPr>
            <w:tcW w:w="796"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70</w:t>
            </w:r>
          </w:p>
        </w:tc>
        <w:tc>
          <w:tcPr>
            <w:tcW w:w="717" w:type="pct"/>
          </w:tcPr>
          <w:p w:rsidR="00120503" w:rsidRPr="00994848" w:rsidRDefault="00120503" w:rsidP="00AF2B89">
            <w:pPr>
              <w:spacing w:line="276" w:lineRule="auto"/>
              <w:rPr>
                <w:rFonts w:asciiTheme="minorHAnsi" w:hAnsiTheme="minorHAnsi" w:cstheme="minorHAnsi"/>
                <w:sz w:val="16"/>
                <w:szCs w:val="16"/>
              </w:rPr>
            </w:pPr>
            <w:r w:rsidRPr="00994848">
              <w:rPr>
                <w:rFonts w:asciiTheme="minorHAnsi" w:hAnsiTheme="minorHAnsi" w:cstheme="minorHAnsi"/>
                <w:sz w:val="16"/>
                <w:szCs w:val="16"/>
              </w:rPr>
              <w:t>Orbit, lacrimal gland, conjunctiva</w:t>
            </w:r>
          </w:p>
        </w:tc>
        <w:tc>
          <w:tcPr>
            <w:tcW w:w="2328" w:type="pct"/>
          </w:tcPr>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 xml:space="preserve">80% of the OAMZL patients were FDG-avid with a median SUVmax level of 4.65 </w:t>
            </w:r>
            <w:r w:rsidRPr="00994848">
              <w:rPr>
                <w:rFonts w:asciiTheme="minorHAnsi" w:hAnsiTheme="minorHAnsi" w:cstheme="minorHAnsi"/>
                <w:sz w:val="16"/>
                <w:szCs w:val="16"/>
                <w:shd w:val="clear" w:color="auto" w:fill="FFFFFF"/>
              </w:rPr>
              <w:t>± 3.00</w:t>
            </w:r>
          </w:p>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92.0% of the mass forming lesions showed FDG-avidity, while only 50.0% of the non-massive lesions had FDG-avidity</w:t>
            </w:r>
          </w:p>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FDG-avidity was correlated with high Ki-67 score (&gt;15%) in OAMZL, however, SUVmax was not correlated with the Ki-67 score</w:t>
            </w:r>
          </w:p>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 xml:space="preserve">SUVmax of OAMZL orbit masses were significant elevated as compared to those of the conjunctiva and lacrimal gland </w:t>
            </w:r>
          </w:p>
          <w:p w:rsidR="00120503" w:rsidRPr="00994848" w:rsidRDefault="00120503" w:rsidP="00120503">
            <w:pPr>
              <w:pStyle w:val="ListParagraph"/>
              <w:numPr>
                <w:ilvl w:val="0"/>
                <w:numId w:val="1"/>
              </w:numPr>
              <w:spacing w:line="276" w:lineRule="auto"/>
              <w:rPr>
                <w:rFonts w:asciiTheme="minorHAnsi" w:hAnsiTheme="minorHAnsi" w:cstheme="minorHAnsi"/>
                <w:sz w:val="16"/>
                <w:szCs w:val="16"/>
              </w:rPr>
            </w:pPr>
            <w:r w:rsidRPr="00994848">
              <w:rPr>
                <w:rFonts w:asciiTheme="minorHAnsi" w:hAnsiTheme="minorHAnsi" w:cstheme="minorHAnsi"/>
                <w:sz w:val="16"/>
                <w:szCs w:val="16"/>
              </w:rPr>
              <w:t xml:space="preserve">FDG-avid OAMZL cases were more likely to achieve complete remission (CR) (70.4% achieved CR) as compared to non-FDG-avid cases (30.8% achieved CR), while SUVmax was not correlated with </w:t>
            </w:r>
            <w:proofErr w:type="spellStart"/>
            <w:r w:rsidRPr="00994848">
              <w:rPr>
                <w:rFonts w:asciiTheme="minorHAnsi" w:hAnsiTheme="minorHAnsi" w:cstheme="minorHAnsi"/>
                <w:sz w:val="16"/>
                <w:szCs w:val="16"/>
              </w:rPr>
              <w:t>tumour</w:t>
            </w:r>
            <w:proofErr w:type="spellEnd"/>
            <w:r w:rsidRPr="00994848">
              <w:rPr>
                <w:rFonts w:asciiTheme="minorHAnsi" w:hAnsiTheme="minorHAnsi" w:cstheme="minorHAnsi"/>
                <w:sz w:val="16"/>
                <w:szCs w:val="16"/>
              </w:rPr>
              <w:t xml:space="preserve"> remission rate</w:t>
            </w:r>
          </w:p>
        </w:tc>
      </w:tr>
    </w:tbl>
    <w:p w:rsidR="00AD6EDE" w:rsidRDefault="00AD6EDE">
      <w:bookmarkStart w:id="0" w:name="_GoBack"/>
      <w:bookmarkEnd w:id="0"/>
    </w:p>
    <w:sectPr w:rsidR="00AD6E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B81C19"/>
    <w:multiLevelType w:val="hybridMultilevel"/>
    <w:tmpl w:val="1F2A0F46"/>
    <w:lvl w:ilvl="0" w:tplc="072EB9DE">
      <w:start w:val="26"/>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503"/>
    <w:rsid w:val="00120503"/>
    <w:rsid w:val="00AD6EDE"/>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FFF4EE-57CD-48A4-9340-DA6CF2DAC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0503"/>
    <w:pPr>
      <w:suppressAutoHyphens/>
      <w:spacing w:after="0" w:line="480" w:lineRule="auto"/>
      <w:jc w:val="both"/>
    </w:pPr>
    <w:rPr>
      <w:rFonts w:ascii="Times New Roman" w:eastAsia="Times New Roman" w:hAnsi="Times New Roman" w:cs="Times New Roman"/>
      <w:sz w:val="24"/>
      <w:szCs w:val="24"/>
      <w:lang w:val="en-U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0503"/>
    <w:pPr>
      <w:ind w:left="720"/>
      <w:contextualSpacing/>
    </w:pPr>
  </w:style>
  <w:style w:type="table" w:styleId="TableGrid">
    <w:name w:val="Table Grid"/>
    <w:basedOn w:val="TableNormal"/>
    <w:uiPriority w:val="39"/>
    <w:rsid w:val="00120503"/>
    <w:pPr>
      <w:spacing w:after="0" w:line="240" w:lineRule="auto"/>
    </w:pPr>
    <w:rPr>
      <w:rFonts w:eastAsiaTheme="minorHAns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3284</Words>
  <Characters>18722</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2025-05-06T05:55:00Z</dcterms:created>
  <dcterms:modified xsi:type="dcterms:W3CDTF">2025-05-06T05:55:00Z</dcterms:modified>
</cp:coreProperties>
</file>