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57999" w14:textId="77777777" w:rsidR="00E87A07" w:rsidRDefault="00E87A07" w:rsidP="00E87A07">
      <w:pPr>
        <w:spacing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1F825003" wp14:editId="65444C4B">
            <wp:extent cx="5274310" cy="5474335"/>
            <wp:effectExtent l="0" t="0" r="2540" b="0"/>
            <wp:docPr id="15" name="图片 15" descr="电脑萤幕画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电脑萤幕画面&#10;&#10;中度可信度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E61FB" w14:textId="35F1D872" w:rsidR="00A02F33" w:rsidRPr="00E87A07" w:rsidRDefault="00E87A07" w:rsidP="00E87A07">
      <w:pPr>
        <w:spacing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B67E08">
        <w:rPr>
          <w:rFonts w:ascii="Times New Roman" w:hAnsi="Times New Roman" w:cs="Times New Roman"/>
          <w:sz w:val="21"/>
          <w:szCs w:val="21"/>
        </w:rPr>
        <w:t>Fig</w:t>
      </w:r>
      <w:r w:rsidR="001F7CD7">
        <w:rPr>
          <w:rFonts w:ascii="Times New Roman" w:hAnsi="Times New Roman" w:cs="Times New Roman" w:hint="eastAsia"/>
          <w:sz w:val="21"/>
          <w:szCs w:val="21"/>
        </w:rPr>
        <w:t>.</w:t>
      </w:r>
      <w:r w:rsidRPr="00B67E08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S3</w:t>
      </w:r>
      <w:r w:rsidRPr="00B67E08">
        <w:rPr>
          <w:rFonts w:ascii="Times New Roman" w:hAnsi="Times New Roman" w:cs="Times New Roman"/>
          <w:sz w:val="21"/>
          <w:szCs w:val="21"/>
        </w:rPr>
        <w:t xml:space="preserve">. </w:t>
      </w:r>
      <w:r w:rsidRPr="00B979A9">
        <w:rPr>
          <w:rFonts w:ascii="Times New Roman" w:hAnsi="Times New Roman" w:cs="Times New Roman" w:hint="eastAsia"/>
          <w:sz w:val="21"/>
          <w:szCs w:val="21"/>
        </w:rPr>
        <w:t xml:space="preserve">Construction of 3 'UTR vectors for </w:t>
      </w:r>
      <w:r w:rsidRPr="00695B2C">
        <w:rPr>
          <w:rFonts w:ascii="Times New Roman" w:hAnsi="Times New Roman" w:cs="Times New Roman" w:hint="eastAsia"/>
          <w:i/>
          <w:iCs/>
          <w:sz w:val="21"/>
          <w:szCs w:val="21"/>
        </w:rPr>
        <w:t>E2F2</w:t>
      </w:r>
      <w:r w:rsidRPr="00B979A9">
        <w:rPr>
          <w:rFonts w:ascii="Times New Roman" w:hAnsi="Times New Roman" w:cs="Times New Roman" w:hint="eastAsia"/>
          <w:sz w:val="21"/>
          <w:szCs w:val="21"/>
        </w:rPr>
        <w:t xml:space="preserve"> and </w:t>
      </w:r>
      <w:r w:rsidRPr="00695B2C">
        <w:rPr>
          <w:rFonts w:ascii="Times New Roman" w:hAnsi="Times New Roman" w:cs="Times New Roman" w:hint="eastAsia"/>
          <w:i/>
          <w:iCs/>
          <w:sz w:val="21"/>
          <w:szCs w:val="21"/>
        </w:rPr>
        <w:t>MYBL2</w:t>
      </w:r>
      <w:r>
        <w:rPr>
          <w:rFonts w:ascii="Times New Roman" w:hAnsi="Times New Roman" w:cs="Times New Roman" w:hint="eastAsia"/>
          <w:sz w:val="21"/>
          <w:szCs w:val="21"/>
        </w:rPr>
        <w:t xml:space="preserve">. </w:t>
      </w:r>
      <w:r w:rsidR="001F7CD7">
        <w:rPr>
          <w:rFonts w:ascii="Times New Roman" w:hAnsi="Times New Roman" w:cs="Times New Roman" w:hint="eastAsia"/>
          <w:sz w:val="21"/>
          <w:szCs w:val="21"/>
        </w:rPr>
        <w:t>(</w:t>
      </w:r>
      <w:r w:rsidRPr="001F7CD7">
        <w:rPr>
          <w:rFonts w:ascii="Times New Roman" w:hAnsi="Times New Roman" w:cs="Times New Roman" w:hint="eastAsia"/>
          <w:b/>
          <w:bCs/>
          <w:sz w:val="21"/>
          <w:szCs w:val="21"/>
        </w:rPr>
        <w:t>A</w:t>
      </w:r>
      <w:r>
        <w:rPr>
          <w:rFonts w:ascii="Times New Roman" w:hAnsi="Times New Roman" w:cs="Times New Roman" w:hint="eastAsia"/>
          <w:sz w:val="21"/>
          <w:szCs w:val="21"/>
        </w:rPr>
        <w:t xml:space="preserve">) </w:t>
      </w:r>
      <w:r w:rsidRPr="00695B2C">
        <w:rPr>
          <w:rFonts w:ascii="Times New Roman" w:hAnsi="Times New Roman" w:cs="Times New Roman" w:hint="eastAsia"/>
          <w:i/>
          <w:iCs/>
          <w:sz w:val="21"/>
          <w:szCs w:val="21"/>
        </w:rPr>
        <w:t>E2F2</w:t>
      </w:r>
      <w:r w:rsidRPr="00B979A9">
        <w:rPr>
          <w:rFonts w:ascii="Times New Roman" w:hAnsi="Times New Roman" w:cs="Times New Roman" w:hint="eastAsia"/>
          <w:sz w:val="21"/>
          <w:szCs w:val="21"/>
        </w:rPr>
        <w:t xml:space="preserve"> vector double enzyme digestion and target sequencing results</w:t>
      </w:r>
      <w:r>
        <w:rPr>
          <w:rFonts w:ascii="Times New Roman" w:hAnsi="Times New Roman" w:cs="Times New Roman" w:hint="eastAsia"/>
          <w:sz w:val="21"/>
          <w:szCs w:val="21"/>
        </w:rPr>
        <w:t xml:space="preserve">. </w:t>
      </w:r>
      <w:r w:rsidR="001F7CD7">
        <w:rPr>
          <w:rFonts w:ascii="Times New Roman" w:hAnsi="Times New Roman" w:cs="Times New Roman" w:hint="eastAsia"/>
          <w:sz w:val="21"/>
          <w:szCs w:val="21"/>
        </w:rPr>
        <w:t>(</w:t>
      </w:r>
      <w:r w:rsidRPr="001F7CD7">
        <w:rPr>
          <w:rFonts w:ascii="Times New Roman" w:hAnsi="Times New Roman" w:cs="Times New Roman" w:hint="eastAsia"/>
          <w:b/>
          <w:bCs/>
          <w:sz w:val="21"/>
          <w:szCs w:val="21"/>
        </w:rPr>
        <w:t>B</w:t>
      </w:r>
      <w:r>
        <w:rPr>
          <w:rFonts w:ascii="Times New Roman" w:hAnsi="Times New Roman" w:cs="Times New Roman" w:hint="eastAsia"/>
          <w:sz w:val="21"/>
          <w:szCs w:val="21"/>
        </w:rPr>
        <w:t xml:space="preserve">) </w:t>
      </w:r>
      <w:r w:rsidRPr="00695B2C">
        <w:rPr>
          <w:rFonts w:ascii="Times New Roman" w:hAnsi="Times New Roman" w:cs="Times New Roman" w:hint="eastAsia"/>
          <w:i/>
          <w:iCs/>
          <w:sz w:val="21"/>
          <w:szCs w:val="21"/>
        </w:rPr>
        <w:t>MYBL2</w:t>
      </w:r>
      <w:r w:rsidRPr="00B979A9">
        <w:rPr>
          <w:rFonts w:ascii="Times New Roman" w:hAnsi="Times New Roman" w:cs="Times New Roman" w:hint="eastAsia"/>
          <w:sz w:val="21"/>
          <w:szCs w:val="21"/>
        </w:rPr>
        <w:t xml:space="preserve"> vector double enzyme digestion and target sequencing results</w:t>
      </w:r>
      <w:r>
        <w:rPr>
          <w:rFonts w:ascii="Times New Roman" w:hAnsi="Times New Roman" w:cs="Times New Roman" w:hint="eastAsia"/>
          <w:sz w:val="21"/>
          <w:szCs w:val="21"/>
        </w:rPr>
        <w:t>.</w:t>
      </w:r>
    </w:p>
    <w:sectPr w:rsidR="00A02F33" w:rsidRPr="00E87A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7B26A" w14:textId="77777777" w:rsidR="00F403FF" w:rsidRDefault="00F403FF" w:rsidP="00E87A07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84B0A62" w14:textId="77777777" w:rsidR="00F403FF" w:rsidRDefault="00F403FF" w:rsidP="00E87A07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35456" w14:textId="77777777" w:rsidR="00F403FF" w:rsidRDefault="00F403FF" w:rsidP="00E87A07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959DFD3" w14:textId="77777777" w:rsidR="00F403FF" w:rsidRDefault="00F403FF" w:rsidP="00E87A07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DAB"/>
    <w:rsid w:val="001F7CD7"/>
    <w:rsid w:val="002D1358"/>
    <w:rsid w:val="00303DAB"/>
    <w:rsid w:val="00695E9A"/>
    <w:rsid w:val="00780637"/>
    <w:rsid w:val="0081208D"/>
    <w:rsid w:val="00840D1C"/>
    <w:rsid w:val="00A02F33"/>
    <w:rsid w:val="00CB1AAB"/>
    <w:rsid w:val="00D2478A"/>
    <w:rsid w:val="00E373BC"/>
    <w:rsid w:val="00E6264D"/>
    <w:rsid w:val="00E87A07"/>
    <w:rsid w:val="00F403FF"/>
    <w:rsid w:val="00F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196F3D"/>
  <w14:defaultImageDpi w14:val="32767"/>
  <w15:chartTrackingRefBased/>
  <w15:docId w15:val="{F34893AD-AC07-464E-8F58-93E4A0DEF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7A07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03DA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3D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3DA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3DA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3DA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3DAB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3DA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3DA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3DA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03DA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03D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03D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03DA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03DA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03DA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03DA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03DA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03DA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03DA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03D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03DA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03DA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03D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03DA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03DA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03DA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03D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03DA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03DA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87A0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87A0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87A0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87A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焦</dc:creator>
  <cp:keywords/>
  <dc:description/>
  <cp:lastModifiedBy>鹏 焦</cp:lastModifiedBy>
  <cp:revision>5</cp:revision>
  <dcterms:created xsi:type="dcterms:W3CDTF">2025-04-01T05:29:00Z</dcterms:created>
  <dcterms:modified xsi:type="dcterms:W3CDTF">2025-04-15T02:27:00Z</dcterms:modified>
</cp:coreProperties>
</file>