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BD41152" w14:textId="6263353E" w:rsidR="00797AA7" w:rsidRDefault="00797AA7"/>
    <w:p w14:paraId="57052894" w14:textId="06216E14" w:rsidR="007D3651" w:rsidRDefault="00750429" w:rsidP="00750429">
      <w:pPr>
        <w:ind w:left="-630" w:hanging="270"/>
      </w:pPr>
      <w:r>
        <w:rPr>
          <w:noProof/>
        </w:rPr>
        <w:drawing>
          <wp:inline distT="0" distB="0" distL="0" distR="0" wp14:anchorId="4B8896FC" wp14:editId="74DF48EA">
            <wp:extent cx="6935780" cy="5575300"/>
            <wp:effectExtent l="0" t="0" r="0" b="0"/>
            <wp:docPr id="1114624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62463" name="Picture 111462463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940382" cy="5578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E2639" w14:textId="5A4207E5" w:rsidR="00E90D19" w:rsidRPr="00E90D19" w:rsidRDefault="00E90D19" w:rsidP="001D77AE">
      <w:pPr>
        <w:pStyle w:val="Caption"/>
      </w:pPr>
      <w:r w:rsidRPr="003A0DFC">
        <w:rPr>
          <w:b/>
          <w:bCs/>
        </w:rPr>
        <w:t xml:space="preserve"> </w:t>
      </w:r>
      <w:r w:rsidR="00AB407D" w:rsidRPr="00AB407D">
        <w:rPr>
          <w:b/>
          <w:bCs/>
        </w:rPr>
        <w:t xml:space="preserve">Supplementary </w:t>
      </w:r>
      <w:r w:rsidR="00AB407D" w:rsidRPr="001D77AE">
        <w:rPr>
          <w:b/>
          <w:bCs/>
        </w:rPr>
        <w:t xml:space="preserve">Figure </w:t>
      </w:r>
      <w:r w:rsidR="00AB407D" w:rsidRPr="001D77AE">
        <w:rPr>
          <w:b/>
          <w:bCs/>
        </w:rPr>
        <w:fldChar w:fldCharType="begin"/>
      </w:r>
      <w:r w:rsidR="00AB407D" w:rsidRPr="001D77AE">
        <w:rPr>
          <w:b/>
          <w:bCs/>
        </w:rPr>
        <w:instrText xml:space="preserve"> SEQ Supplementary_Figure \* ARABIC </w:instrText>
      </w:r>
      <w:r w:rsidR="00AB407D" w:rsidRPr="001D77AE">
        <w:rPr>
          <w:b/>
          <w:bCs/>
        </w:rPr>
        <w:fldChar w:fldCharType="separate"/>
      </w:r>
      <w:r w:rsidR="001D77AE">
        <w:rPr>
          <w:b/>
          <w:bCs/>
          <w:noProof/>
        </w:rPr>
        <w:t>1</w:t>
      </w:r>
      <w:r w:rsidR="00AB407D" w:rsidRPr="001D77AE">
        <w:rPr>
          <w:b/>
          <w:bCs/>
          <w:noProof/>
        </w:rPr>
        <w:fldChar w:fldCharType="end"/>
      </w:r>
      <w:r w:rsidR="00AB407D" w:rsidRPr="001D77AE">
        <w:rPr>
          <w:b/>
          <w:bCs/>
        </w:rPr>
        <w:t>:</w:t>
      </w:r>
      <w:r w:rsidR="00AB407D">
        <w:rPr>
          <w:i w:val="0"/>
          <w:iCs w:val="0"/>
          <w:color w:val="auto"/>
          <w:sz w:val="24"/>
          <w:szCs w:val="24"/>
        </w:rPr>
        <w:t xml:space="preserve"> </w:t>
      </w:r>
      <w:r w:rsidR="00156675" w:rsidRPr="00156675">
        <w:rPr>
          <w:color w:val="auto"/>
        </w:rPr>
        <w:t>Locus zoom and</w:t>
      </w:r>
      <w:r w:rsidR="00156675">
        <w:rPr>
          <w:i w:val="0"/>
          <w:iCs w:val="0"/>
          <w:color w:val="auto"/>
          <w:sz w:val="24"/>
          <w:szCs w:val="24"/>
        </w:rPr>
        <w:t xml:space="preserve"> </w:t>
      </w:r>
      <w:r w:rsidR="00156675">
        <w:t>f</w:t>
      </w:r>
      <w:r w:rsidR="00156675" w:rsidRPr="00156675">
        <w:t xml:space="preserve">orest plot for </w:t>
      </w:r>
      <w:r w:rsidR="00156675">
        <w:t xml:space="preserve">significant </w:t>
      </w:r>
      <w:r w:rsidR="00156675" w:rsidRPr="00156675">
        <w:t>loci associated with Aβ42</w:t>
      </w:r>
      <w:r w:rsidR="00156675">
        <w:t xml:space="preserve"> from meta-analysis</w:t>
      </w:r>
      <w:r w:rsidR="003A0DFC">
        <w:t xml:space="preserve">. </w:t>
      </w:r>
      <w:r w:rsidR="003A0DFC" w:rsidRPr="003A0DFC">
        <w:rPr>
          <w:b/>
          <w:bCs/>
        </w:rPr>
        <w:t>(A)</w:t>
      </w:r>
      <w:r w:rsidR="003A0DFC">
        <w:rPr>
          <w:rFonts w:ascii="Arial" w:hAnsi="Arial" w:cs="Arial"/>
          <w:sz w:val="16"/>
          <w:szCs w:val="16"/>
        </w:rPr>
        <w:t xml:space="preserve"> </w:t>
      </w:r>
      <w:r w:rsidR="003A0DFC">
        <w:t>Variant</w:t>
      </w:r>
      <w:r w:rsidR="003A0DFC" w:rsidRPr="00A07CAE">
        <w:rPr>
          <w:rFonts w:ascii="Arial" w:hAnsi="Arial" w:cs="Arial"/>
          <w:sz w:val="16"/>
          <w:szCs w:val="16"/>
        </w:rPr>
        <w:t xml:space="preserve"> </w:t>
      </w:r>
      <w:r w:rsidR="00156675" w:rsidRPr="00A07CAE">
        <w:rPr>
          <w:rFonts w:ascii="Arial" w:hAnsi="Arial" w:cs="Arial"/>
          <w:sz w:val="16"/>
          <w:szCs w:val="16"/>
        </w:rPr>
        <w:t>rs1077933</w:t>
      </w:r>
      <w:r w:rsidR="003A0DFC">
        <w:t xml:space="preserve"> located within CR1 gene region. </w:t>
      </w:r>
      <w:r w:rsidR="003A0DFC" w:rsidRPr="003A0DFC">
        <w:rPr>
          <w:b/>
          <w:bCs/>
        </w:rPr>
        <w:t>(B)</w:t>
      </w:r>
      <w:r w:rsidR="003A0DFC" w:rsidRPr="003A0DFC">
        <w:t xml:space="preserve"> Variant</w:t>
      </w:r>
      <w:r w:rsidR="003A0DFC">
        <w:rPr>
          <w:b/>
          <w:bCs/>
        </w:rPr>
        <w:t xml:space="preserve"> </w:t>
      </w:r>
      <w:r w:rsidR="003A0DFC" w:rsidRPr="00156675">
        <w:t>rs</w:t>
      </w:r>
      <w:r w:rsidR="003A0DFC" w:rsidRPr="00A07CAE">
        <w:rPr>
          <w:rFonts w:ascii="Arial" w:hAnsi="Arial" w:cs="Arial"/>
          <w:sz w:val="16"/>
          <w:szCs w:val="16"/>
        </w:rPr>
        <w:t>6733839</w:t>
      </w:r>
      <w:r w:rsidR="003A0DFC">
        <w:rPr>
          <w:rFonts w:ascii="Arial" w:hAnsi="Arial" w:cs="Arial"/>
          <w:sz w:val="16"/>
          <w:szCs w:val="16"/>
        </w:rPr>
        <w:t xml:space="preserve"> located within BIN1 gene region</w:t>
      </w:r>
      <w:r w:rsidR="003A0DFC" w:rsidRPr="00156675">
        <w:t xml:space="preserve">. </w:t>
      </w:r>
      <w:r w:rsidR="003A0DFC">
        <w:t xml:space="preserve"> Forest plot shows the effect size, standard error, p-value and sample size within each cohort included in meta-analyses as well as meta-analysis result. The dot and whiskers represent Effect size and its corresponding 95% confidence interval (L95=lower end, U95=upper end) within each cohort. META represents meta-analysis result from METAL.</w:t>
      </w:r>
    </w:p>
    <w:p w14:paraId="727D62B4" w14:textId="1D2C6718" w:rsidR="00452070" w:rsidRDefault="00452070">
      <w:pPr>
        <w:rPr>
          <w:i/>
          <w:iCs/>
          <w:color w:val="0E2841" w:themeColor="text2"/>
          <w:sz w:val="18"/>
          <w:szCs w:val="18"/>
        </w:rPr>
      </w:pPr>
      <w:r>
        <w:br w:type="page"/>
      </w:r>
    </w:p>
    <w:p w14:paraId="35C732C5" w14:textId="509C400D" w:rsidR="00856FA8" w:rsidRDefault="00563ABA" w:rsidP="00856FA8">
      <w:pPr>
        <w:pStyle w:val="Caption"/>
        <w:keepNext/>
        <w:ind w:left="-720" w:firstLine="180"/>
      </w:pPr>
      <w:r>
        <w:rPr>
          <w:noProof/>
        </w:rPr>
        <w:lastRenderedPageBreak/>
        <w:drawing>
          <wp:inline distT="0" distB="0" distL="0" distR="0" wp14:anchorId="15522058" wp14:editId="09FEAFC4">
            <wp:extent cx="6974964" cy="6845300"/>
            <wp:effectExtent l="0" t="0" r="0" b="0"/>
            <wp:docPr id="100497696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976964" name="Picture 1004976964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974964" cy="684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567CF" w14:textId="64CD0D00" w:rsidR="00856FA8" w:rsidRPr="00E90D19" w:rsidRDefault="001D77AE" w:rsidP="001D77AE">
      <w:pPr>
        <w:pStyle w:val="Caption"/>
      </w:pPr>
      <w:r w:rsidRPr="001D77AE">
        <w:rPr>
          <w:b/>
          <w:bCs/>
        </w:rPr>
        <w:t xml:space="preserve">Supplementary Figure </w:t>
      </w:r>
      <w:r w:rsidRPr="001D77AE">
        <w:rPr>
          <w:b/>
          <w:bCs/>
        </w:rPr>
        <w:fldChar w:fldCharType="begin"/>
      </w:r>
      <w:r w:rsidRPr="001D77AE">
        <w:rPr>
          <w:b/>
          <w:bCs/>
        </w:rPr>
        <w:instrText xml:space="preserve"> SEQ Supplementary_Figure \* ARABIC </w:instrText>
      </w:r>
      <w:r w:rsidRPr="001D77AE">
        <w:rPr>
          <w:b/>
          <w:bCs/>
        </w:rPr>
        <w:fldChar w:fldCharType="separate"/>
      </w:r>
      <w:r>
        <w:rPr>
          <w:b/>
          <w:bCs/>
          <w:noProof/>
        </w:rPr>
        <w:t>2</w:t>
      </w:r>
      <w:r w:rsidRPr="001D77AE">
        <w:rPr>
          <w:b/>
          <w:bCs/>
        </w:rPr>
        <w:fldChar w:fldCharType="end"/>
      </w:r>
      <w:r w:rsidR="00856FA8" w:rsidRPr="00856FA8">
        <w:rPr>
          <w:b/>
          <w:bCs/>
        </w:rPr>
        <w:t>:</w:t>
      </w:r>
      <w:r w:rsidR="00856FA8" w:rsidRPr="00856FA8">
        <w:rPr>
          <w:color w:val="auto"/>
        </w:rPr>
        <w:t xml:space="preserve"> </w:t>
      </w:r>
      <w:r w:rsidR="00856FA8" w:rsidRPr="00156675">
        <w:rPr>
          <w:color w:val="auto"/>
        </w:rPr>
        <w:t>Locus zoom and</w:t>
      </w:r>
      <w:r w:rsidR="00856FA8">
        <w:rPr>
          <w:i w:val="0"/>
          <w:iCs w:val="0"/>
          <w:color w:val="auto"/>
          <w:sz w:val="24"/>
          <w:szCs w:val="24"/>
        </w:rPr>
        <w:t xml:space="preserve"> </w:t>
      </w:r>
      <w:r w:rsidR="00856FA8">
        <w:t>f</w:t>
      </w:r>
      <w:r w:rsidR="00856FA8" w:rsidRPr="00156675">
        <w:t xml:space="preserve">orest plot for </w:t>
      </w:r>
      <w:r w:rsidR="00856FA8">
        <w:t xml:space="preserve">significant </w:t>
      </w:r>
      <w:r w:rsidR="00856FA8" w:rsidRPr="00156675">
        <w:t xml:space="preserve">loci associated with </w:t>
      </w:r>
      <w:r w:rsidR="00563ABA">
        <w:t>t-t</w:t>
      </w:r>
      <w:r w:rsidR="00856FA8">
        <w:t xml:space="preserve">au from meta-analysis. </w:t>
      </w:r>
      <w:r w:rsidR="00856FA8" w:rsidRPr="003A0DFC">
        <w:rPr>
          <w:b/>
          <w:bCs/>
        </w:rPr>
        <w:t>(A)</w:t>
      </w:r>
      <w:r w:rsidR="00856FA8">
        <w:rPr>
          <w:rFonts w:ascii="Arial" w:hAnsi="Arial" w:cs="Arial"/>
          <w:sz w:val="16"/>
          <w:szCs w:val="16"/>
        </w:rPr>
        <w:t xml:space="preserve"> </w:t>
      </w:r>
      <w:r w:rsidR="00856FA8">
        <w:t>Variant</w:t>
      </w:r>
      <w:r w:rsidR="00856FA8" w:rsidRPr="00A07CAE">
        <w:rPr>
          <w:rFonts w:ascii="Arial" w:hAnsi="Arial" w:cs="Arial"/>
          <w:sz w:val="16"/>
          <w:szCs w:val="16"/>
        </w:rPr>
        <w:t xml:space="preserve"> </w:t>
      </w:r>
      <w:r w:rsidR="00856FA8" w:rsidRPr="00156675">
        <w:t>rs</w:t>
      </w:r>
      <w:r w:rsidR="00856FA8" w:rsidRPr="00A07CAE">
        <w:rPr>
          <w:rFonts w:ascii="Arial" w:hAnsi="Arial" w:cs="Arial"/>
          <w:sz w:val="16"/>
          <w:szCs w:val="16"/>
        </w:rPr>
        <w:t>6733839</w:t>
      </w:r>
      <w:r w:rsidR="00856FA8">
        <w:t xml:space="preserve"> located within BIN1 gene region. </w:t>
      </w:r>
      <w:r w:rsidR="00856FA8" w:rsidRPr="003A0DFC">
        <w:rPr>
          <w:b/>
          <w:bCs/>
        </w:rPr>
        <w:t>(B)</w:t>
      </w:r>
      <w:r w:rsidR="00856FA8" w:rsidRPr="003A0DFC">
        <w:t xml:space="preserve"> Variant</w:t>
      </w:r>
      <w:r w:rsidR="00856FA8">
        <w:rPr>
          <w:b/>
          <w:bCs/>
        </w:rPr>
        <w:t xml:space="preserve"> </w:t>
      </w:r>
      <w:r w:rsidR="00856FA8" w:rsidRPr="00A07CAE">
        <w:rPr>
          <w:rFonts w:ascii="Arial" w:hAnsi="Arial" w:cs="Arial"/>
          <w:sz w:val="16"/>
          <w:szCs w:val="16"/>
        </w:rPr>
        <w:t>rs35327527</w:t>
      </w:r>
      <w:r w:rsidR="00856FA8">
        <w:rPr>
          <w:rFonts w:ascii="Arial" w:hAnsi="Arial" w:cs="Arial"/>
          <w:sz w:val="16"/>
          <w:szCs w:val="16"/>
        </w:rPr>
        <w:t xml:space="preserve"> located within GMNC</w:t>
      </w:r>
      <w:r w:rsidR="00563ABA">
        <w:rPr>
          <w:rFonts w:ascii="Arial" w:hAnsi="Arial" w:cs="Arial"/>
          <w:sz w:val="16"/>
          <w:szCs w:val="16"/>
        </w:rPr>
        <w:t>/CCDC50</w:t>
      </w:r>
      <w:r w:rsidR="00856FA8">
        <w:rPr>
          <w:rFonts w:ascii="Arial" w:hAnsi="Arial" w:cs="Arial"/>
          <w:sz w:val="16"/>
          <w:szCs w:val="16"/>
        </w:rPr>
        <w:t xml:space="preserve"> gene region</w:t>
      </w:r>
      <w:r w:rsidR="00856FA8" w:rsidRPr="00156675">
        <w:t xml:space="preserve">. </w:t>
      </w:r>
      <w:r w:rsidR="00856FA8" w:rsidRPr="00856FA8">
        <w:rPr>
          <w:b/>
          <w:bCs/>
        </w:rPr>
        <w:t>(C)</w:t>
      </w:r>
      <w:r w:rsidR="00856FA8">
        <w:t xml:space="preserve"> </w:t>
      </w:r>
      <w:r w:rsidR="00856FA8" w:rsidRPr="003A0DFC">
        <w:t>Variant</w:t>
      </w:r>
      <w:r w:rsidR="00856FA8">
        <w:rPr>
          <w:b/>
          <w:bCs/>
        </w:rPr>
        <w:t xml:space="preserve"> </w:t>
      </w:r>
      <w:r w:rsidR="00856FA8" w:rsidRPr="00A07CAE">
        <w:rPr>
          <w:rFonts w:ascii="Arial" w:hAnsi="Arial" w:cs="Arial"/>
          <w:sz w:val="16"/>
          <w:szCs w:val="16"/>
        </w:rPr>
        <w:t>rs798490</w:t>
      </w:r>
      <w:r w:rsidR="00856FA8">
        <w:rPr>
          <w:rFonts w:ascii="Arial" w:hAnsi="Arial" w:cs="Arial"/>
          <w:sz w:val="16"/>
          <w:szCs w:val="16"/>
        </w:rPr>
        <w:t xml:space="preserve"> located within GNA12</w:t>
      </w:r>
      <w:r w:rsidR="00563ABA">
        <w:rPr>
          <w:rFonts w:ascii="Arial" w:hAnsi="Arial" w:cs="Arial"/>
          <w:sz w:val="16"/>
          <w:szCs w:val="16"/>
        </w:rPr>
        <w:t>/AMZ1</w:t>
      </w:r>
      <w:r w:rsidR="00856FA8">
        <w:rPr>
          <w:rFonts w:ascii="Arial" w:hAnsi="Arial" w:cs="Arial"/>
          <w:sz w:val="16"/>
          <w:szCs w:val="16"/>
        </w:rPr>
        <w:t xml:space="preserve"> gene region. </w:t>
      </w:r>
      <w:r w:rsidR="00856FA8">
        <w:t xml:space="preserve"> Forest plot shows the effect size, standard error, p-value and sample size within each cohort included in meta-analyses as well as meta-analysis result. The dot and whiskers represent Effect size and its corresponding 95% confidence interval (L95=lower end, U95=upper end) within each cohort. META represents meta-analysis result from METAL.</w:t>
      </w:r>
    </w:p>
    <w:p w14:paraId="4B7BB65F" w14:textId="575E846F" w:rsidR="00722B53" w:rsidRDefault="00722B53">
      <w:pPr>
        <w:rPr>
          <w:i/>
          <w:iCs/>
          <w:color w:val="0E2841" w:themeColor="text2"/>
          <w:sz w:val="18"/>
          <w:szCs w:val="18"/>
        </w:rPr>
      </w:pPr>
      <w:r>
        <w:br w:type="page"/>
      </w:r>
    </w:p>
    <w:p w14:paraId="6FAE42AD" w14:textId="2A8207A9" w:rsidR="00FA2448" w:rsidRDefault="00563ABA" w:rsidP="00FA2448">
      <w:pPr>
        <w:pStyle w:val="Caption"/>
        <w:keepNext/>
        <w:ind w:hanging="360"/>
      </w:pPr>
      <w:r>
        <w:rPr>
          <w:noProof/>
        </w:rPr>
        <w:lastRenderedPageBreak/>
        <w:drawing>
          <wp:inline distT="0" distB="0" distL="0" distR="0" wp14:anchorId="596C9876" wp14:editId="747997D2">
            <wp:extent cx="6910260" cy="6781800"/>
            <wp:effectExtent l="0" t="0" r="0" b="0"/>
            <wp:docPr id="164930907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309079" name="Picture 164930907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914558" cy="6786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0B831E" w14:textId="25993671" w:rsidR="00151EC5" w:rsidRDefault="001D77AE" w:rsidP="001D77AE">
      <w:pPr>
        <w:pStyle w:val="Caption"/>
      </w:pPr>
      <w:r w:rsidRPr="001D77AE">
        <w:rPr>
          <w:b/>
          <w:bCs/>
        </w:rPr>
        <w:t xml:space="preserve">Supplementary Figure </w:t>
      </w:r>
      <w:r w:rsidRPr="001D77AE">
        <w:rPr>
          <w:b/>
          <w:bCs/>
        </w:rPr>
        <w:fldChar w:fldCharType="begin"/>
      </w:r>
      <w:r w:rsidRPr="001D77AE">
        <w:rPr>
          <w:b/>
          <w:bCs/>
        </w:rPr>
        <w:instrText xml:space="preserve"> SEQ Supplementary_Figure \* ARABIC </w:instrText>
      </w:r>
      <w:r w:rsidRPr="001D77AE">
        <w:rPr>
          <w:b/>
          <w:bCs/>
        </w:rPr>
        <w:fldChar w:fldCharType="separate"/>
      </w:r>
      <w:r w:rsidRPr="001D77AE">
        <w:rPr>
          <w:b/>
          <w:bCs/>
          <w:noProof/>
        </w:rPr>
        <w:t>3</w:t>
      </w:r>
      <w:r w:rsidRPr="001D77AE">
        <w:rPr>
          <w:b/>
          <w:bCs/>
        </w:rPr>
        <w:fldChar w:fldCharType="end"/>
      </w:r>
      <w:r w:rsidRPr="001D77AE">
        <w:rPr>
          <w:b/>
          <w:bCs/>
        </w:rPr>
        <w:t>:</w:t>
      </w:r>
      <w:r w:rsidR="00FA2448" w:rsidRPr="00FA2448">
        <w:rPr>
          <w:color w:val="auto"/>
        </w:rPr>
        <w:t xml:space="preserve"> </w:t>
      </w:r>
      <w:r w:rsidR="00FA2448" w:rsidRPr="00156675">
        <w:rPr>
          <w:color w:val="auto"/>
        </w:rPr>
        <w:t>Locus zoom and</w:t>
      </w:r>
      <w:r w:rsidR="00FA2448">
        <w:rPr>
          <w:i w:val="0"/>
          <w:iCs w:val="0"/>
          <w:color w:val="auto"/>
          <w:sz w:val="24"/>
          <w:szCs w:val="24"/>
        </w:rPr>
        <w:t xml:space="preserve"> </w:t>
      </w:r>
      <w:r w:rsidR="00FA2448">
        <w:t>f</w:t>
      </w:r>
      <w:r w:rsidR="00FA2448" w:rsidRPr="00156675">
        <w:t xml:space="preserve">orest plot for </w:t>
      </w:r>
      <w:r w:rsidR="00FA2448">
        <w:t xml:space="preserve">significant </w:t>
      </w:r>
      <w:r w:rsidR="00FA2448" w:rsidRPr="00156675">
        <w:t xml:space="preserve">loci associated with </w:t>
      </w:r>
      <w:r w:rsidR="00563ABA">
        <w:t>t-t</w:t>
      </w:r>
      <w:r w:rsidR="00FA2448">
        <w:t xml:space="preserve">au from meta-analysis. </w:t>
      </w:r>
      <w:r w:rsidR="00FA2448" w:rsidRPr="003A0DFC">
        <w:rPr>
          <w:b/>
          <w:bCs/>
        </w:rPr>
        <w:t>(A)</w:t>
      </w:r>
      <w:r w:rsidR="00FA2448">
        <w:rPr>
          <w:rFonts w:ascii="Arial" w:hAnsi="Arial" w:cs="Arial"/>
          <w:sz w:val="16"/>
          <w:szCs w:val="16"/>
        </w:rPr>
        <w:t xml:space="preserve"> </w:t>
      </w:r>
      <w:r w:rsidR="00FA2448">
        <w:t>Variant</w:t>
      </w:r>
      <w:r w:rsidR="00FA2448">
        <w:rPr>
          <w:rFonts w:ascii="Arial" w:hAnsi="Arial" w:cs="Arial"/>
          <w:sz w:val="16"/>
          <w:szCs w:val="16"/>
        </w:rPr>
        <w:t xml:space="preserve"> </w:t>
      </w:r>
      <w:r w:rsidR="00FA2448" w:rsidRPr="00A07CAE">
        <w:rPr>
          <w:rFonts w:ascii="Arial" w:hAnsi="Arial" w:cs="Arial"/>
          <w:sz w:val="16"/>
          <w:szCs w:val="16"/>
        </w:rPr>
        <w:t>rs1654723</w:t>
      </w:r>
      <w:r w:rsidR="00FA2448">
        <w:t xml:space="preserve"> located within ANGPT1 gene region. </w:t>
      </w:r>
      <w:r w:rsidR="00FA2448" w:rsidRPr="003A0DFC">
        <w:rPr>
          <w:b/>
          <w:bCs/>
        </w:rPr>
        <w:t>(B)</w:t>
      </w:r>
      <w:r w:rsidR="00FA2448" w:rsidRPr="003A0DFC">
        <w:t xml:space="preserve"> Variant</w:t>
      </w:r>
      <w:r w:rsidR="00FA2448">
        <w:rPr>
          <w:b/>
          <w:bCs/>
        </w:rPr>
        <w:t xml:space="preserve"> </w:t>
      </w:r>
      <w:r w:rsidR="00FA2448" w:rsidRPr="00A07CAE">
        <w:rPr>
          <w:rFonts w:ascii="Arial" w:hAnsi="Arial" w:cs="Arial"/>
          <w:sz w:val="16"/>
          <w:szCs w:val="16"/>
        </w:rPr>
        <w:t>rs57263785</w:t>
      </w:r>
      <w:r w:rsidR="00FA2448">
        <w:rPr>
          <w:rFonts w:ascii="Arial" w:hAnsi="Arial" w:cs="Arial"/>
          <w:sz w:val="16"/>
          <w:szCs w:val="16"/>
        </w:rPr>
        <w:t xml:space="preserve"> located within SMARCA2 gene region</w:t>
      </w:r>
      <w:r w:rsidR="00FA2448" w:rsidRPr="00156675">
        <w:t xml:space="preserve">. </w:t>
      </w:r>
      <w:r w:rsidR="00FA2448" w:rsidRPr="00856FA8">
        <w:rPr>
          <w:b/>
          <w:bCs/>
        </w:rPr>
        <w:t>(C)</w:t>
      </w:r>
      <w:r w:rsidR="00FA2448">
        <w:t xml:space="preserve"> </w:t>
      </w:r>
      <w:r w:rsidR="00FA2448" w:rsidRPr="003A0DFC">
        <w:t>Variant</w:t>
      </w:r>
      <w:r w:rsidR="00FA2448">
        <w:rPr>
          <w:b/>
          <w:bCs/>
        </w:rPr>
        <w:t xml:space="preserve"> </w:t>
      </w:r>
      <w:r w:rsidR="00F254CF" w:rsidRPr="00A07CAE">
        <w:rPr>
          <w:rFonts w:ascii="Arial" w:hAnsi="Arial" w:cs="Arial"/>
          <w:sz w:val="16"/>
          <w:szCs w:val="16"/>
        </w:rPr>
        <w:t>rs7928895</w:t>
      </w:r>
      <w:r w:rsidR="00FA2448">
        <w:rPr>
          <w:rFonts w:ascii="Arial" w:hAnsi="Arial" w:cs="Arial"/>
          <w:sz w:val="16"/>
          <w:szCs w:val="16"/>
        </w:rPr>
        <w:t xml:space="preserve"> located within</w:t>
      </w:r>
      <w:r w:rsidR="00F254CF">
        <w:rPr>
          <w:rFonts w:ascii="Arial" w:hAnsi="Arial" w:cs="Arial"/>
          <w:sz w:val="16"/>
          <w:szCs w:val="16"/>
        </w:rPr>
        <w:t xml:space="preserve"> MS4A family</w:t>
      </w:r>
      <w:r w:rsidR="00FA2448">
        <w:rPr>
          <w:rFonts w:ascii="Arial" w:hAnsi="Arial" w:cs="Arial"/>
          <w:sz w:val="16"/>
          <w:szCs w:val="16"/>
        </w:rPr>
        <w:t xml:space="preserve"> gene region. </w:t>
      </w:r>
      <w:r w:rsidR="00FA2448">
        <w:t xml:space="preserve"> Forest plot shows the effect size, standard error, p-value and sample size within each cohort included in meta-analyses as well as meta-analysis result. The dot and whiskers represent Effect size and its corresponding 95% confidence interval (L95=lower end, U95=upper end) within each cohort. META represents meta-analysis result from METAL</w:t>
      </w:r>
      <w:r w:rsidR="000D31E8">
        <w:t>.</w:t>
      </w:r>
      <w:r w:rsidR="00FA2448">
        <w:t xml:space="preserve"> </w:t>
      </w:r>
    </w:p>
    <w:p w14:paraId="7FC2D28D" w14:textId="70146068" w:rsidR="00F254CF" w:rsidRDefault="00F254CF">
      <w:r>
        <w:br w:type="page"/>
      </w:r>
    </w:p>
    <w:p w14:paraId="0E2E2FDC" w14:textId="25E0D2ED" w:rsidR="00D03A71" w:rsidRDefault="00563ABA" w:rsidP="00563ABA">
      <w:pPr>
        <w:keepNext/>
        <w:ind w:hanging="270"/>
      </w:pPr>
      <w:r>
        <w:rPr>
          <w:noProof/>
        </w:rPr>
        <w:lastRenderedPageBreak/>
        <w:drawing>
          <wp:inline distT="0" distB="0" distL="0" distR="0" wp14:anchorId="3D089581" wp14:editId="24A78997">
            <wp:extent cx="6889334" cy="4940300"/>
            <wp:effectExtent l="0" t="0" r="0" b="0"/>
            <wp:docPr id="10822344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23441" name="Picture 10822344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894592" cy="4944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37947" w14:textId="71C94FA8" w:rsidR="00F254CF" w:rsidRDefault="00D03A71" w:rsidP="00D03A71">
      <w:pPr>
        <w:pStyle w:val="Caption"/>
      </w:pPr>
      <w:r w:rsidRPr="00D03A71">
        <w:rPr>
          <w:b/>
          <w:bCs/>
        </w:rPr>
        <w:t xml:space="preserve">Supplementary Figure </w:t>
      </w:r>
      <w:r w:rsidRPr="00D03A71">
        <w:rPr>
          <w:b/>
          <w:bCs/>
        </w:rPr>
        <w:fldChar w:fldCharType="begin"/>
      </w:r>
      <w:r w:rsidRPr="00D03A71">
        <w:rPr>
          <w:b/>
          <w:bCs/>
        </w:rPr>
        <w:instrText xml:space="preserve"> SEQ Supplementary_Figure \* ARABIC </w:instrText>
      </w:r>
      <w:r w:rsidRPr="00D03A71">
        <w:rPr>
          <w:b/>
          <w:bCs/>
        </w:rPr>
        <w:fldChar w:fldCharType="separate"/>
      </w:r>
      <w:r w:rsidR="001D77AE">
        <w:rPr>
          <w:b/>
          <w:bCs/>
          <w:noProof/>
        </w:rPr>
        <w:t>4</w:t>
      </w:r>
      <w:r w:rsidRPr="00D03A71">
        <w:rPr>
          <w:b/>
          <w:bCs/>
        </w:rPr>
        <w:fldChar w:fldCharType="end"/>
      </w:r>
      <w:r>
        <w:t>:</w:t>
      </w:r>
      <w:r w:rsidRPr="00FA2448">
        <w:rPr>
          <w:color w:val="auto"/>
        </w:rPr>
        <w:t xml:space="preserve"> </w:t>
      </w:r>
      <w:r w:rsidRPr="00156675">
        <w:rPr>
          <w:color w:val="auto"/>
        </w:rPr>
        <w:t>Locus zoom and</w:t>
      </w:r>
      <w:r>
        <w:rPr>
          <w:i w:val="0"/>
          <w:iCs w:val="0"/>
          <w:color w:val="auto"/>
          <w:sz w:val="24"/>
          <w:szCs w:val="24"/>
        </w:rPr>
        <w:t xml:space="preserve"> </w:t>
      </w:r>
      <w:r>
        <w:t>f</w:t>
      </w:r>
      <w:r w:rsidRPr="00156675">
        <w:t xml:space="preserve">orest plot for </w:t>
      </w:r>
      <w:r>
        <w:t xml:space="preserve">significant </w:t>
      </w:r>
      <w:r w:rsidRPr="00156675">
        <w:t xml:space="preserve">loci associated with </w:t>
      </w:r>
      <w:r w:rsidR="00563ABA">
        <w:t>t-t</w:t>
      </w:r>
      <w:r>
        <w:t xml:space="preserve">au from meta-analysis. </w:t>
      </w:r>
      <w:r w:rsidRPr="003A0DFC">
        <w:rPr>
          <w:b/>
          <w:bCs/>
        </w:rPr>
        <w:t>(A)</w:t>
      </w:r>
      <w:r>
        <w:rPr>
          <w:rFonts w:ascii="Arial" w:hAnsi="Arial" w:cs="Arial"/>
          <w:sz w:val="16"/>
          <w:szCs w:val="16"/>
        </w:rPr>
        <w:t xml:space="preserve"> </w:t>
      </w:r>
      <w:r>
        <w:t>Variant</w:t>
      </w:r>
      <w:r>
        <w:rPr>
          <w:rFonts w:ascii="Arial" w:hAnsi="Arial" w:cs="Arial"/>
          <w:sz w:val="16"/>
          <w:szCs w:val="16"/>
        </w:rPr>
        <w:t xml:space="preserve"> r</w:t>
      </w:r>
      <w:r w:rsidRPr="00A07CAE">
        <w:rPr>
          <w:rFonts w:ascii="Arial" w:hAnsi="Arial" w:cs="Arial"/>
          <w:sz w:val="16"/>
          <w:szCs w:val="16"/>
        </w:rPr>
        <w:t>s11045930</w:t>
      </w:r>
      <w:r>
        <w:t xml:space="preserve"> located within SLCO1A2 gene region. </w:t>
      </w:r>
      <w:r w:rsidRPr="003A0DFC">
        <w:rPr>
          <w:b/>
          <w:bCs/>
        </w:rPr>
        <w:t>(B)</w:t>
      </w:r>
      <w:r w:rsidRPr="003A0DFC">
        <w:t xml:space="preserve"> Variant</w:t>
      </w:r>
      <w:r>
        <w:rPr>
          <w:b/>
          <w:bCs/>
        </w:rPr>
        <w:t xml:space="preserve"> </w:t>
      </w:r>
      <w:r w:rsidR="00B506C9">
        <w:rPr>
          <w:b/>
          <w:bCs/>
        </w:rPr>
        <w:t>r</w:t>
      </w:r>
      <w:r w:rsidRPr="00A07CAE">
        <w:rPr>
          <w:rFonts w:ascii="Arial" w:hAnsi="Arial" w:cs="Arial"/>
          <w:sz w:val="16"/>
          <w:szCs w:val="16"/>
        </w:rPr>
        <w:t>s4843552</w:t>
      </w:r>
      <w:r>
        <w:rPr>
          <w:rFonts w:ascii="Arial" w:hAnsi="Arial" w:cs="Arial"/>
          <w:sz w:val="16"/>
          <w:szCs w:val="16"/>
        </w:rPr>
        <w:t xml:space="preserve"> located within C16orf95</w:t>
      </w:r>
      <w:r w:rsidR="00563ABA">
        <w:rPr>
          <w:rFonts w:ascii="Arial" w:hAnsi="Arial" w:cs="Arial"/>
          <w:sz w:val="16"/>
          <w:szCs w:val="16"/>
        </w:rPr>
        <w:t>/MAP1</w:t>
      </w:r>
      <w:r w:rsidR="00A81541">
        <w:rPr>
          <w:rFonts w:ascii="Arial" w:hAnsi="Arial" w:cs="Arial"/>
          <w:sz w:val="16"/>
          <w:szCs w:val="16"/>
        </w:rPr>
        <w:t>LC3B</w:t>
      </w:r>
      <w:r>
        <w:rPr>
          <w:rFonts w:ascii="Arial" w:hAnsi="Arial" w:cs="Arial"/>
          <w:sz w:val="16"/>
          <w:szCs w:val="16"/>
        </w:rPr>
        <w:t xml:space="preserve"> gene region</w:t>
      </w:r>
      <w:r w:rsidRPr="00156675">
        <w:t>.</w:t>
      </w:r>
      <w:r>
        <w:t xml:space="preserve"> Forest plot shows the effect size, standard error, p-value and sample size within each cohort included in meta-analyses as well as meta-analysis result. The dot and whiskers represent Effect size and its corresponding 95% confidence interval (L95=lower end, U95=upper end) within each cohort. META represents meta-analysis result from METAL.</w:t>
      </w:r>
    </w:p>
    <w:p w14:paraId="10DCF125" w14:textId="0E061B5F" w:rsidR="000D31E8" w:rsidRDefault="00563ABA" w:rsidP="00563ABA">
      <w:pPr>
        <w:keepNext/>
        <w:ind w:hanging="270"/>
      </w:pPr>
      <w:r>
        <w:rPr>
          <w:noProof/>
        </w:rPr>
        <w:lastRenderedPageBreak/>
        <w:drawing>
          <wp:inline distT="0" distB="0" distL="0" distR="0" wp14:anchorId="1B54C044" wp14:editId="4D9CDF44">
            <wp:extent cx="6800999" cy="4749800"/>
            <wp:effectExtent l="0" t="0" r="0" b="0"/>
            <wp:docPr id="161947892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9478926" name="Picture 161947892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04620" cy="475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CDD25" w14:textId="2A731772" w:rsidR="000D31E8" w:rsidRDefault="000D31E8" w:rsidP="000D31E8">
      <w:pPr>
        <w:pStyle w:val="Caption"/>
        <w:keepNext/>
      </w:pPr>
      <w:r w:rsidRPr="000D31E8">
        <w:rPr>
          <w:b/>
          <w:bCs/>
        </w:rPr>
        <w:t xml:space="preserve">Supplementary Figure </w:t>
      </w:r>
      <w:r w:rsidRPr="000D31E8">
        <w:rPr>
          <w:b/>
          <w:bCs/>
        </w:rPr>
        <w:fldChar w:fldCharType="begin"/>
      </w:r>
      <w:r w:rsidRPr="000D31E8">
        <w:rPr>
          <w:b/>
          <w:bCs/>
        </w:rPr>
        <w:instrText xml:space="preserve"> SEQ Supplementary_Figure \* ARABIC </w:instrText>
      </w:r>
      <w:r w:rsidRPr="000D31E8">
        <w:rPr>
          <w:b/>
          <w:bCs/>
        </w:rPr>
        <w:fldChar w:fldCharType="separate"/>
      </w:r>
      <w:r w:rsidR="001D77AE">
        <w:rPr>
          <w:b/>
          <w:bCs/>
          <w:noProof/>
        </w:rPr>
        <w:t>5</w:t>
      </w:r>
      <w:r w:rsidRPr="000D31E8">
        <w:rPr>
          <w:b/>
          <w:bCs/>
        </w:rPr>
        <w:fldChar w:fldCharType="end"/>
      </w:r>
      <w:r w:rsidRPr="000D31E8">
        <w:rPr>
          <w:b/>
          <w:bCs/>
        </w:rPr>
        <w:t>:</w:t>
      </w:r>
      <w:r w:rsidRPr="000D31E8">
        <w:rPr>
          <w:color w:val="auto"/>
        </w:rPr>
        <w:t xml:space="preserve"> </w:t>
      </w:r>
      <w:r w:rsidRPr="00156675">
        <w:rPr>
          <w:color w:val="auto"/>
        </w:rPr>
        <w:t>Locus zoom and</w:t>
      </w:r>
      <w:r>
        <w:rPr>
          <w:i w:val="0"/>
          <w:iCs w:val="0"/>
          <w:color w:val="auto"/>
          <w:sz w:val="24"/>
          <w:szCs w:val="24"/>
        </w:rPr>
        <w:t xml:space="preserve"> </w:t>
      </w:r>
      <w:r>
        <w:t>f</w:t>
      </w:r>
      <w:r w:rsidRPr="00156675">
        <w:t xml:space="preserve">orest plot for </w:t>
      </w:r>
      <w:r>
        <w:t xml:space="preserve">significant </w:t>
      </w:r>
      <w:r w:rsidRPr="00156675">
        <w:t xml:space="preserve">loci associated with </w:t>
      </w:r>
      <w:r w:rsidR="00802F73">
        <w:t>p</w:t>
      </w:r>
      <w:r w:rsidR="00563ABA">
        <w:t>-t</w:t>
      </w:r>
      <w:r>
        <w:t>au</w:t>
      </w:r>
      <w:r w:rsidR="00563ABA">
        <w:t>181</w:t>
      </w:r>
      <w:r>
        <w:t xml:space="preserve"> from meta-analysis. </w:t>
      </w:r>
      <w:r w:rsidRPr="003A0DFC">
        <w:rPr>
          <w:b/>
          <w:bCs/>
        </w:rPr>
        <w:t>(A)</w:t>
      </w:r>
      <w:r>
        <w:rPr>
          <w:rFonts w:ascii="Arial" w:hAnsi="Arial" w:cs="Arial"/>
          <w:sz w:val="16"/>
          <w:szCs w:val="16"/>
        </w:rPr>
        <w:t xml:space="preserve"> </w:t>
      </w:r>
      <w:r>
        <w:t>Variant</w:t>
      </w:r>
      <w:r w:rsidRPr="00A07CAE">
        <w:rPr>
          <w:rFonts w:ascii="Arial" w:hAnsi="Arial" w:cs="Arial"/>
          <w:sz w:val="16"/>
          <w:szCs w:val="16"/>
        </w:rPr>
        <w:t xml:space="preserve"> </w:t>
      </w:r>
      <w:r w:rsidRPr="00156675">
        <w:t>rs</w:t>
      </w:r>
      <w:r w:rsidRPr="00A07CAE">
        <w:rPr>
          <w:rFonts w:ascii="Arial" w:hAnsi="Arial" w:cs="Arial"/>
          <w:sz w:val="16"/>
          <w:szCs w:val="16"/>
        </w:rPr>
        <w:t>6733839</w:t>
      </w:r>
      <w:r>
        <w:t xml:space="preserve"> located within BIN1 gene region. </w:t>
      </w:r>
      <w:r w:rsidRPr="003A0DFC">
        <w:rPr>
          <w:b/>
          <w:bCs/>
        </w:rPr>
        <w:t>(B)</w:t>
      </w:r>
      <w:r w:rsidRPr="003A0DFC">
        <w:t xml:space="preserve"> Variant</w:t>
      </w:r>
      <w:r>
        <w:rPr>
          <w:b/>
          <w:bCs/>
        </w:rPr>
        <w:t xml:space="preserve"> </w:t>
      </w:r>
      <w:r w:rsidRPr="00A07CAE">
        <w:rPr>
          <w:rFonts w:ascii="Arial" w:hAnsi="Arial" w:cs="Arial"/>
          <w:sz w:val="16"/>
          <w:szCs w:val="16"/>
        </w:rPr>
        <w:t>rs35327527</w:t>
      </w:r>
      <w:r>
        <w:rPr>
          <w:rFonts w:ascii="Arial" w:hAnsi="Arial" w:cs="Arial"/>
          <w:sz w:val="16"/>
          <w:szCs w:val="16"/>
        </w:rPr>
        <w:t xml:space="preserve"> located within GMNC</w:t>
      </w:r>
      <w:r w:rsidR="00563ABA">
        <w:rPr>
          <w:rFonts w:ascii="Arial" w:hAnsi="Arial" w:cs="Arial"/>
          <w:sz w:val="16"/>
          <w:szCs w:val="16"/>
        </w:rPr>
        <w:t>/CCDC50</w:t>
      </w:r>
      <w:r>
        <w:rPr>
          <w:rFonts w:ascii="Arial" w:hAnsi="Arial" w:cs="Arial"/>
          <w:sz w:val="16"/>
          <w:szCs w:val="16"/>
        </w:rPr>
        <w:t xml:space="preserve"> gene region</w:t>
      </w:r>
      <w:r w:rsidRPr="00156675">
        <w:t>.</w:t>
      </w:r>
      <w:r>
        <w:t xml:space="preserve"> Forest plot shows the effect size, standard error, p-value and sample size within each cohort included in meta-analyses as well as meta-analysis result. The dot and whiskers represent Effect size and its corresponding 95% confidence interval (L95=lower end, U95=upper end) within each cohort. META represents meta-analysis result from METAL.</w:t>
      </w:r>
    </w:p>
    <w:p w14:paraId="71E7C5D2" w14:textId="639CED9E" w:rsidR="000D31E8" w:rsidRDefault="000D31E8">
      <w:r>
        <w:br w:type="page"/>
      </w:r>
    </w:p>
    <w:p w14:paraId="6574DACB" w14:textId="2571654B" w:rsidR="000D31E8" w:rsidRDefault="00563ABA" w:rsidP="000D31E8">
      <w:pPr>
        <w:keepNext/>
        <w:ind w:hanging="540"/>
      </w:pPr>
      <w:r>
        <w:rPr>
          <w:noProof/>
        </w:rPr>
        <w:lastRenderedPageBreak/>
        <w:drawing>
          <wp:inline distT="0" distB="0" distL="0" distR="0" wp14:anchorId="0A47B14F" wp14:editId="071496DB">
            <wp:extent cx="7246714" cy="7112000"/>
            <wp:effectExtent l="0" t="0" r="0" b="0"/>
            <wp:docPr id="67730798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307989" name="Picture 67730798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248806" cy="71140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4A8A2" w14:textId="5A2F6F8D" w:rsidR="000D31E8" w:rsidRPr="000D31E8" w:rsidRDefault="000D31E8" w:rsidP="000D31E8">
      <w:pPr>
        <w:pStyle w:val="Caption"/>
      </w:pPr>
      <w:r w:rsidRPr="000D31E8">
        <w:rPr>
          <w:b/>
          <w:bCs/>
        </w:rPr>
        <w:t xml:space="preserve">Supplementary Figure </w:t>
      </w:r>
      <w:r w:rsidRPr="000D31E8">
        <w:rPr>
          <w:b/>
          <w:bCs/>
        </w:rPr>
        <w:fldChar w:fldCharType="begin"/>
      </w:r>
      <w:r w:rsidRPr="000D31E8">
        <w:rPr>
          <w:b/>
          <w:bCs/>
        </w:rPr>
        <w:instrText xml:space="preserve"> SEQ Supplementary_Figure \* ARABIC </w:instrText>
      </w:r>
      <w:r w:rsidRPr="000D31E8">
        <w:rPr>
          <w:b/>
          <w:bCs/>
        </w:rPr>
        <w:fldChar w:fldCharType="separate"/>
      </w:r>
      <w:r w:rsidR="001D77AE">
        <w:rPr>
          <w:b/>
          <w:bCs/>
          <w:noProof/>
        </w:rPr>
        <w:t>6</w:t>
      </w:r>
      <w:r w:rsidRPr="000D31E8">
        <w:rPr>
          <w:b/>
          <w:bCs/>
        </w:rPr>
        <w:fldChar w:fldCharType="end"/>
      </w:r>
      <w:r w:rsidRPr="000D31E8">
        <w:rPr>
          <w:b/>
          <w:bCs/>
        </w:rPr>
        <w:t>:</w:t>
      </w:r>
      <w:r>
        <w:t xml:space="preserve"> </w:t>
      </w:r>
      <w:r w:rsidRPr="00156675">
        <w:rPr>
          <w:color w:val="auto"/>
        </w:rPr>
        <w:t>Locus zoom and</w:t>
      </w:r>
      <w:r>
        <w:rPr>
          <w:i w:val="0"/>
          <w:iCs w:val="0"/>
          <w:color w:val="auto"/>
          <w:sz w:val="24"/>
          <w:szCs w:val="24"/>
        </w:rPr>
        <w:t xml:space="preserve"> </w:t>
      </w:r>
      <w:r>
        <w:t>f</w:t>
      </w:r>
      <w:r w:rsidRPr="00156675">
        <w:t xml:space="preserve">orest plot for </w:t>
      </w:r>
      <w:r>
        <w:t xml:space="preserve">significant </w:t>
      </w:r>
      <w:r w:rsidRPr="00156675">
        <w:t xml:space="preserve">loci associated with </w:t>
      </w:r>
      <w:r w:rsidR="00802F73">
        <w:t>p</w:t>
      </w:r>
      <w:r w:rsidR="00563ABA">
        <w:t>-t</w:t>
      </w:r>
      <w:r>
        <w:t>au</w:t>
      </w:r>
      <w:r w:rsidR="00563ABA">
        <w:t>181</w:t>
      </w:r>
      <w:r>
        <w:t xml:space="preserve"> from meta-analysis. </w:t>
      </w:r>
      <w:r w:rsidRPr="003A0DFC">
        <w:rPr>
          <w:b/>
          <w:bCs/>
        </w:rPr>
        <w:t>(A)</w:t>
      </w:r>
      <w:r>
        <w:rPr>
          <w:rFonts w:ascii="Arial" w:hAnsi="Arial" w:cs="Arial"/>
          <w:sz w:val="16"/>
          <w:szCs w:val="16"/>
        </w:rPr>
        <w:t xml:space="preserve"> </w:t>
      </w:r>
      <w:r>
        <w:t>Variant</w:t>
      </w:r>
      <w:r>
        <w:rPr>
          <w:rFonts w:ascii="Arial" w:hAnsi="Arial" w:cs="Arial"/>
          <w:sz w:val="16"/>
          <w:szCs w:val="16"/>
        </w:rPr>
        <w:t xml:space="preserve"> </w:t>
      </w:r>
      <w:r w:rsidRPr="00A07CAE">
        <w:rPr>
          <w:rFonts w:ascii="Arial" w:hAnsi="Arial" w:cs="Arial"/>
          <w:sz w:val="16"/>
          <w:szCs w:val="16"/>
        </w:rPr>
        <w:t>rs798560</w:t>
      </w:r>
      <w:r>
        <w:t xml:space="preserve"> located within GNA12</w:t>
      </w:r>
      <w:r w:rsidR="00563ABA">
        <w:t>/AMZ1</w:t>
      </w:r>
      <w:r>
        <w:t xml:space="preserve"> gene region. </w:t>
      </w:r>
      <w:r w:rsidRPr="003A0DFC">
        <w:rPr>
          <w:b/>
          <w:bCs/>
        </w:rPr>
        <w:t>(B)</w:t>
      </w:r>
      <w:r w:rsidRPr="003A0DFC">
        <w:t xml:space="preserve"> Variant</w:t>
      </w:r>
      <w:r>
        <w:rPr>
          <w:b/>
          <w:bCs/>
        </w:rPr>
        <w:t xml:space="preserve"> </w:t>
      </w:r>
      <w:r w:rsidRPr="00A07CAE">
        <w:rPr>
          <w:rFonts w:ascii="Arial" w:hAnsi="Arial" w:cs="Arial"/>
          <w:sz w:val="16"/>
          <w:szCs w:val="16"/>
        </w:rPr>
        <w:t>rs57263785</w:t>
      </w:r>
      <w:r>
        <w:rPr>
          <w:rFonts w:ascii="Arial" w:hAnsi="Arial" w:cs="Arial"/>
          <w:sz w:val="16"/>
          <w:szCs w:val="16"/>
        </w:rPr>
        <w:t xml:space="preserve"> located within SMARCA2 gene region</w:t>
      </w:r>
      <w:r w:rsidRPr="00156675">
        <w:t xml:space="preserve">. </w:t>
      </w:r>
      <w:r w:rsidRPr="00856FA8">
        <w:rPr>
          <w:b/>
          <w:bCs/>
        </w:rPr>
        <w:t>(C)</w:t>
      </w:r>
      <w:r>
        <w:t xml:space="preserve"> </w:t>
      </w:r>
      <w:r w:rsidRPr="003A0DFC">
        <w:t>Variant</w:t>
      </w:r>
      <w:r>
        <w:rPr>
          <w:b/>
          <w:bCs/>
        </w:rPr>
        <w:t xml:space="preserve"> </w:t>
      </w:r>
      <w:r w:rsidRPr="00A07CAE">
        <w:rPr>
          <w:rFonts w:ascii="Arial" w:hAnsi="Arial" w:cs="Arial"/>
          <w:sz w:val="16"/>
          <w:szCs w:val="16"/>
        </w:rPr>
        <w:t>rs1582763</w:t>
      </w:r>
      <w:r>
        <w:rPr>
          <w:rFonts w:ascii="Arial" w:hAnsi="Arial" w:cs="Arial"/>
          <w:sz w:val="16"/>
          <w:szCs w:val="16"/>
        </w:rPr>
        <w:t xml:space="preserve"> located within MS4A family gene region.</w:t>
      </w:r>
      <w:r>
        <w:t xml:space="preserve"> Forest plot shows the effect size, standard error, p-value and sample size within each cohort included in meta-analyses as well as meta-analysis result. The dot and whiskers represent Effect size and its corresponding 95% confidence interval (L95=lower end, U95=upper end) within each cohort. META represents meta-analysis result from METAL.</w:t>
      </w:r>
    </w:p>
    <w:p w14:paraId="556613FB" w14:textId="70B3BE96" w:rsidR="00802F73" w:rsidRDefault="00563ABA" w:rsidP="00563ABA">
      <w:pPr>
        <w:keepNext/>
      </w:pPr>
      <w:r>
        <w:rPr>
          <w:noProof/>
        </w:rPr>
        <w:lastRenderedPageBreak/>
        <w:drawing>
          <wp:inline distT="0" distB="0" distL="0" distR="0" wp14:anchorId="3AA362E0" wp14:editId="72FD3094">
            <wp:extent cx="6729940" cy="4826000"/>
            <wp:effectExtent l="0" t="0" r="0" b="0"/>
            <wp:docPr id="9876314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63144" name="Picture 98763144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732463" cy="4827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922243" w14:textId="6E78A594" w:rsidR="00802F73" w:rsidRDefault="00802F73" w:rsidP="00802F73">
      <w:pPr>
        <w:pStyle w:val="Caption"/>
      </w:pPr>
      <w:r w:rsidRPr="00802F73">
        <w:rPr>
          <w:b/>
          <w:bCs/>
        </w:rPr>
        <w:t xml:space="preserve">Supplementary Figure </w:t>
      </w:r>
      <w:r w:rsidRPr="00802F73">
        <w:rPr>
          <w:b/>
          <w:bCs/>
        </w:rPr>
        <w:fldChar w:fldCharType="begin"/>
      </w:r>
      <w:r w:rsidRPr="00802F73">
        <w:rPr>
          <w:b/>
          <w:bCs/>
        </w:rPr>
        <w:instrText xml:space="preserve"> SEQ Supplementary_Figure \* ARABIC </w:instrText>
      </w:r>
      <w:r w:rsidRPr="00802F73">
        <w:rPr>
          <w:b/>
          <w:bCs/>
        </w:rPr>
        <w:fldChar w:fldCharType="separate"/>
      </w:r>
      <w:r w:rsidR="001D77AE">
        <w:rPr>
          <w:b/>
          <w:bCs/>
          <w:noProof/>
        </w:rPr>
        <w:t>7</w:t>
      </w:r>
      <w:r w:rsidRPr="00802F73">
        <w:rPr>
          <w:b/>
          <w:bCs/>
        </w:rPr>
        <w:fldChar w:fldCharType="end"/>
      </w:r>
      <w:r w:rsidRPr="00802F73">
        <w:rPr>
          <w:b/>
          <w:bCs/>
        </w:rPr>
        <w:t>:</w:t>
      </w:r>
      <w:r>
        <w:t xml:space="preserve"> </w:t>
      </w:r>
      <w:r w:rsidRPr="00156675">
        <w:rPr>
          <w:color w:val="auto"/>
        </w:rPr>
        <w:t>Locus zoom and</w:t>
      </w:r>
      <w:r>
        <w:rPr>
          <w:i w:val="0"/>
          <w:iCs w:val="0"/>
          <w:color w:val="auto"/>
          <w:sz w:val="24"/>
          <w:szCs w:val="24"/>
        </w:rPr>
        <w:t xml:space="preserve"> </w:t>
      </w:r>
      <w:r>
        <w:t>f</w:t>
      </w:r>
      <w:r w:rsidRPr="00156675">
        <w:t xml:space="preserve">orest plot for </w:t>
      </w:r>
      <w:r>
        <w:t xml:space="preserve">significant </w:t>
      </w:r>
      <w:r w:rsidRPr="00156675">
        <w:t xml:space="preserve">loci associated with </w:t>
      </w:r>
      <w:r>
        <w:t>p</w:t>
      </w:r>
      <w:r w:rsidR="00563ABA">
        <w:t>-t</w:t>
      </w:r>
      <w:r>
        <w:t>au</w:t>
      </w:r>
      <w:r w:rsidR="00563ABA">
        <w:t>181</w:t>
      </w:r>
      <w:r>
        <w:t xml:space="preserve"> from meta-analysis. </w:t>
      </w:r>
      <w:r w:rsidRPr="003A0DFC">
        <w:rPr>
          <w:b/>
          <w:bCs/>
        </w:rPr>
        <w:t>(A)</w:t>
      </w:r>
      <w:r>
        <w:rPr>
          <w:rFonts w:ascii="Arial" w:hAnsi="Arial" w:cs="Arial"/>
          <w:sz w:val="16"/>
          <w:szCs w:val="16"/>
        </w:rPr>
        <w:t xml:space="preserve"> </w:t>
      </w:r>
      <w:r>
        <w:t>Variant</w:t>
      </w:r>
      <w:r>
        <w:rPr>
          <w:rFonts w:ascii="Arial" w:hAnsi="Arial" w:cs="Arial"/>
          <w:sz w:val="16"/>
          <w:szCs w:val="16"/>
        </w:rPr>
        <w:t xml:space="preserve"> r</w:t>
      </w:r>
      <w:r w:rsidRPr="00A07CAE">
        <w:rPr>
          <w:rFonts w:ascii="Arial" w:hAnsi="Arial" w:cs="Arial"/>
          <w:sz w:val="16"/>
          <w:szCs w:val="16"/>
        </w:rPr>
        <w:t>s11045930</w:t>
      </w:r>
      <w:r>
        <w:t xml:space="preserve"> located within SLCO1A2 gene region. </w:t>
      </w:r>
      <w:r w:rsidRPr="003A0DFC">
        <w:rPr>
          <w:b/>
          <w:bCs/>
        </w:rPr>
        <w:t>(B)</w:t>
      </w:r>
      <w:r w:rsidRPr="003A0DFC">
        <w:t xml:space="preserve"> Variant</w:t>
      </w:r>
      <w:r>
        <w:rPr>
          <w:b/>
          <w:bCs/>
        </w:rPr>
        <w:t xml:space="preserve"> r</w:t>
      </w:r>
      <w:r w:rsidRPr="00A07CAE">
        <w:rPr>
          <w:rFonts w:ascii="Arial" w:hAnsi="Arial" w:cs="Arial"/>
          <w:sz w:val="16"/>
          <w:szCs w:val="16"/>
        </w:rPr>
        <w:t>s4843552</w:t>
      </w:r>
      <w:r>
        <w:rPr>
          <w:rFonts w:ascii="Arial" w:hAnsi="Arial" w:cs="Arial"/>
          <w:sz w:val="16"/>
          <w:szCs w:val="16"/>
        </w:rPr>
        <w:t xml:space="preserve"> located within C16orf95</w:t>
      </w:r>
      <w:r w:rsidR="00563ABA">
        <w:rPr>
          <w:rFonts w:ascii="Arial" w:hAnsi="Arial" w:cs="Arial"/>
          <w:sz w:val="16"/>
          <w:szCs w:val="16"/>
        </w:rPr>
        <w:t>/MAP1</w:t>
      </w:r>
      <w:r w:rsidR="00A81541">
        <w:rPr>
          <w:rFonts w:ascii="Arial" w:hAnsi="Arial" w:cs="Arial"/>
          <w:sz w:val="16"/>
          <w:szCs w:val="16"/>
        </w:rPr>
        <w:t>LC3B</w:t>
      </w:r>
      <w:r>
        <w:rPr>
          <w:rFonts w:ascii="Arial" w:hAnsi="Arial" w:cs="Arial"/>
          <w:sz w:val="16"/>
          <w:szCs w:val="16"/>
        </w:rPr>
        <w:t xml:space="preserve"> gene region</w:t>
      </w:r>
      <w:r w:rsidRPr="00156675">
        <w:t>.</w:t>
      </w:r>
      <w:r>
        <w:t xml:space="preserve"> Forest plot shows the effect size, standard error, p-value and sample size within each cohort included in meta-analyses as well as meta-analysis result. The dot and whiskers represent Effect size and its corresponding 95% confidence interval (L95=lower end, U95=upper end) within each cohort. META represents meta-analysis result from METAL.</w:t>
      </w:r>
    </w:p>
    <w:p w14:paraId="6D1F966D" w14:textId="0BCF97CB" w:rsidR="00CF5B9B" w:rsidRDefault="00CF5B9B">
      <w:r>
        <w:br w:type="page"/>
      </w:r>
    </w:p>
    <w:p w14:paraId="3B7CAD85" w14:textId="7DAD8564" w:rsidR="00AB407D" w:rsidRDefault="00EC01A1" w:rsidP="00EC01A1">
      <w:pPr>
        <w:keepNext/>
        <w:ind w:left="450" w:hanging="450"/>
      </w:pPr>
      <w:r>
        <w:rPr>
          <w:noProof/>
        </w:rPr>
        <w:lastRenderedPageBreak/>
        <w:drawing>
          <wp:inline distT="0" distB="0" distL="0" distR="0" wp14:anchorId="04E3484A" wp14:editId="0C37DC03">
            <wp:extent cx="5930900" cy="8369300"/>
            <wp:effectExtent l="0" t="0" r="0" b="0"/>
            <wp:docPr id="7117857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785782" name="Picture 71178578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4F0F5" w14:textId="5F33C45A" w:rsidR="00AB407D" w:rsidRPr="00EC01A1" w:rsidRDefault="00AB407D" w:rsidP="00EC01A1">
      <w:pPr>
        <w:pStyle w:val="Caption"/>
        <w:rPr>
          <w:b/>
          <w:bCs/>
        </w:rPr>
      </w:pPr>
      <w:r w:rsidRPr="007D3651">
        <w:rPr>
          <w:b/>
          <w:bCs/>
        </w:rPr>
        <w:t xml:space="preserve">Supplementary Figure </w:t>
      </w:r>
      <w:r w:rsidRPr="007D3651">
        <w:rPr>
          <w:b/>
          <w:bCs/>
        </w:rPr>
        <w:fldChar w:fldCharType="begin"/>
      </w:r>
      <w:r w:rsidRPr="007D3651">
        <w:rPr>
          <w:b/>
          <w:bCs/>
        </w:rPr>
        <w:instrText xml:space="preserve"> SEQ Supplementary_Figure \* ARABIC </w:instrText>
      </w:r>
      <w:r w:rsidRPr="007D3651">
        <w:rPr>
          <w:b/>
          <w:bCs/>
        </w:rPr>
        <w:fldChar w:fldCharType="separate"/>
      </w:r>
      <w:r w:rsidR="001D77AE">
        <w:rPr>
          <w:b/>
          <w:bCs/>
          <w:noProof/>
        </w:rPr>
        <w:t>8</w:t>
      </w:r>
      <w:r w:rsidRPr="007D3651">
        <w:rPr>
          <w:b/>
          <w:bCs/>
        </w:rPr>
        <w:fldChar w:fldCharType="end"/>
      </w:r>
      <w:r w:rsidRPr="007D3651">
        <w:rPr>
          <w:b/>
          <w:bCs/>
        </w:rPr>
        <w:t>:</w:t>
      </w:r>
      <w:r w:rsidRPr="007D3651">
        <w:t xml:space="preserve"> </w:t>
      </w:r>
      <w:r>
        <w:t xml:space="preserve">Manhattan plot showing </w:t>
      </w:r>
      <w:r w:rsidRPr="001914F8">
        <w:t xml:space="preserve">negative log10-transformed </w:t>
      </w:r>
      <w:r w:rsidR="00A81541">
        <w:t>p-</w:t>
      </w:r>
      <w:r w:rsidRPr="001914F8">
        <w:t xml:space="preserve"> values from</w:t>
      </w:r>
      <w:r>
        <w:t xml:space="preserve"> </w:t>
      </w:r>
      <w:r w:rsidRPr="001914F8">
        <w:t>the</w:t>
      </w:r>
      <w:r>
        <w:t xml:space="preserve"> non-European ancestry GWAS </w:t>
      </w:r>
      <w:r w:rsidRPr="001914F8">
        <w:t xml:space="preserve"> of</w:t>
      </w:r>
      <w:r>
        <w:t xml:space="preserve"> all three CSF biomarkers.</w:t>
      </w:r>
      <w:r w:rsidRPr="001914F8">
        <w:t xml:space="preserve"> The horizontal</w:t>
      </w:r>
      <w:r>
        <w:t xml:space="preserve"> </w:t>
      </w:r>
      <w:r w:rsidRPr="001914F8">
        <w:t>lines</w:t>
      </w:r>
      <w:r>
        <w:t xml:space="preserve"> </w:t>
      </w:r>
      <w:r w:rsidRPr="001914F8">
        <w:t xml:space="preserve">represent the genome-wide significance threshold, </w:t>
      </w:r>
      <w:r w:rsidR="00A81541">
        <w:t>p</w:t>
      </w:r>
      <w:r w:rsidRPr="001914F8">
        <w:t>=5 × 10−8 (</w:t>
      </w:r>
      <w:r>
        <w:t>orange</w:t>
      </w:r>
      <w:r w:rsidRPr="001914F8">
        <w:t xml:space="preserve">) and suggestive threshold, </w:t>
      </w:r>
      <w:r w:rsidR="00A81541">
        <w:t>p</w:t>
      </w:r>
      <w:r w:rsidRPr="001914F8">
        <w:t>=</w:t>
      </w:r>
      <w:r>
        <w:t xml:space="preserve"> </w:t>
      </w:r>
      <w:r w:rsidRPr="001914F8">
        <w:t>1×10−5</w:t>
      </w:r>
      <w:r>
        <w:t xml:space="preserve"> (grey</w:t>
      </w:r>
      <w:r w:rsidRPr="007D3651">
        <w:t xml:space="preserve">). </w:t>
      </w:r>
      <w:r w:rsidRPr="007D3651">
        <w:rPr>
          <w:b/>
          <w:bCs/>
        </w:rPr>
        <w:t>(A)</w:t>
      </w:r>
      <w:r w:rsidRPr="007D3651">
        <w:t xml:space="preserve"> A</w:t>
      </w:r>
      <w:r w:rsidRPr="007D3651">
        <w:sym w:font="Symbol" w:char="F062"/>
      </w:r>
      <w:r w:rsidRPr="007D3651">
        <w:t xml:space="preserve">42 </w:t>
      </w:r>
      <w:r w:rsidRPr="007D3651">
        <w:rPr>
          <w:b/>
          <w:bCs/>
        </w:rPr>
        <w:t>(B)</w:t>
      </w:r>
      <w:r w:rsidRPr="007D3651">
        <w:t xml:space="preserve"> </w:t>
      </w:r>
      <w:r w:rsidR="00A81541">
        <w:t>t-t</w:t>
      </w:r>
      <w:r w:rsidRPr="007D3651">
        <w:t xml:space="preserve">au </w:t>
      </w:r>
      <w:r w:rsidRPr="007D3651">
        <w:rPr>
          <w:b/>
          <w:bCs/>
        </w:rPr>
        <w:t>(C)</w:t>
      </w:r>
      <w:r w:rsidRPr="007D3651">
        <w:t xml:space="preserve"> p</w:t>
      </w:r>
      <w:r w:rsidR="00A81541">
        <w:t>-t</w:t>
      </w:r>
      <w:r w:rsidRPr="007D3651">
        <w:t>au18</w:t>
      </w:r>
      <w:r w:rsidR="00EC01A1">
        <w:t>1</w:t>
      </w:r>
    </w:p>
    <w:p w14:paraId="07CC1635" w14:textId="77777777" w:rsidR="00AB407D" w:rsidRDefault="00AB407D">
      <w:pPr>
        <w:rPr>
          <w:i/>
          <w:iCs/>
          <w:color w:val="0E2841" w:themeColor="text2"/>
          <w:sz w:val="18"/>
          <w:szCs w:val="18"/>
        </w:rPr>
      </w:pPr>
    </w:p>
    <w:p w14:paraId="30A5CD0F" w14:textId="7BC5AAE6" w:rsidR="00CF5B9B" w:rsidRDefault="00B236FF" w:rsidP="00B236FF">
      <w:pPr>
        <w:pStyle w:val="Caption"/>
        <w:keepNext/>
      </w:pPr>
      <w:r>
        <w:rPr>
          <w:noProof/>
        </w:rPr>
        <w:drawing>
          <wp:inline distT="0" distB="0" distL="0" distR="0" wp14:anchorId="693A3975" wp14:editId="31FFA6B5">
            <wp:extent cx="6489159" cy="3149600"/>
            <wp:effectExtent l="0" t="0" r="635" b="0"/>
            <wp:docPr id="1925012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01262" name="Picture 192501262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04791" cy="3157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F034A" w14:textId="49BBC884" w:rsidR="001D77AE" w:rsidRDefault="00CF5B9B" w:rsidP="00CF5B9B">
      <w:pPr>
        <w:pStyle w:val="Caption"/>
      </w:pPr>
      <w:r w:rsidRPr="00CF5B9B">
        <w:rPr>
          <w:b/>
          <w:bCs/>
        </w:rPr>
        <w:t xml:space="preserve">Supplementary Figure </w:t>
      </w:r>
      <w:r w:rsidRPr="00CF5B9B">
        <w:rPr>
          <w:b/>
          <w:bCs/>
        </w:rPr>
        <w:fldChar w:fldCharType="begin"/>
      </w:r>
      <w:r w:rsidRPr="00CF5B9B">
        <w:rPr>
          <w:b/>
          <w:bCs/>
        </w:rPr>
        <w:instrText xml:space="preserve"> SEQ Supplementary_Figure \* ARABIC </w:instrText>
      </w:r>
      <w:r w:rsidRPr="00CF5B9B">
        <w:rPr>
          <w:b/>
          <w:bCs/>
        </w:rPr>
        <w:fldChar w:fldCharType="separate"/>
      </w:r>
      <w:r w:rsidR="001D77AE">
        <w:rPr>
          <w:b/>
          <w:bCs/>
          <w:noProof/>
        </w:rPr>
        <w:t>9</w:t>
      </w:r>
      <w:r w:rsidRPr="00CF5B9B">
        <w:rPr>
          <w:b/>
          <w:bCs/>
        </w:rPr>
        <w:fldChar w:fldCharType="end"/>
      </w:r>
      <w:r w:rsidRPr="00CF5B9B">
        <w:rPr>
          <w:b/>
          <w:bCs/>
        </w:rPr>
        <w:t>:</w:t>
      </w:r>
      <w:r>
        <w:rPr>
          <w:b/>
          <w:bCs/>
        </w:rPr>
        <w:t xml:space="preserve"> </w:t>
      </w:r>
      <w:r w:rsidR="008B71CE" w:rsidRPr="005C4CCB">
        <w:t xml:space="preserve">Pathway plot for all trans protein </w:t>
      </w:r>
      <w:r w:rsidR="00661690">
        <w:t xml:space="preserve">QTLs </w:t>
      </w:r>
      <w:r w:rsidR="008B71CE" w:rsidRPr="005C4CCB">
        <w:t xml:space="preserve">that colocalize with Chromosome 16 </w:t>
      </w:r>
      <w:r w:rsidR="00A81541">
        <w:t>loci</w:t>
      </w:r>
      <w:r w:rsidR="008B71CE" w:rsidRPr="005C4CCB">
        <w:t xml:space="preserve">. </w:t>
      </w:r>
      <w:r w:rsidR="005C4CCB" w:rsidRPr="005C4CCB">
        <w:t xml:space="preserve">The gene ids associated with these proteins were used for pathway enrichment. </w:t>
      </w:r>
      <w:r w:rsidR="008B71CE" w:rsidRPr="005C4CCB">
        <w:t>Y</w:t>
      </w:r>
      <w:r w:rsidR="00B15B3F" w:rsidRPr="005C4CCB">
        <w:t xml:space="preserve">-axis shows </w:t>
      </w:r>
      <w:r w:rsidR="005C4CCB" w:rsidRPr="005C4CCB">
        <w:t>top Gene Ontology (GO) terms that pass FDR &lt;0.05 threshold, in descending order of significance. Color of dot plots show the FDR p value whereas sizes of dots represent the number of genes within the pathway. The corresponding heatmap shows the genes present within each path.</w:t>
      </w:r>
    </w:p>
    <w:p w14:paraId="284D1254" w14:textId="77777777" w:rsidR="001D77AE" w:rsidRDefault="001D77AE">
      <w:pPr>
        <w:rPr>
          <w:i/>
          <w:iCs/>
          <w:color w:val="0E2841" w:themeColor="text2"/>
          <w:sz w:val="18"/>
          <w:szCs w:val="18"/>
        </w:rPr>
      </w:pPr>
      <w:r>
        <w:br w:type="page"/>
      </w:r>
    </w:p>
    <w:p w14:paraId="2FC4D916" w14:textId="77777777" w:rsidR="001D77AE" w:rsidRDefault="001D77AE" w:rsidP="001D77AE">
      <w:pPr>
        <w:keepNext/>
      </w:pPr>
      <w:r>
        <w:rPr>
          <w:noProof/>
        </w:rPr>
        <w:lastRenderedPageBreak/>
        <w:drawing>
          <wp:inline distT="0" distB="0" distL="0" distR="0" wp14:anchorId="1317A5DF" wp14:editId="0D431D5A">
            <wp:extent cx="6527030" cy="2692400"/>
            <wp:effectExtent l="0" t="0" r="1270" b="0"/>
            <wp:docPr id="13544447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444747" name="Picture 13544447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12240" cy="2727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90027" w14:textId="38F8386B" w:rsidR="001D77AE" w:rsidRDefault="001D77AE" w:rsidP="001D77AE">
      <w:pPr>
        <w:pStyle w:val="Caption"/>
      </w:pPr>
      <w:r w:rsidRPr="00797AA7">
        <w:rPr>
          <w:b/>
          <w:bCs/>
        </w:rPr>
        <w:t xml:space="preserve">Supplementary Figure </w:t>
      </w:r>
      <w:r w:rsidRPr="00797AA7">
        <w:rPr>
          <w:b/>
          <w:bCs/>
        </w:rPr>
        <w:fldChar w:fldCharType="begin"/>
      </w:r>
      <w:r w:rsidRPr="00797AA7">
        <w:rPr>
          <w:b/>
          <w:bCs/>
        </w:rPr>
        <w:instrText xml:space="preserve"> SEQ Supplementary_Figure \* ARABIC </w:instrText>
      </w:r>
      <w:r w:rsidRPr="00797AA7">
        <w:rPr>
          <w:b/>
          <w:bCs/>
        </w:rPr>
        <w:fldChar w:fldCharType="separate"/>
      </w:r>
      <w:r>
        <w:rPr>
          <w:b/>
          <w:bCs/>
          <w:noProof/>
        </w:rPr>
        <w:t>10</w:t>
      </w:r>
      <w:r w:rsidRPr="00797AA7">
        <w:rPr>
          <w:b/>
          <w:bCs/>
        </w:rPr>
        <w:fldChar w:fldCharType="end"/>
      </w:r>
      <w:r w:rsidRPr="00797AA7">
        <w:rPr>
          <w:b/>
          <w:bCs/>
        </w:rPr>
        <w:t>: (A)</w:t>
      </w:r>
      <w:r>
        <w:t xml:space="preserve"> Identity by descent (IBD) plot showing probability of sharing no allele (Z0; x-axis) and one allele (Z1; y-axis) in related individuals. “0” Z0 and Z1 value shows exact duplicates whereas “1” Z1 shows parent-offspring pairs. Only individuals with </w:t>
      </w:r>
      <w:proofErr w:type="spellStart"/>
      <w:r>
        <w:t>pihat</w:t>
      </w:r>
      <w:proofErr w:type="spellEnd"/>
      <w:r>
        <w:t xml:space="preserve"> &lt;0.2 were kept. </w:t>
      </w:r>
      <w:r w:rsidRPr="00797AA7">
        <w:rPr>
          <w:b/>
          <w:bCs/>
        </w:rPr>
        <w:t>(B)</w:t>
      </w:r>
      <w:r>
        <w:t xml:space="preserve"> Genetic principal component analysis (PCA) plot of study samples with </w:t>
      </w:r>
      <w:r w:rsidRPr="00797AA7">
        <w:t>1000 Genomes</w:t>
      </w:r>
      <w:r>
        <w:t xml:space="preserve"> samples as anchor. Only European ancestry population (PC1&lt;0; PC2&gt;-0.003)  population were kept.</w:t>
      </w:r>
    </w:p>
    <w:p w14:paraId="47635159" w14:textId="77777777" w:rsidR="00D03A71" w:rsidRPr="00CF5B9B" w:rsidRDefault="00D03A71" w:rsidP="00CF5B9B">
      <w:pPr>
        <w:pStyle w:val="Caption"/>
        <w:rPr>
          <w:b/>
          <w:bCs/>
        </w:rPr>
      </w:pPr>
    </w:p>
    <w:sectPr w:rsidR="00D03A71" w:rsidRPr="00CF5B9B" w:rsidSect="00EC01A1">
      <w:pgSz w:w="12240" w:h="15840"/>
      <w:pgMar w:top="441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4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1EC5"/>
    <w:rsid w:val="0000313E"/>
    <w:rsid w:val="00010B41"/>
    <w:rsid w:val="00030438"/>
    <w:rsid w:val="00041E52"/>
    <w:rsid w:val="00054AC7"/>
    <w:rsid w:val="000667EA"/>
    <w:rsid w:val="0006743F"/>
    <w:rsid w:val="000D2D36"/>
    <w:rsid w:val="000D31E8"/>
    <w:rsid w:val="000D5408"/>
    <w:rsid w:val="000D6F36"/>
    <w:rsid w:val="00107763"/>
    <w:rsid w:val="00133B48"/>
    <w:rsid w:val="00151EC5"/>
    <w:rsid w:val="00153A27"/>
    <w:rsid w:val="00156675"/>
    <w:rsid w:val="0018492D"/>
    <w:rsid w:val="001D05FD"/>
    <w:rsid w:val="001D77AE"/>
    <w:rsid w:val="00250A47"/>
    <w:rsid w:val="002C5E85"/>
    <w:rsid w:val="002E1B87"/>
    <w:rsid w:val="002E2645"/>
    <w:rsid w:val="002F0C34"/>
    <w:rsid w:val="002F6CD4"/>
    <w:rsid w:val="00304637"/>
    <w:rsid w:val="00340950"/>
    <w:rsid w:val="00357AF2"/>
    <w:rsid w:val="003679EF"/>
    <w:rsid w:val="00382163"/>
    <w:rsid w:val="0038560D"/>
    <w:rsid w:val="003A0DFC"/>
    <w:rsid w:val="003D02A0"/>
    <w:rsid w:val="003D68CB"/>
    <w:rsid w:val="0040126B"/>
    <w:rsid w:val="0043729D"/>
    <w:rsid w:val="00447715"/>
    <w:rsid w:val="00452070"/>
    <w:rsid w:val="004C7B6D"/>
    <w:rsid w:val="004D7FB8"/>
    <w:rsid w:val="004F5E6A"/>
    <w:rsid w:val="00506258"/>
    <w:rsid w:val="00513361"/>
    <w:rsid w:val="0053009E"/>
    <w:rsid w:val="00563ABA"/>
    <w:rsid w:val="005811EA"/>
    <w:rsid w:val="005C3048"/>
    <w:rsid w:val="005C4CCB"/>
    <w:rsid w:val="005C7231"/>
    <w:rsid w:val="005D55D8"/>
    <w:rsid w:val="005D7B80"/>
    <w:rsid w:val="005F63D3"/>
    <w:rsid w:val="00624914"/>
    <w:rsid w:val="00661690"/>
    <w:rsid w:val="00682E51"/>
    <w:rsid w:val="00683B68"/>
    <w:rsid w:val="006D4A14"/>
    <w:rsid w:val="006E6219"/>
    <w:rsid w:val="007067A4"/>
    <w:rsid w:val="007071A0"/>
    <w:rsid w:val="00722B53"/>
    <w:rsid w:val="00725869"/>
    <w:rsid w:val="00750429"/>
    <w:rsid w:val="007505EF"/>
    <w:rsid w:val="00756EEE"/>
    <w:rsid w:val="00771ACE"/>
    <w:rsid w:val="00775C2A"/>
    <w:rsid w:val="00791D18"/>
    <w:rsid w:val="00797AA7"/>
    <w:rsid w:val="00797E1E"/>
    <w:rsid w:val="007D3651"/>
    <w:rsid w:val="007E0F00"/>
    <w:rsid w:val="007E2596"/>
    <w:rsid w:val="00800C0A"/>
    <w:rsid w:val="00802F73"/>
    <w:rsid w:val="00814456"/>
    <w:rsid w:val="008421BC"/>
    <w:rsid w:val="00847584"/>
    <w:rsid w:val="00856FA8"/>
    <w:rsid w:val="0088523A"/>
    <w:rsid w:val="008B71CE"/>
    <w:rsid w:val="008C218F"/>
    <w:rsid w:val="008C3A38"/>
    <w:rsid w:val="008D78A5"/>
    <w:rsid w:val="00920E54"/>
    <w:rsid w:val="00954884"/>
    <w:rsid w:val="00982362"/>
    <w:rsid w:val="00987DD7"/>
    <w:rsid w:val="009C53C7"/>
    <w:rsid w:val="00A0327F"/>
    <w:rsid w:val="00A15EFF"/>
    <w:rsid w:val="00A25443"/>
    <w:rsid w:val="00A81541"/>
    <w:rsid w:val="00AA7F0D"/>
    <w:rsid w:val="00AB407D"/>
    <w:rsid w:val="00AB5E45"/>
    <w:rsid w:val="00AD00AD"/>
    <w:rsid w:val="00AF47EC"/>
    <w:rsid w:val="00B11FCD"/>
    <w:rsid w:val="00B15B3F"/>
    <w:rsid w:val="00B236FF"/>
    <w:rsid w:val="00B26EA6"/>
    <w:rsid w:val="00B506C9"/>
    <w:rsid w:val="00B61F1F"/>
    <w:rsid w:val="00B83FB7"/>
    <w:rsid w:val="00B87A6C"/>
    <w:rsid w:val="00B951C4"/>
    <w:rsid w:val="00BB3ACE"/>
    <w:rsid w:val="00BC7DE0"/>
    <w:rsid w:val="00C40E96"/>
    <w:rsid w:val="00C706BB"/>
    <w:rsid w:val="00C74F8B"/>
    <w:rsid w:val="00CA085C"/>
    <w:rsid w:val="00CF5B9B"/>
    <w:rsid w:val="00CF6A84"/>
    <w:rsid w:val="00D03A71"/>
    <w:rsid w:val="00D2094C"/>
    <w:rsid w:val="00D40189"/>
    <w:rsid w:val="00D509D1"/>
    <w:rsid w:val="00D570B0"/>
    <w:rsid w:val="00DC5A9B"/>
    <w:rsid w:val="00DC79FC"/>
    <w:rsid w:val="00DE062F"/>
    <w:rsid w:val="00E00209"/>
    <w:rsid w:val="00E10120"/>
    <w:rsid w:val="00E17C22"/>
    <w:rsid w:val="00E43D84"/>
    <w:rsid w:val="00E63EB4"/>
    <w:rsid w:val="00E747ED"/>
    <w:rsid w:val="00E90D19"/>
    <w:rsid w:val="00E91FA7"/>
    <w:rsid w:val="00EB6646"/>
    <w:rsid w:val="00EC01A1"/>
    <w:rsid w:val="00EC2351"/>
    <w:rsid w:val="00F14D82"/>
    <w:rsid w:val="00F254CF"/>
    <w:rsid w:val="00F73341"/>
    <w:rsid w:val="00F80392"/>
    <w:rsid w:val="00FA2448"/>
    <w:rsid w:val="00FA2B0A"/>
    <w:rsid w:val="00FA36F1"/>
    <w:rsid w:val="00FE262D"/>
    <w:rsid w:val="00FE5360"/>
    <w:rsid w:val="00FE69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049D7F5"/>
  <w15:chartTrackingRefBased/>
  <w15:docId w15:val="{10FA15F2-7515-FB47-8C26-F23E16C397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151EC5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51EC5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51EC5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51EC5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51EC5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151EC5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51EC5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51EC5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51EC5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51EC5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51EC5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51EC5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51EC5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51EC5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151EC5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51EC5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51EC5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51EC5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151EC5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151EC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151EC5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151EC5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151EC5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151EC5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151EC5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151EC5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151EC5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151EC5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151EC5"/>
    <w:rPr>
      <w:b/>
      <w:bCs/>
      <w:smallCaps/>
      <w:color w:val="0F4761" w:themeColor="accent1" w:themeShade="BF"/>
      <w:spacing w:val="5"/>
    </w:rPr>
  </w:style>
  <w:style w:type="paragraph" w:styleId="Caption">
    <w:name w:val="caption"/>
    <w:basedOn w:val="Normal"/>
    <w:next w:val="Normal"/>
    <w:uiPriority w:val="35"/>
    <w:unhideWhenUsed/>
    <w:qFormat/>
    <w:rsid w:val="00151EC5"/>
    <w:pPr>
      <w:spacing w:after="200"/>
    </w:pPr>
    <w:rPr>
      <w:i/>
      <w:iCs/>
      <w:color w:val="0E2841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14682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tif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16FA80AD-0AE2-6E46-B314-AF32C6CFC0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176</TotalTime>
  <Pages>10</Pages>
  <Words>883</Words>
  <Characters>5036</Characters>
  <Application>Microsoft Office Word</Application>
  <DocSecurity>0</DocSecurity>
  <Lines>41</Lines>
  <Paragraphs>11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Timsina, Jigyasha</dc:creator>
  <cp:keywords/>
  <dc:description/>
  <cp:lastModifiedBy>Timsina, Jigyasha</cp:lastModifiedBy>
  <cp:revision>17</cp:revision>
  <dcterms:created xsi:type="dcterms:W3CDTF">2024-10-22T16:52:00Z</dcterms:created>
  <dcterms:modified xsi:type="dcterms:W3CDTF">2025-04-30T22:52:00Z</dcterms:modified>
</cp:coreProperties>
</file>