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ACEF4" w14:textId="77777777" w:rsidR="002B0C6E" w:rsidRPr="00B4704D" w:rsidRDefault="002B0C6E" w:rsidP="002B0C6E">
      <w:pPr>
        <w:keepNext/>
        <w:keepLines/>
        <w:spacing w:before="240" w:after="160" w:line="259" w:lineRule="auto"/>
        <w:outlineLvl w:val="0"/>
        <w:rPr>
          <w:rFonts w:ascii="Times New Roman" w:eastAsia="Times New Roman" w:hAnsi="Times New Roman" w:cs="Times New Roman"/>
          <w:b/>
          <w:sz w:val="24"/>
          <w:szCs w:val="32"/>
          <w:lang w:val="en-GB" w:eastAsia="en-GB"/>
        </w:rPr>
      </w:pPr>
      <w:bookmarkStart w:id="0" w:name="_Toc32777005"/>
      <w:r w:rsidRPr="00B4704D">
        <w:rPr>
          <w:rFonts w:ascii="Times New Roman" w:eastAsia="Times New Roman" w:hAnsi="Times New Roman" w:cs="Times New Roman"/>
          <w:b/>
          <w:sz w:val="24"/>
          <w:szCs w:val="32"/>
          <w:lang w:val="en-GB" w:eastAsia="en-GB"/>
        </w:rPr>
        <w:t>Appendices</w:t>
      </w:r>
    </w:p>
    <w:p w14:paraId="2B022056" w14:textId="77777777" w:rsidR="002B0C6E" w:rsidRPr="00B4704D" w:rsidRDefault="002B0C6E" w:rsidP="002B0C6E">
      <w:pPr>
        <w:keepNext/>
        <w:spacing w:line="240" w:lineRule="atLeast"/>
        <w:ind w:right="804"/>
        <w:rPr>
          <w:rFonts w:ascii="Times New Roman" w:eastAsia="Calibri" w:hAnsi="Times New Roman" w:cs="Arial"/>
          <w:b/>
          <w:iCs/>
          <w:sz w:val="20"/>
          <w:szCs w:val="18"/>
        </w:rPr>
      </w:pPr>
      <w:bookmarkStart w:id="1" w:name="_Hlk129699198"/>
      <w:bookmarkStart w:id="2" w:name="_Hlk163559641"/>
      <w:bookmarkEnd w:id="0"/>
      <w:r w:rsidRPr="00B4704D">
        <w:rPr>
          <w:rFonts w:ascii="Times New Roman" w:eastAsia="Calibri" w:hAnsi="Times New Roman" w:cs="Arial"/>
          <w:b/>
          <w:iCs/>
          <w:sz w:val="20"/>
          <w:szCs w:val="18"/>
        </w:rPr>
        <w:t>Appendix A</w:t>
      </w:r>
    </w:p>
    <w:bookmarkEnd w:id="1"/>
    <w:p w14:paraId="0B9F57D7" w14:textId="77777777" w:rsidR="002B0C6E" w:rsidRPr="00B4704D" w:rsidRDefault="002B0C6E" w:rsidP="002B0C6E">
      <w:pPr>
        <w:spacing w:line="240" w:lineRule="auto"/>
        <w:rPr>
          <w:rFonts w:ascii="Times New Roman" w:eastAsia="Calibri" w:hAnsi="Times New Roman" w:cs="Arial"/>
          <w:b/>
          <w:sz w:val="20"/>
          <w:lang w:val="en-US"/>
        </w:rPr>
      </w:pPr>
      <w:r w:rsidRPr="00B4704D">
        <w:rPr>
          <w:rFonts w:ascii="Times New Roman" w:eastAsia="Calibri" w:hAnsi="Times New Roman" w:cs="Arial"/>
          <w:b/>
          <w:sz w:val="20"/>
          <w:lang w:val="en-US"/>
        </w:rPr>
        <w:t>Variable Definitions</w:t>
      </w:r>
    </w:p>
    <w:tbl>
      <w:tblPr>
        <w:tblStyle w:val="TableGrid1"/>
        <w:tblW w:w="5000"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64"/>
        <w:gridCol w:w="1305"/>
        <w:gridCol w:w="6921"/>
      </w:tblGrid>
      <w:tr w:rsidR="002B0C6E" w:rsidRPr="00B4704D" w14:paraId="4B4E42F1" w14:textId="77777777" w:rsidTr="000B4FD1">
        <w:trPr>
          <w:trHeight w:val="359"/>
        </w:trPr>
        <w:tc>
          <w:tcPr>
            <w:tcW w:w="841" w:type="pct"/>
            <w:tcBorders>
              <w:top w:val="single" w:sz="8" w:space="0" w:color="auto"/>
              <w:bottom w:val="single" w:sz="8" w:space="0" w:color="auto"/>
            </w:tcBorders>
            <w:vAlign w:val="center"/>
          </w:tcPr>
          <w:p w14:paraId="7AF994DA" w14:textId="77777777" w:rsidR="002B0C6E" w:rsidRPr="00B4704D" w:rsidRDefault="002B0C6E" w:rsidP="000B4FD1">
            <w:pPr>
              <w:spacing w:line="240" w:lineRule="auto"/>
              <w:rPr>
                <w:rFonts w:ascii="Times New Roman" w:eastAsia="Garamond" w:hAnsi="Times New Roman" w:cs="Arial"/>
                <w:b/>
                <w:bCs/>
                <w:sz w:val="18"/>
                <w:szCs w:val="18"/>
              </w:rPr>
            </w:pPr>
            <w:bookmarkStart w:id="3" w:name="_Hlk166144341"/>
            <w:r w:rsidRPr="00B4704D">
              <w:rPr>
                <w:rFonts w:ascii="Times New Roman" w:eastAsia="Garamond" w:hAnsi="Times New Roman" w:cs="Arial"/>
                <w:b/>
                <w:bCs/>
                <w:sz w:val="18"/>
                <w:szCs w:val="18"/>
              </w:rPr>
              <w:t>Variables</w:t>
            </w:r>
          </w:p>
        </w:tc>
        <w:tc>
          <w:tcPr>
            <w:tcW w:w="660" w:type="pct"/>
            <w:tcBorders>
              <w:top w:val="single" w:sz="8" w:space="0" w:color="auto"/>
              <w:bottom w:val="single" w:sz="8" w:space="0" w:color="auto"/>
            </w:tcBorders>
            <w:vAlign w:val="center"/>
          </w:tcPr>
          <w:p w14:paraId="53D06B2A" w14:textId="77777777" w:rsidR="002B0C6E" w:rsidRPr="00B4704D" w:rsidRDefault="002B0C6E" w:rsidP="000B4FD1">
            <w:pPr>
              <w:spacing w:line="240" w:lineRule="auto"/>
              <w:rPr>
                <w:rFonts w:ascii="Times New Roman" w:eastAsia="Garamond" w:hAnsi="Times New Roman" w:cs="Arial"/>
                <w:b/>
                <w:bCs/>
                <w:sz w:val="18"/>
                <w:szCs w:val="18"/>
              </w:rPr>
            </w:pPr>
            <w:r w:rsidRPr="00B4704D">
              <w:rPr>
                <w:rFonts w:ascii="Times New Roman" w:eastAsia="Garamond" w:hAnsi="Times New Roman" w:cs="Arial"/>
                <w:b/>
                <w:bCs/>
                <w:sz w:val="18"/>
                <w:szCs w:val="18"/>
              </w:rPr>
              <w:t>Metrics</w:t>
            </w:r>
          </w:p>
        </w:tc>
        <w:tc>
          <w:tcPr>
            <w:tcW w:w="3499" w:type="pct"/>
            <w:tcBorders>
              <w:top w:val="single" w:sz="8" w:space="0" w:color="auto"/>
              <w:bottom w:val="single" w:sz="8" w:space="0" w:color="auto"/>
            </w:tcBorders>
            <w:vAlign w:val="center"/>
          </w:tcPr>
          <w:p w14:paraId="7DAC0524" w14:textId="77777777" w:rsidR="002B0C6E" w:rsidRPr="00B4704D" w:rsidRDefault="002B0C6E" w:rsidP="000B4FD1">
            <w:pPr>
              <w:spacing w:line="240" w:lineRule="auto"/>
              <w:rPr>
                <w:rFonts w:ascii="Times New Roman" w:eastAsia="Garamond" w:hAnsi="Times New Roman" w:cs="Arial"/>
                <w:b/>
                <w:bCs/>
                <w:sz w:val="18"/>
                <w:szCs w:val="18"/>
              </w:rPr>
            </w:pPr>
            <w:r w:rsidRPr="00B4704D">
              <w:rPr>
                <w:rFonts w:ascii="Times New Roman" w:eastAsia="Garamond" w:hAnsi="Times New Roman" w:cs="Arial"/>
                <w:b/>
                <w:bCs/>
                <w:sz w:val="18"/>
                <w:szCs w:val="18"/>
              </w:rPr>
              <w:t>Measurement and Definition</w:t>
            </w:r>
          </w:p>
        </w:tc>
      </w:tr>
      <w:tr w:rsidR="002B0C6E" w:rsidRPr="00B4704D" w14:paraId="68843AED" w14:textId="77777777" w:rsidTr="000B4FD1">
        <w:trPr>
          <w:trHeight w:val="61"/>
        </w:trPr>
        <w:tc>
          <w:tcPr>
            <w:tcW w:w="5000" w:type="pct"/>
            <w:gridSpan w:val="3"/>
            <w:tcBorders>
              <w:top w:val="single" w:sz="8" w:space="0" w:color="auto"/>
              <w:bottom w:val="single" w:sz="8" w:space="0" w:color="auto"/>
            </w:tcBorders>
            <w:vAlign w:val="center"/>
          </w:tcPr>
          <w:p w14:paraId="146B03FA" w14:textId="77777777" w:rsidR="002B0C6E" w:rsidRPr="00B4704D" w:rsidRDefault="002B0C6E" w:rsidP="000B4FD1">
            <w:pPr>
              <w:spacing w:line="240" w:lineRule="auto"/>
              <w:rPr>
                <w:rFonts w:ascii="Times New Roman" w:eastAsia="Garamond" w:hAnsi="Times New Roman" w:cs="Arial"/>
                <w:b/>
                <w:bCs/>
                <w:sz w:val="18"/>
                <w:szCs w:val="18"/>
              </w:rPr>
            </w:pPr>
            <w:r w:rsidRPr="00B4704D">
              <w:rPr>
                <w:rFonts w:ascii="Times New Roman" w:eastAsia="Garamond" w:hAnsi="Times New Roman" w:cs="Arial"/>
                <w:b/>
                <w:bCs/>
                <w:sz w:val="18"/>
                <w:szCs w:val="18"/>
              </w:rPr>
              <w:t>Panel A: Independent Variables</w:t>
            </w:r>
          </w:p>
        </w:tc>
      </w:tr>
      <w:tr w:rsidR="002B0C6E" w:rsidRPr="00B4704D" w14:paraId="54027B30" w14:textId="77777777" w:rsidTr="000B4FD1">
        <w:trPr>
          <w:trHeight w:val="97"/>
        </w:trPr>
        <w:tc>
          <w:tcPr>
            <w:tcW w:w="841" w:type="pct"/>
            <w:tcBorders>
              <w:top w:val="single" w:sz="8" w:space="0" w:color="auto"/>
              <w:bottom w:val="nil"/>
            </w:tcBorders>
          </w:tcPr>
          <w:p w14:paraId="33D57D46"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Board committees’ diversity</w:t>
            </w:r>
          </w:p>
        </w:tc>
        <w:tc>
          <w:tcPr>
            <w:tcW w:w="660" w:type="pct"/>
            <w:tcBorders>
              <w:top w:val="single" w:sz="8" w:space="0" w:color="auto"/>
              <w:bottom w:val="nil"/>
            </w:tcBorders>
          </w:tcPr>
          <w:p w14:paraId="2033C4D7" w14:textId="77777777" w:rsidR="002B0C6E" w:rsidRPr="00B4704D" w:rsidRDefault="002B0C6E" w:rsidP="000B4FD1">
            <w:pPr>
              <w:spacing w:line="240" w:lineRule="auto"/>
              <w:jc w:val="left"/>
              <w:rPr>
                <w:rFonts w:ascii="Times New Roman" w:eastAsia="Garamond" w:hAnsi="Times New Roman" w:cs="Arial"/>
                <w:i/>
                <w:iCs/>
                <w:sz w:val="20"/>
                <w:szCs w:val="20"/>
              </w:rPr>
            </w:pPr>
            <w:r w:rsidRPr="00B4704D">
              <w:rPr>
                <w:rFonts w:ascii="Times New Roman" w:eastAsia="Garamond" w:hAnsi="Times New Roman" w:cs="Arial"/>
                <w:i/>
                <w:iCs/>
                <w:sz w:val="18"/>
                <w:szCs w:val="18"/>
              </w:rPr>
              <w:t>BCs_Diversity</w:t>
            </w:r>
          </w:p>
        </w:tc>
        <w:tc>
          <w:tcPr>
            <w:tcW w:w="3499" w:type="pct"/>
            <w:tcBorders>
              <w:top w:val="single" w:sz="8" w:space="0" w:color="auto"/>
              <w:bottom w:val="nil"/>
            </w:tcBorders>
          </w:tcPr>
          <w:p w14:paraId="7D1340D9" w14:textId="77777777" w:rsidR="002B0C6E" w:rsidRDefault="002B0C6E" w:rsidP="000B4FD1">
            <w:pPr>
              <w:spacing w:line="240" w:lineRule="atLeast"/>
              <w:contextualSpacing/>
              <w:rPr>
                <w:rFonts w:ascii="Times New Roman" w:eastAsia="Garamond" w:hAnsi="Times New Roman" w:cs="Times New Roman"/>
                <w:sz w:val="18"/>
                <w:szCs w:val="18"/>
                <w:lang w:val="en-GB" w:eastAsia="en-GB"/>
              </w:rPr>
            </w:pPr>
            <w:r w:rsidRPr="00B3581E">
              <w:rPr>
                <w:rFonts w:ascii="Times New Roman" w:eastAsia="Garamond" w:hAnsi="Times New Roman" w:cs="Times New Roman"/>
                <w:sz w:val="18"/>
                <w:szCs w:val="18"/>
                <w:lang w:val="en-GB" w:eastAsia="en-GB"/>
              </w:rPr>
              <w:t>To systematically quantify the heterogeneity in board committee compositions across firms, we develop the BCs_Diversity index, a composite metric integrating multiple diversity dimensions across key governance committees, including the Executive Board, Audit, Remuneration, Recruitment, Sustainability, and Nomination Committees. The index is constructed using a multi-factor aggregation framework and is normalized to ensure comparability across firms and time periods</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 xml:space="preserve">For each committee </w:t>
            </w:r>
            <w:r w:rsidRPr="00B3581E">
              <w:rPr>
                <w:rFonts w:ascii="Times New Roman" w:eastAsia="Garamond" w:hAnsi="Times New Roman" w:cs="Times New Roman"/>
                <w:i/>
                <w:iCs/>
                <w:sz w:val="18"/>
                <w:szCs w:val="18"/>
                <w:lang w:val="en-GB" w:eastAsia="en-GB"/>
              </w:rPr>
              <w:t>j</w:t>
            </w:r>
            <w:r w:rsidRPr="00B3581E">
              <w:rPr>
                <w:rFonts w:ascii="Times New Roman" w:eastAsia="Garamond" w:hAnsi="Times New Roman" w:cs="Times New Roman"/>
                <w:sz w:val="18"/>
                <w:szCs w:val="18"/>
                <w:lang w:val="en-GB" w:eastAsia="en-GB"/>
              </w:rPr>
              <w:t xml:space="preserve"> within firm </w:t>
            </w:r>
            <w:r w:rsidRPr="00B3581E">
              <w:rPr>
                <w:rFonts w:ascii="Times New Roman" w:eastAsia="Garamond" w:hAnsi="Times New Roman" w:cs="Times New Roman"/>
                <w:i/>
                <w:iCs/>
                <w:sz w:val="18"/>
                <w:szCs w:val="18"/>
                <w:lang w:val="en-GB" w:eastAsia="en-GB"/>
              </w:rPr>
              <w:t>i</w:t>
            </w:r>
            <w:r w:rsidRPr="00B3581E">
              <w:rPr>
                <w:rFonts w:ascii="Times New Roman" w:eastAsia="Garamond" w:hAnsi="Times New Roman" w:cs="Times New Roman"/>
                <w:sz w:val="18"/>
                <w:szCs w:val="18"/>
                <w:lang w:val="en-GB" w:eastAsia="en-GB"/>
              </w:rPr>
              <w:t xml:space="preserve"> at time </w:t>
            </w:r>
            <w:r w:rsidRPr="00B3581E">
              <w:rPr>
                <w:rFonts w:ascii="Times New Roman" w:eastAsia="Garamond" w:hAnsi="Times New Roman" w:cs="Times New Roman"/>
                <w:i/>
                <w:iCs/>
                <w:sz w:val="18"/>
                <w:szCs w:val="18"/>
                <w:lang w:val="en-GB" w:eastAsia="en-GB"/>
              </w:rPr>
              <w:t>t</w:t>
            </w:r>
            <w:r w:rsidRPr="00B3581E">
              <w:rPr>
                <w:rFonts w:ascii="Times New Roman" w:eastAsia="Garamond" w:hAnsi="Times New Roman" w:cs="Times New Roman"/>
                <w:sz w:val="18"/>
                <w:szCs w:val="18"/>
                <w:lang w:val="en-GB" w:eastAsia="en-GB"/>
              </w:rPr>
              <w:t>, diversity is assessed across five key dimensions</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Existence (</w:t>
            </w:r>
            <w:r w:rsidRPr="00B3581E">
              <w:rPr>
                <w:rFonts w:ascii="Times New Roman" w:eastAsia="Garamond" w:hAnsi="Times New Roman" w:cs="Times New Roman"/>
                <w:i/>
                <w:iCs/>
                <w:sz w:val="18"/>
                <w:szCs w:val="18"/>
                <w:lang w:val="en-GB" w:eastAsia="en-GB"/>
              </w:rPr>
              <w:t>Existence</w:t>
            </w:r>
            <w:r w:rsidRPr="00B3581E">
              <w:rPr>
                <w:rFonts w:ascii="Times New Roman" w:eastAsia="Garamond" w:hAnsi="Times New Roman" w:cs="Times New Roman"/>
                <w:i/>
                <w:iCs/>
                <w:sz w:val="18"/>
                <w:szCs w:val="18"/>
                <w:vertAlign w:val="subscript"/>
                <w:lang w:val="en-GB" w:eastAsia="en-GB"/>
              </w:rPr>
              <w:t>j,i,t</w:t>
            </w:r>
            <w:r w:rsidRPr="00B3581E">
              <w:rPr>
                <w:rFonts w:ascii="Times New Roman" w:eastAsia="Garamond" w:hAnsi="Times New Roman" w:cs="Times New Roman"/>
                <w:i/>
                <w:iCs/>
                <w:sz w:val="18"/>
                <w:szCs w:val="18"/>
                <w:lang w:val="en-GB" w:eastAsia="en-GB"/>
              </w:rPr>
              <w:t>​)</w:t>
            </w:r>
            <w:r w:rsidRPr="00B3581E">
              <w:rPr>
                <w:rFonts w:ascii="Times New Roman" w:eastAsia="Garamond" w:hAnsi="Times New Roman" w:cs="Times New Roman"/>
                <w:sz w:val="18"/>
                <w:szCs w:val="18"/>
                <w:lang w:val="en-GB" w:eastAsia="en-GB"/>
              </w:rPr>
              <w:t xml:space="preserve"> – Binary indicator capturing committee presence (1 = present, 0 = absent).</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 xml:space="preserve">Size </w:t>
            </w:r>
            <w:r w:rsidRPr="00B3581E">
              <w:rPr>
                <w:rFonts w:ascii="Times New Roman" w:eastAsia="Garamond" w:hAnsi="Times New Roman" w:cs="Times New Roman"/>
                <w:i/>
                <w:iCs/>
                <w:sz w:val="18"/>
                <w:szCs w:val="18"/>
                <w:lang w:val="en-GB" w:eastAsia="en-GB"/>
              </w:rPr>
              <w:t>(Size</w:t>
            </w:r>
            <w:r w:rsidRPr="00B3581E">
              <w:rPr>
                <w:rFonts w:ascii="Times New Roman" w:eastAsia="Garamond" w:hAnsi="Times New Roman" w:cs="Times New Roman"/>
                <w:i/>
                <w:iCs/>
                <w:sz w:val="18"/>
                <w:szCs w:val="18"/>
                <w:vertAlign w:val="subscript"/>
                <w:lang w:val="en-GB" w:eastAsia="en-GB"/>
              </w:rPr>
              <w:t>j,i,t</w:t>
            </w:r>
            <w:r w:rsidRPr="00B3581E">
              <w:rPr>
                <w:rFonts w:ascii="Times New Roman" w:eastAsia="Garamond" w:hAnsi="Times New Roman" w:cs="Times New Roman"/>
                <w:i/>
                <w:iCs/>
                <w:sz w:val="18"/>
                <w:szCs w:val="18"/>
                <w:lang w:val="en-GB" w:eastAsia="en-GB"/>
              </w:rPr>
              <w:t>​)</w:t>
            </w:r>
            <w:r w:rsidRPr="00B3581E">
              <w:rPr>
                <w:rFonts w:ascii="Times New Roman" w:eastAsia="Garamond" w:hAnsi="Times New Roman" w:cs="Times New Roman"/>
                <w:sz w:val="18"/>
                <w:szCs w:val="18"/>
                <w:lang w:val="en-GB" w:eastAsia="en-GB"/>
              </w:rPr>
              <w:t xml:space="preserve"> – Relative committee size, standardized against total board size. Gender Representation </w:t>
            </w:r>
            <w:r w:rsidRPr="00B3581E">
              <w:rPr>
                <w:rFonts w:ascii="Times New Roman" w:eastAsia="Garamond" w:hAnsi="Times New Roman" w:cs="Times New Roman"/>
                <w:i/>
                <w:iCs/>
                <w:sz w:val="18"/>
                <w:szCs w:val="18"/>
                <w:lang w:val="en-GB" w:eastAsia="en-GB"/>
              </w:rPr>
              <w:t>(Per_Wom</w:t>
            </w:r>
            <w:r w:rsidRPr="00B3581E">
              <w:rPr>
                <w:rFonts w:ascii="Times New Roman" w:eastAsia="Garamond" w:hAnsi="Times New Roman" w:cs="Times New Roman"/>
                <w:i/>
                <w:iCs/>
                <w:sz w:val="18"/>
                <w:szCs w:val="18"/>
                <w:vertAlign w:val="subscript"/>
                <w:lang w:val="en-GB" w:eastAsia="en-GB"/>
              </w:rPr>
              <w:t>j,i,t</w:t>
            </w:r>
            <w:r w:rsidRPr="00B3581E">
              <w:rPr>
                <w:rFonts w:ascii="Times New Roman" w:eastAsia="Garamond" w:hAnsi="Times New Roman" w:cs="Times New Roman"/>
                <w:i/>
                <w:iCs/>
                <w:sz w:val="18"/>
                <w:szCs w:val="18"/>
                <w:lang w:val="en-GB" w:eastAsia="en-GB"/>
              </w:rPr>
              <w:t>)</w:t>
            </w:r>
            <w:r w:rsidRPr="00B3581E">
              <w:rPr>
                <w:rFonts w:ascii="Times New Roman" w:eastAsia="Garamond" w:hAnsi="Times New Roman" w:cs="Times New Roman"/>
                <w:sz w:val="18"/>
                <w:szCs w:val="18"/>
                <w:lang w:val="en-GB" w:eastAsia="en-GB"/>
              </w:rPr>
              <w:t xml:space="preserve"> – Proportion of female members within the committee.</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 xml:space="preserve">Independence </w:t>
            </w:r>
            <w:r w:rsidRPr="00B3581E">
              <w:rPr>
                <w:rFonts w:ascii="Times New Roman" w:eastAsia="Garamond" w:hAnsi="Times New Roman" w:cs="Times New Roman"/>
                <w:i/>
                <w:iCs/>
                <w:sz w:val="18"/>
                <w:szCs w:val="18"/>
                <w:lang w:val="en-GB" w:eastAsia="en-GB"/>
              </w:rPr>
              <w:t>(Per_Indep</w:t>
            </w:r>
            <w:r w:rsidRPr="00B3581E">
              <w:rPr>
                <w:rFonts w:ascii="Times New Roman" w:eastAsia="Garamond" w:hAnsi="Times New Roman" w:cs="Times New Roman"/>
                <w:i/>
                <w:iCs/>
                <w:sz w:val="18"/>
                <w:szCs w:val="18"/>
                <w:vertAlign w:val="subscript"/>
                <w:lang w:val="en-GB" w:eastAsia="en-GB"/>
              </w:rPr>
              <w:t>j,i,t</w:t>
            </w:r>
            <w:r w:rsidRPr="00B3581E">
              <w:rPr>
                <w:rFonts w:ascii="Times New Roman" w:eastAsia="Garamond" w:hAnsi="Times New Roman" w:cs="Times New Roman"/>
                <w:i/>
                <w:iCs/>
                <w:sz w:val="18"/>
                <w:szCs w:val="18"/>
                <w:lang w:val="en-GB" w:eastAsia="en-GB"/>
              </w:rPr>
              <w:t>​)</w:t>
            </w:r>
            <w:r w:rsidRPr="00B3581E">
              <w:rPr>
                <w:rFonts w:ascii="Times New Roman" w:eastAsia="Garamond" w:hAnsi="Times New Roman" w:cs="Times New Roman"/>
                <w:sz w:val="18"/>
                <w:szCs w:val="18"/>
                <w:lang w:val="en-GB" w:eastAsia="en-GB"/>
              </w:rPr>
              <w:t xml:space="preserve"> – Proportion of independent directors.</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 xml:space="preserve">Non-Executive Representation </w:t>
            </w:r>
            <w:r w:rsidRPr="00B3581E">
              <w:rPr>
                <w:rFonts w:ascii="Times New Roman" w:eastAsia="Garamond" w:hAnsi="Times New Roman" w:cs="Times New Roman"/>
                <w:i/>
                <w:iCs/>
                <w:sz w:val="18"/>
                <w:szCs w:val="18"/>
                <w:lang w:val="en-GB" w:eastAsia="en-GB"/>
              </w:rPr>
              <w:t>(Per_NonExec</w:t>
            </w:r>
            <w:r w:rsidRPr="00B3581E">
              <w:rPr>
                <w:rFonts w:ascii="Times New Roman" w:eastAsia="Garamond" w:hAnsi="Times New Roman" w:cs="Times New Roman"/>
                <w:i/>
                <w:iCs/>
                <w:sz w:val="18"/>
                <w:szCs w:val="18"/>
                <w:vertAlign w:val="subscript"/>
                <w:lang w:val="en-GB" w:eastAsia="en-GB"/>
              </w:rPr>
              <w:t>j,i,t</w:t>
            </w:r>
            <w:r w:rsidRPr="00B3581E">
              <w:rPr>
                <w:rFonts w:ascii="Times New Roman" w:eastAsia="Garamond" w:hAnsi="Times New Roman" w:cs="Times New Roman"/>
                <w:i/>
                <w:iCs/>
                <w:sz w:val="18"/>
                <w:szCs w:val="18"/>
                <w:lang w:val="en-GB" w:eastAsia="en-GB"/>
              </w:rPr>
              <w:t>​)</w:t>
            </w:r>
            <w:r w:rsidRPr="00B3581E">
              <w:rPr>
                <w:rFonts w:ascii="Times New Roman" w:eastAsia="Garamond" w:hAnsi="Times New Roman" w:cs="Times New Roman"/>
                <w:sz w:val="18"/>
                <w:szCs w:val="18"/>
                <w:lang w:val="en-GB" w:eastAsia="en-GB"/>
              </w:rPr>
              <w:t xml:space="preserve"> – Proportion of non-executive members.</w:t>
            </w:r>
            <w:r>
              <w:rPr>
                <w:rFonts w:ascii="Times New Roman" w:eastAsia="Garamond" w:hAnsi="Times New Roman" w:cs="Times New Roman"/>
                <w:sz w:val="18"/>
                <w:szCs w:val="18"/>
                <w:lang w:val="en-GB" w:eastAsia="en-GB"/>
              </w:rPr>
              <w:t xml:space="preserve"> </w:t>
            </w:r>
            <w:r w:rsidRPr="00B3581E">
              <w:rPr>
                <w:rFonts w:ascii="Times New Roman" w:eastAsia="Garamond" w:hAnsi="Times New Roman" w:cs="Times New Roman"/>
                <w:sz w:val="18"/>
                <w:szCs w:val="18"/>
                <w:lang w:val="en-GB" w:eastAsia="en-GB"/>
              </w:rPr>
              <w:t>Each committee’s diversity score is computed as a linear aggregation of these factors, each weighted equally to avoid arbitrary prioritization</w:t>
            </w:r>
            <w:r>
              <w:rPr>
                <w:rFonts w:ascii="Times New Roman" w:eastAsia="Garamond" w:hAnsi="Times New Roman" w:cs="Times New Roman"/>
                <w:sz w:val="18"/>
                <w:szCs w:val="18"/>
                <w:lang w:val="en-GB" w:eastAsia="en-GB"/>
              </w:rPr>
              <w:t>:</w:t>
            </w:r>
          </w:p>
          <w:p w14:paraId="66ABAF61" w14:textId="77777777" w:rsidR="002B0C6E" w:rsidRDefault="002B0C6E" w:rsidP="000B4FD1">
            <w:pPr>
              <w:spacing w:line="240" w:lineRule="atLeast"/>
              <w:contextualSpacing/>
              <w:rPr>
                <w:rFonts w:ascii="Times New Roman" w:eastAsia="Garamond" w:hAnsi="Times New Roman" w:cs="Times New Roman"/>
                <w:sz w:val="18"/>
                <w:szCs w:val="18"/>
                <w:lang w:val="en-GB" w:eastAsia="en-GB"/>
              </w:rPr>
            </w:pPr>
          </w:p>
          <w:p w14:paraId="63740177" w14:textId="77777777" w:rsidR="002B0C6E" w:rsidRPr="008C1FC7" w:rsidRDefault="002B0C6E" w:rsidP="000B4FD1">
            <w:pPr>
              <w:spacing w:line="240" w:lineRule="auto"/>
              <w:rPr>
                <w:rFonts w:ascii="Times New Roman" w:eastAsia="Garamond" w:hAnsi="Times New Roman" w:cs="Arial"/>
                <w:i/>
                <w:iCs/>
                <w:sz w:val="18"/>
                <w:szCs w:val="18"/>
              </w:rPr>
            </w:pPr>
            <m:oMathPara>
              <m:oMath>
                <m:sSub>
                  <m:sSubPr>
                    <m:ctrlPr>
                      <w:rPr>
                        <w:rFonts w:ascii="Cambria Math" w:eastAsia="Calibri" w:hAnsi="Cambria Math" w:cs="Arial"/>
                        <w:sz w:val="18"/>
                        <w:szCs w:val="18"/>
                      </w:rPr>
                    </m:ctrlPr>
                  </m:sSubPr>
                  <m:e>
                    <m:r>
                      <w:rPr>
                        <w:rFonts w:ascii="Cambria Math" w:eastAsia="Calibri" w:hAnsi="Cambria Math" w:cs="Arial"/>
                        <w:sz w:val="18"/>
                        <w:szCs w:val="18"/>
                      </w:rPr>
                      <m:t>D</m:t>
                    </m:r>
                  </m:e>
                  <m:sub>
                    <m:r>
                      <w:rPr>
                        <w:rFonts w:ascii="Cambria Math" w:eastAsia="Calibri" w:hAnsi="Cambria Math" w:cs="Arial"/>
                        <w:sz w:val="18"/>
                        <w:szCs w:val="18"/>
                      </w:rPr>
                      <m:t>j,i</m:t>
                    </m:r>
                    <m:r>
                      <m:rPr>
                        <m:sty m:val="p"/>
                      </m:rPr>
                      <w:rPr>
                        <w:rFonts w:ascii="Cambria Math" w:eastAsia="Calibri" w:hAnsi="Cambria Math" w:cs="Arial"/>
                        <w:sz w:val="18"/>
                        <w:szCs w:val="18"/>
                      </w:rPr>
                      <m:t>,</m:t>
                    </m:r>
                    <m:r>
                      <w:rPr>
                        <w:rFonts w:ascii="Cambria Math" w:eastAsia="Calibri" w:hAnsi="Cambria Math" w:cs="Arial"/>
                        <w:sz w:val="18"/>
                        <w:szCs w:val="18"/>
                      </w:rPr>
                      <m:t>t</m:t>
                    </m:r>
                  </m:sub>
                </m:sSub>
                <m:r>
                  <m:rPr>
                    <m:sty m:val="p"/>
                  </m:rP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w</m:t>
                    </m:r>
                  </m:e>
                  <m:sub>
                    <m:r>
                      <w:rPr>
                        <w:rFonts w:ascii="Cambria Math" w:eastAsia="Calibri" w:hAnsi="Cambria Math" w:cs="Arial"/>
                        <w:sz w:val="18"/>
                        <w:szCs w:val="18"/>
                      </w:rPr>
                      <m:t>1</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Existence</m:t>
                    </m:r>
                  </m:e>
                  <m:sub>
                    <m:r>
                      <w:rPr>
                        <w:rFonts w:ascii="Cambria Math" w:eastAsia="Calibri" w:hAnsi="Cambria Math" w:cs="Arial"/>
                        <w:sz w:val="18"/>
                        <w:szCs w:val="18"/>
                      </w:rPr>
                      <m:t>j,i,t</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w</m:t>
                    </m:r>
                  </m:e>
                  <m:sub>
                    <m:r>
                      <w:rPr>
                        <w:rFonts w:ascii="Cambria Math" w:eastAsia="Calibri" w:hAnsi="Cambria Math" w:cs="Arial"/>
                        <w:sz w:val="18"/>
                        <w:szCs w:val="18"/>
                      </w:rPr>
                      <m:t>2</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Garamond" w:hAnsi="Cambria Math" w:cs="Times New Roman"/>
                        <w:sz w:val="18"/>
                        <w:szCs w:val="18"/>
                        <w:lang w:val="en-GB" w:eastAsia="en-GB"/>
                      </w:rPr>
                      <m:t>Size</m:t>
                    </m:r>
                    <m:r>
                      <w:rPr>
                        <w:rFonts w:ascii="Cambria Math" w:eastAsia="Garamond" w:hAnsi="Cambria Math" w:cs="Times New Roman"/>
                        <w:sz w:val="18"/>
                        <w:szCs w:val="18"/>
                        <w:vertAlign w:val="subscript"/>
                        <w:lang w:val="en-GB" w:eastAsia="en-GB"/>
                      </w:rPr>
                      <m:t>j</m:t>
                    </m:r>
                  </m:e>
                  <m:sub>
                    <m:r>
                      <w:rPr>
                        <w:rFonts w:ascii="Cambria Math" w:eastAsia="Calibri" w:hAnsi="Cambria Math" w:cs="Arial"/>
                        <w:sz w:val="18"/>
                        <w:szCs w:val="18"/>
                      </w:rPr>
                      <m:t>j,i,t</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w</m:t>
                    </m:r>
                  </m:e>
                  <m:sub>
                    <m:r>
                      <w:rPr>
                        <w:rFonts w:ascii="Cambria Math" w:eastAsia="Calibri" w:hAnsi="Cambria Math" w:cs="Arial"/>
                        <w:sz w:val="18"/>
                        <w:szCs w:val="18"/>
                      </w:rPr>
                      <m:t>3</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Garamond" w:hAnsi="Cambria Math" w:cs="Times New Roman"/>
                        <w:sz w:val="18"/>
                        <w:szCs w:val="18"/>
                        <w:lang w:val="en-GB" w:eastAsia="en-GB"/>
                      </w:rPr>
                      <m:t>Per_Wom</m:t>
                    </m:r>
                  </m:e>
                  <m:sub>
                    <m:r>
                      <w:rPr>
                        <w:rFonts w:ascii="Cambria Math" w:eastAsia="Calibri" w:hAnsi="Cambria Math" w:cs="Arial"/>
                        <w:sz w:val="18"/>
                        <w:szCs w:val="18"/>
                      </w:rPr>
                      <m:t>j,i,t</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w</m:t>
                    </m:r>
                  </m:e>
                  <m:sub>
                    <m:r>
                      <w:rPr>
                        <w:rFonts w:ascii="Cambria Math" w:eastAsia="Calibri" w:hAnsi="Cambria Math" w:cs="Arial"/>
                        <w:sz w:val="18"/>
                        <w:szCs w:val="18"/>
                      </w:rPr>
                      <m:t>4</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Garamond" w:hAnsi="Cambria Math" w:cs="Times New Roman"/>
                        <w:sz w:val="18"/>
                        <w:szCs w:val="18"/>
                        <w:lang w:val="en-GB" w:eastAsia="en-GB"/>
                      </w:rPr>
                      <m:t>Per_Indep</m:t>
                    </m:r>
                  </m:e>
                  <m:sub>
                    <m:r>
                      <w:rPr>
                        <w:rFonts w:ascii="Cambria Math" w:eastAsia="Calibri" w:hAnsi="Cambria Math" w:cs="Arial"/>
                        <w:sz w:val="18"/>
                        <w:szCs w:val="18"/>
                      </w:rPr>
                      <m:t>j,i,t</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Calibri" w:hAnsi="Cambria Math" w:cs="Arial"/>
                        <w:sz w:val="18"/>
                        <w:szCs w:val="18"/>
                      </w:rPr>
                      <m:t>w</m:t>
                    </m:r>
                  </m:e>
                  <m:sub>
                    <m:r>
                      <w:rPr>
                        <w:rFonts w:ascii="Cambria Math" w:eastAsia="Calibri" w:hAnsi="Cambria Math" w:cs="Arial"/>
                        <w:sz w:val="18"/>
                        <w:szCs w:val="18"/>
                      </w:rPr>
                      <m:t>5</m:t>
                    </m:r>
                  </m:sub>
                </m:sSub>
                <m:r>
                  <w:rPr>
                    <w:rFonts w:ascii="Cambria Math" w:eastAsia="Calibri" w:hAnsi="Cambria Math" w:cs="Arial"/>
                    <w:sz w:val="18"/>
                    <w:szCs w:val="18"/>
                  </w:rPr>
                  <m:t>(</m:t>
                </m:r>
                <m:sSub>
                  <m:sSubPr>
                    <m:ctrlPr>
                      <w:rPr>
                        <w:rFonts w:ascii="Cambria Math" w:eastAsia="Calibri" w:hAnsi="Cambria Math" w:cs="Arial"/>
                        <w:sz w:val="18"/>
                        <w:szCs w:val="18"/>
                      </w:rPr>
                    </m:ctrlPr>
                  </m:sSubPr>
                  <m:e>
                    <m:r>
                      <w:rPr>
                        <w:rFonts w:ascii="Cambria Math" w:eastAsia="Garamond" w:hAnsi="Cambria Math" w:cs="Times New Roman"/>
                        <w:sz w:val="18"/>
                        <w:szCs w:val="18"/>
                        <w:lang w:val="en-GB" w:eastAsia="en-GB"/>
                      </w:rPr>
                      <m:t>Per_NonExec</m:t>
                    </m:r>
                  </m:e>
                  <m:sub>
                    <m:r>
                      <w:rPr>
                        <w:rFonts w:ascii="Cambria Math" w:eastAsia="Calibri" w:hAnsi="Cambria Math" w:cs="Arial"/>
                        <w:sz w:val="18"/>
                        <w:szCs w:val="18"/>
                      </w:rPr>
                      <m:t>j,i,t</m:t>
                    </m:r>
                  </m:sub>
                </m:sSub>
                <m:r>
                  <w:rPr>
                    <w:rFonts w:ascii="Cambria Math" w:eastAsia="Calibri" w:hAnsi="Cambria Math" w:cs="Arial"/>
                    <w:sz w:val="18"/>
                    <w:szCs w:val="18"/>
                  </w:rPr>
                  <m:t>)</m:t>
                </m:r>
              </m:oMath>
            </m:oMathPara>
          </w:p>
          <w:p w14:paraId="74691B47" w14:textId="77777777" w:rsidR="002B0C6E" w:rsidRDefault="002B0C6E" w:rsidP="000B4FD1">
            <w:pPr>
              <w:spacing w:line="240" w:lineRule="atLeast"/>
              <w:rPr>
                <w:rFonts w:ascii="Times New Roman" w:eastAsia="Garamond" w:hAnsi="Times New Roman" w:cs="Times New Roman"/>
                <w:sz w:val="18"/>
                <w:szCs w:val="18"/>
                <w:lang w:val="en-GB" w:eastAsia="en-GB"/>
              </w:rPr>
            </w:pPr>
            <w:r w:rsidRPr="00B3581E">
              <w:rPr>
                <w:rFonts w:ascii="Times New Roman" w:eastAsia="Garamond" w:hAnsi="Times New Roman" w:cs="Times New Roman"/>
                <w:sz w:val="18"/>
                <w:szCs w:val="18"/>
                <w:lang w:val="en-GB" w:eastAsia="en-GB"/>
              </w:rPr>
              <w:t>where</w:t>
            </w:r>
            <w:r w:rsidRPr="00F021FC">
              <w:rPr>
                <w:rFonts w:eastAsia="Garamond" w:cstheme="majorBidi"/>
                <w:sz w:val="18"/>
                <w:szCs w:val="18"/>
                <w:lang w:val="en-GB" w:eastAsia="en-GB"/>
              </w:rPr>
              <w:t xml:space="preserve"> </w:t>
            </w:r>
            <m:oMath>
              <m:sSub>
                <m:sSubPr>
                  <m:ctrlPr>
                    <w:rPr>
                      <w:rFonts w:ascii="Cambria Math" w:eastAsia="Calibri" w:hAnsi="Cambria Math" w:cstheme="majorBidi"/>
                      <w:sz w:val="18"/>
                      <w:szCs w:val="18"/>
                    </w:rPr>
                  </m:ctrlPr>
                </m:sSubPr>
                <m:e>
                  <m:r>
                    <w:rPr>
                      <w:rFonts w:ascii="Cambria Math" w:eastAsia="Calibri" w:hAnsi="Cambria Math" w:cstheme="majorBidi"/>
                      <w:sz w:val="18"/>
                      <w:szCs w:val="18"/>
                    </w:rPr>
                    <m:t>w</m:t>
                  </m:r>
                </m:e>
                <m:sub>
                  <m:r>
                    <w:rPr>
                      <w:rFonts w:ascii="Cambria Math" w:eastAsia="Calibri" w:hAnsi="Cambria Math" w:cstheme="majorBidi"/>
                      <w:sz w:val="18"/>
                      <w:szCs w:val="18"/>
                    </w:rPr>
                    <m:t>1</m:t>
                  </m:r>
                </m:sub>
              </m:sSub>
              <m:r>
                <w:rPr>
                  <w:rFonts w:ascii="Cambria Math" w:eastAsia="Calibri" w:hAnsi="Cambria Math" w:cstheme="majorBidi"/>
                  <w:sz w:val="18"/>
                  <w:szCs w:val="18"/>
                </w:rPr>
                <m:t>,</m:t>
              </m:r>
              <m:sSub>
                <m:sSubPr>
                  <m:ctrlPr>
                    <w:rPr>
                      <w:rFonts w:ascii="Cambria Math" w:eastAsia="Calibri" w:hAnsi="Cambria Math" w:cstheme="majorBidi"/>
                      <w:sz w:val="18"/>
                      <w:szCs w:val="18"/>
                    </w:rPr>
                  </m:ctrlPr>
                </m:sSubPr>
                <m:e>
                  <m:r>
                    <w:rPr>
                      <w:rFonts w:ascii="Cambria Math" w:eastAsia="Calibri" w:hAnsi="Cambria Math" w:cstheme="majorBidi"/>
                      <w:sz w:val="18"/>
                      <w:szCs w:val="18"/>
                    </w:rPr>
                    <m:t xml:space="preserve"> w</m:t>
                  </m:r>
                </m:e>
                <m:sub>
                  <m:r>
                    <w:rPr>
                      <w:rFonts w:ascii="Cambria Math" w:eastAsia="Calibri" w:hAnsi="Cambria Math" w:cstheme="majorBidi"/>
                      <w:sz w:val="18"/>
                      <w:szCs w:val="18"/>
                    </w:rPr>
                    <m:t>2</m:t>
                  </m:r>
                </m:sub>
              </m:sSub>
              <m:r>
                <w:rPr>
                  <w:rFonts w:ascii="Cambria Math" w:eastAsia="Calibri" w:hAnsi="Cambria Math" w:cstheme="majorBidi"/>
                  <w:sz w:val="18"/>
                  <w:szCs w:val="18"/>
                </w:rPr>
                <m:t>,</m:t>
              </m:r>
              <m:sSub>
                <m:sSubPr>
                  <m:ctrlPr>
                    <w:rPr>
                      <w:rFonts w:ascii="Cambria Math" w:eastAsia="Calibri" w:hAnsi="Cambria Math" w:cstheme="majorBidi"/>
                      <w:sz w:val="18"/>
                      <w:szCs w:val="18"/>
                    </w:rPr>
                  </m:ctrlPr>
                </m:sSubPr>
                <m:e>
                  <m:r>
                    <w:rPr>
                      <w:rFonts w:ascii="Cambria Math" w:eastAsia="Calibri" w:hAnsi="Cambria Math" w:cstheme="majorBidi"/>
                      <w:sz w:val="18"/>
                      <w:szCs w:val="18"/>
                    </w:rPr>
                    <m:t xml:space="preserve"> w</m:t>
                  </m:r>
                </m:e>
                <m:sub>
                  <m:r>
                    <w:rPr>
                      <w:rFonts w:ascii="Cambria Math" w:eastAsia="Calibri" w:hAnsi="Cambria Math" w:cstheme="majorBidi"/>
                      <w:sz w:val="18"/>
                      <w:szCs w:val="18"/>
                    </w:rPr>
                    <m:t>3</m:t>
                  </m:r>
                </m:sub>
              </m:sSub>
              <m:r>
                <w:rPr>
                  <w:rFonts w:ascii="Cambria Math" w:eastAsia="Calibri" w:hAnsi="Cambria Math" w:cstheme="majorBidi"/>
                  <w:sz w:val="18"/>
                  <w:szCs w:val="18"/>
                </w:rPr>
                <m:t xml:space="preserve">, </m:t>
              </m:r>
              <m:sSub>
                <m:sSubPr>
                  <m:ctrlPr>
                    <w:rPr>
                      <w:rFonts w:ascii="Cambria Math" w:eastAsia="Calibri" w:hAnsi="Cambria Math" w:cstheme="majorBidi"/>
                      <w:sz w:val="18"/>
                      <w:szCs w:val="18"/>
                    </w:rPr>
                  </m:ctrlPr>
                </m:sSubPr>
                <m:e>
                  <m:r>
                    <w:rPr>
                      <w:rFonts w:ascii="Cambria Math" w:eastAsia="Calibri" w:hAnsi="Cambria Math" w:cstheme="majorBidi"/>
                      <w:sz w:val="18"/>
                      <w:szCs w:val="18"/>
                    </w:rPr>
                    <m:t xml:space="preserve"> w</m:t>
                  </m:r>
                </m:e>
                <m:sub>
                  <m:r>
                    <w:rPr>
                      <w:rFonts w:ascii="Cambria Math" w:eastAsia="Calibri" w:hAnsi="Cambria Math" w:cstheme="majorBidi"/>
                      <w:sz w:val="18"/>
                      <w:szCs w:val="18"/>
                    </w:rPr>
                    <m:t>4</m:t>
                  </m:r>
                </m:sub>
              </m:sSub>
              <m:r>
                <w:rPr>
                  <w:rFonts w:ascii="Cambria Math" w:eastAsia="Calibri" w:hAnsi="Cambria Math" w:cstheme="majorBidi"/>
                  <w:sz w:val="18"/>
                  <w:szCs w:val="18"/>
                </w:rPr>
                <m:t xml:space="preserve">, </m:t>
              </m:r>
              <m:sSub>
                <m:sSubPr>
                  <m:ctrlPr>
                    <w:rPr>
                      <w:rFonts w:ascii="Cambria Math" w:eastAsia="Calibri" w:hAnsi="Cambria Math" w:cstheme="majorBidi"/>
                      <w:sz w:val="18"/>
                      <w:szCs w:val="18"/>
                    </w:rPr>
                  </m:ctrlPr>
                </m:sSubPr>
                <m:e>
                  <m:r>
                    <w:rPr>
                      <w:rFonts w:ascii="Cambria Math" w:eastAsia="Calibri" w:hAnsi="Cambria Math" w:cstheme="majorBidi"/>
                      <w:sz w:val="18"/>
                      <w:szCs w:val="18"/>
                    </w:rPr>
                    <m:t xml:space="preserve"> w</m:t>
                  </m:r>
                </m:e>
                <m:sub>
                  <m:r>
                    <w:rPr>
                      <w:rFonts w:ascii="Cambria Math" w:eastAsia="Calibri" w:hAnsi="Cambria Math" w:cstheme="majorBidi"/>
                      <w:sz w:val="18"/>
                      <w:szCs w:val="18"/>
                    </w:rPr>
                    <m:t>5</m:t>
                  </m:r>
                </m:sub>
              </m:sSub>
            </m:oMath>
            <w:r w:rsidRPr="00F021FC">
              <w:rPr>
                <w:rFonts w:eastAsia="Garamond" w:cstheme="majorBidi"/>
                <w:sz w:val="18"/>
                <w:szCs w:val="18"/>
                <w:lang w:val="en-GB" w:eastAsia="en-GB"/>
              </w:rPr>
              <w:t>​ are</w:t>
            </w:r>
            <w:r w:rsidRPr="00B3581E">
              <w:rPr>
                <w:rFonts w:ascii="Times New Roman" w:eastAsia="Garamond" w:hAnsi="Times New Roman" w:cs="Times New Roman"/>
                <w:sz w:val="18"/>
                <w:szCs w:val="18"/>
                <w:lang w:val="en-GB" w:eastAsia="en-GB"/>
              </w:rPr>
              <w:t xml:space="preserve"> predefined equal weights summing to 1, ensuring that each factor contributes proportionally to the composite measure.</w:t>
            </w:r>
          </w:p>
          <w:p w14:paraId="7F4865F4" w14:textId="77777777" w:rsidR="002B0C6E" w:rsidRPr="00B4704D" w:rsidRDefault="002B0C6E" w:rsidP="000B4FD1">
            <w:pPr>
              <w:spacing w:line="240" w:lineRule="atLeast"/>
              <w:rPr>
                <w:rFonts w:ascii="Times New Roman" w:eastAsia="Garamond" w:hAnsi="Times New Roman" w:cs="Arial"/>
                <w:sz w:val="18"/>
                <w:szCs w:val="18"/>
                <w:highlight w:val="yellow"/>
              </w:rPr>
            </w:pPr>
            <w:r w:rsidRPr="00F021FC">
              <w:rPr>
                <w:rFonts w:ascii="Times New Roman" w:eastAsia="Garamond" w:hAnsi="Times New Roman" w:cs="Times New Roman"/>
                <w:sz w:val="18"/>
                <w:szCs w:val="18"/>
                <w:lang w:val="en-GB" w:eastAsia="en-GB"/>
              </w:rPr>
              <w:t>The firm-level BCs_Diversity score is derived by aggregating committee-level diversity scores across all relevant committees. To ensure consistency and mitigate committee dominance effects, we implement an equal-weighted summation:</w:t>
            </w:r>
          </w:p>
          <w:p w14:paraId="177C48E4" w14:textId="77777777" w:rsidR="002B0C6E" w:rsidRPr="00B4704D" w:rsidRDefault="002B0C6E" w:rsidP="000B4FD1">
            <w:pPr>
              <w:spacing w:line="240" w:lineRule="atLeast"/>
              <w:rPr>
                <w:rFonts w:ascii="Times New Roman" w:eastAsia="Garamond" w:hAnsi="Times New Roman" w:cs="Arial"/>
                <w:sz w:val="18"/>
                <w:szCs w:val="18"/>
                <w:highlight w:val="yellow"/>
              </w:rPr>
            </w:pPr>
          </w:p>
          <w:p w14:paraId="16050110" w14:textId="77777777" w:rsidR="002B0C6E" w:rsidRPr="00B4704D" w:rsidRDefault="002B0C6E" w:rsidP="000B4FD1">
            <w:pPr>
              <w:spacing w:line="240" w:lineRule="auto"/>
              <w:rPr>
                <w:rFonts w:ascii="Times New Roman" w:eastAsia="Garamond" w:hAnsi="Times New Roman" w:cs="Arial"/>
                <w:i/>
                <w:iCs/>
                <w:sz w:val="18"/>
                <w:szCs w:val="18"/>
              </w:rPr>
            </w:pPr>
            <m:oMathPara>
              <m:oMath>
                <m:sSub>
                  <m:sSubPr>
                    <m:ctrlPr>
                      <w:rPr>
                        <w:rFonts w:ascii="Cambria Math" w:eastAsia="Calibri" w:hAnsi="Cambria Math" w:cs="Arial"/>
                        <w:i/>
                        <w:sz w:val="18"/>
                        <w:szCs w:val="18"/>
                      </w:rPr>
                    </m:ctrlPr>
                  </m:sSubPr>
                  <m:e>
                    <m:r>
                      <w:rPr>
                        <w:rFonts w:ascii="Cambria Math" w:eastAsia="Garamond" w:hAnsi="Cambria Math" w:cs="Times New Roman"/>
                        <w:sz w:val="18"/>
                        <w:szCs w:val="18"/>
                        <w:lang w:val="en-GB" w:eastAsia="en-GB"/>
                      </w:rPr>
                      <m:t>BCs_Diversity</m:t>
                    </m:r>
                  </m:e>
                  <m:sub>
                    <m:r>
                      <w:rPr>
                        <w:rFonts w:ascii="Cambria Math" w:eastAsia="Calibri" w:hAnsi="Cambria Math" w:cs="Arial"/>
                        <w:sz w:val="18"/>
                        <w:szCs w:val="18"/>
                      </w:rPr>
                      <m:t>i,t</m:t>
                    </m:r>
                  </m:sub>
                </m:sSub>
                <m:r>
                  <w:rPr>
                    <w:rFonts w:ascii="Cambria Math" w:eastAsia="Cambria Math" w:hAnsi="Cambria Math" w:cs="Cambria Math"/>
                    <w:sz w:val="18"/>
                    <w:szCs w:val="18"/>
                  </w:rPr>
                  <m:t>=</m:t>
                </m:r>
                <m:nary>
                  <m:naryPr>
                    <m:chr m:val="∑"/>
                    <m:grow m:val="1"/>
                    <m:ctrlPr>
                      <w:rPr>
                        <w:rFonts w:ascii="Cambria Math" w:eastAsia="Calibri" w:hAnsi="Cambria Math" w:cs="Arial"/>
                        <w:i/>
                        <w:sz w:val="18"/>
                        <w:szCs w:val="18"/>
                      </w:rPr>
                    </m:ctrlPr>
                  </m:naryPr>
                  <m:sub>
                    <m:r>
                      <w:rPr>
                        <w:rFonts w:ascii="Cambria Math" w:eastAsia="Cambria Math" w:hAnsi="Cambria Math" w:cs="Cambria Math"/>
                        <w:sz w:val="18"/>
                        <w:szCs w:val="18"/>
                      </w:rPr>
                      <m:t>j=1</m:t>
                    </m:r>
                  </m:sub>
                  <m:sup>
                    <m:r>
                      <w:rPr>
                        <w:rFonts w:ascii="Cambria Math" w:eastAsia="Cambria Math" w:hAnsi="Cambria Math" w:cs="Cambria Math"/>
                        <w:sz w:val="18"/>
                        <w:szCs w:val="18"/>
                      </w:rPr>
                      <m:t>n</m:t>
                    </m:r>
                  </m:sup>
                  <m:e>
                    <m:sSub>
                      <m:sSubPr>
                        <m:ctrlPr>
                          <w:rPr>
                            <w:rFonts w:ascii="Cambria Math" w:eastAsia="Calibri" w:hAnsi="Cambria Math" w:cs="Arial"/>
                            <w:i/>
                            <w:sz w:val="18"/>
                            <w:szCs w:val="18"/>
                          </w:rPr>
                        </m:ctrlPr>
                      </m:sSubPr>
                      <m:e>
                        <m:r>
                          <w:rPr>
                            <w:rFonts w:ascii="Cambria Math" w:eastAsia="Calibri" w:hAnsi="Cambria Math" w:cs="Arial"/>
                            <w:sz w:val="18"/>
                            <w:szCs w:val="18"/>
                          </w:rPr>
                          <m:t>D</m:t>
                        </m:r>
                      </m:e>
                      <m:sub>
                        <m:r>
                          <w:rPr>
                            <w:rFonts w:ascii="Cambria Math" w:eastAsia="Calibri" w:hAnsi="Cambria Math" w:cs="Arial"/>
                            <w:sz w:val="18"/>
                            <w:szCs w:val="18"/>
                          </w:rPr>
                          <m:t>j,i,t</m:t>
                        </m:r>
                      </m:sub>
                    </m:sSub>
                  </m:e>
                </m:nary>
              </m:oMath>
            </m:oMathPara>
          </w:p>
          <w:p w14:paraId="5906790F" w14:textId="77777777" w:rsidR="002B0C6E" w:rsidRPr="00B4704D" w:rsidRDefault="002B0C6E" w:rsidP="000B4FD1">
            <w:pPr>
              <w:spacing w:line="240" w:lineRule="atLeast"/>
              <w:contextualSpacing/>
              <w:rPr>
                <w:rFonts w:ascii="Times New Roman" w:eastAsia="Garamond" w:hAnsi="Times New Roman" w:cs="Times New Roman"/>
                <w:sz w:val="18"/>
                <w:szCs w:val="18"/>
                <w:lang w:val="en-GB" w:eastAsia="en-GB"/>
              </w:rPr>
            </w:pPr>
          </w:p>
          <w:p w14:paraId="685F21C4" w14:textId="77777777" w:rsidR="002B0C6E" w:rsidRPr="00F021FC" w:rsidRDefault="002B0C6E" w:rsidP="000B4FD1">
            <w:pPr>
              <w:spacing w:line="240" w:lineRule="atLeast"/>
              <w:contextualSpacing/>
              <w:rPr>
                <w:rFonts w:ascii="Times New Roman" w:eastAsia="Garamond" w:hAnsi="Times New Roman" w:cs="Times New Roman"/>
                <w:sz w:val="18"/>
                <w:szCs w:val="18"/>
                <w:lang w:val="en-GB" w:eastAsia="en-GB"/>
              </w:rPr>
            </w:pPr>
            <w:r w:rsidRPr="00F021FC">
              <w:rPr>
                <w:rFonts w:ascii="Times New Roman" w:eastAsia="Garamond" w:hAnsi="Times New Roman" w:cs="Times New Roman"/>
                <w:sz w:val="18"/>
                <w:szCs w:val="18"/>
                <w:lang w:val="en-GB" w:eastAsia="en-GB"/>
              </w:rPr>
              <w:t>where NN represents the total number of committees within the firm.</w:t>
            </w:r>
          </w:p>
          <w:p w14:paraId="249F5CEF" w14:textId="77777777" w:rsidR="002B0C6E" w:rsidRDefault="002B0C6E" w:rsidP="000B4FD1">
            <w:pPr>
              <w:spacing w:line="240" w:lineRule="atLeast"/>
              <w:contextualSpacing/>
              <w:rPr>
                <w:rFonts w:ascii="Times New Roman" w:eastAsia="Garamond" w:hAnsi="Times New Roman" w:cs="Times New Roman"/>
                <w:sz w:val="18"/>
                <w:szCs w:val="18"/>
                <w:lang w:val="en-GB" w:eastAsia="en-GB"/>
              </w:rPr>
            </w:pPr>
            <w:r w:rsidRPr="00F021FC">
              <w:rPr>
                <w:rFonts w:ascii="Times New Roman" w:eastAsia="Garamond" w:hAnsi="Times New Roman" w:cs="Times New Roman"/>
                <w:sz w:val="18"/>
                <w:szCs w:val="18"/>
                <w:lang w:val="en-GB" w:eastAsia="en-GB"/>
              </w:rPr>
              <w:t>Since firms may have differing numbers of committees, BCs_Diversity scores are further normalized on a [0,1] scale using min-max scaling to facilitate cross-firm comparability:</w:t>
            </w:r>
          </w:p>
          <w:p w14:paraId="10BCF28D" w14:textId="77777777" w:rsidR="002B0C6E" w:rsidRDefault="002B0C6E" w:rsidP="000B4FD1">
            <w:pPr>
              <w:spacing w:line="240" w:lineRule="atLeast"/>
              <w:contextualSpacing/>
              <w:rPr>
                <w:rFonts w:ascii="Times New Roman" w:eastAsia="Garamond" w:hAnsi="Times New Roman" w:cs="Times New Roman"/>
                <w:sz w:val="18"/>
                <w:highlight w:val="yellow"/>
                <w:lang w:val="en-GB" w:eastAsia="en-GB"/>
              </w:rPr>
            </w:pPr>
          </w:p>
          <w:p w14:paraId="3BB1C7C4" w14:textId="77777777" w:rsidR="002B0C6E" w:rsidRPr="00B4704D" w:rsidRDefault="002B0C6E" w:rsidP="000B4FD1">
            <w:pPr>
              <w:spacing w:line="240" w:lineRule="auto"/>
              <w:rPr>
                <w:rFonts w:ascii="Times New Roman" w:eastAsia="Garamond" w:hAnsi="Times New Roman" w:cs="Arial"/>
                <w:i/>
                <w:iCs/>
                <w:sz w:val="18"/>
                <w:szCs w:val="18"/>
              </w:rPr>
            </w:pPr>
            <m:oMathPara>
              <m:oMath>
                <m:sSubSup>
                  <m:sSubSupPr>
                    <m:ctrlPr>
                      <w:rPr>
                        <w:rFonts w:ascii="Cambria Math" w:eastAsia="Cambria Math" w:hAnsi="Cambria Math" w:cs="Cambria Math"/>
                        <w:i/>
                        <w:sz w:val="18"/>
                        <w:szCs w:val="18"/>
                      </w:rPr>
                    </m:ctrlPr>
                  </m:sSubSupPr>
                  <m:e>
                    <m:r>
                      <w:rPr>
                        <w:rFonts w:ascii="Cambria Math" w:eastAsia="Garamond" w:hAnsi="Cambria Math" w:cs="Times New Roman"/>
                        <w:sz w:val="18"/>
                        <w:szCs w:val="18"/>
                        <w:lang w:val="en-GB" w:eastAsia="en-GB"/>
                      </w:rPr>
                      <m:t>BCs_Diversity</m:t>
                    </m:r>
                  </m:e>
                  <m:sub>
                    <m:r>
                      <w:rPr>
                        <w:rFonts w:ascii="Cambria Math" w:eastAsia="Cambria Math" w:hAnsi="Cambria Math" w:cs="Cambria Math"/>
                        <w:sz w:val="18"/>
                        <w:szCs w:val="18"/>
                      </w:rPr>
                      <m:t>i,j</m:t>
                    </m:r>
                  </m:sub>
                  <m:sup>
                    <m:r>
                      <w:rPr>
                        <w:rFonts w:ascii="Cambria Math" w:eastAsia="Garamond" w:hAnsi="Cambria Math" w:cs="Times New Roman"/>
                        <w:sz w:val="18"/>
                        <w:szCs w:val="18"/>
                        <w:lang w:val="en-GB" w:eastAsia="en-GB"/>
                      </w:rPr>
                      <m:t>norm</m:t>
                    </m:r>
                  </m:sup>
                </m:sSubSup>
                <m:r>
                  <w:rPr>
                    <w:rFonts w:ascii="Cambria Math" w:eastAsia="Cambria Math" w:hAnsi="Cambria Math" w:cs="Cambria Math"/>
                    <w:sz w:val="18"/>
                    <w:szCs w:val="18"/>
                  </w:rPr>
                  <m:t>=</m:t>
                </m:r>
                <m:f>
                  <m:fPr>
                    <m:ctrlPr>
                      <w:rPr>
                        <w:rFonts w:ascii="Cambria Math" w:eastAsia="Cambria Math" w:hAnsi="Cambria Math" w:cs="Cambria Math"/>
                        <w:i/>
                        <w:sz w:val="18"/>
                        <w:szCs w:val="18"/>
                      </w:rPr>
                    </m:ctrlPr>
                  </m:fPr>
                  <m:num>
                    <m:sSub>
                      <m:sSubPr>
                        <m:ctrlPr>
                          <w:rPr>
                            <w:rFonts w:ascii="Cambria Math" w:eastAsia="Calibri" w:hAnsi="Cambria Math" w:cs="Arial"/>
                            <w:i/>
                            <w:sz w:val="18"/>
                            <w:szCs w:val="18"/>
                          </w:rPr>
                        </m:ctrlPr>
                      </m:sSubPr>
                      <m:e>
                        <m:r>
                          <w:rPr>
                            <w:rFonts w:ascii="Cambria Math" w:eastAsia="Garamond" w:hAnsi="Cambria Math" w:cs="Times New Roman"/>
                            <w:sz w:val="18"/>
                            <w:szCs w:val="18"/>
                            <w:lang w:val="en-GB" w:eastAsia="en-GB"/>
                          </w:rPr>
                          <m:t>BCs_Diversity</m:t>
                        </m:r>
                      </m:e>
                      <m:sub>
                        <m:r>
                          <w:rPr>
                            <w:rFonts w:ascii="Cambria Math" w:eastAsia="Calibri" w:hAnsi="Cambria Math" w:cs="Arial"/>
                            <w:sz w:val="18"/>
                            <w:szCs w:val="18"/>
                          </w:rPr>
                          <m:t>i,t</m:t>
                        </m:r>
                      </m:sub>
                    </m:sSub>
                    <m:r>
                      <w:rPr>
                        <w:rFonts w:ascii="Cambria Math" w:eastAsia="Calibri" w:hAnsi="Cambria Math" w:cs="Arial"/>
                        <w:sz w:val="18"/>
                        <w:szCs w:val="18"/>
                      </w:rPr>
                      <m:t>-</m:t>
                    </m:r>
                    <m:r>
                      <m:rPr>
                        <m:sty m:val="p"/>
                      </m:rPr>
                      <w:rPr>
                        <w:rFonts w:ascii="Cambria Math" w:eastAsia="Calibri" w:hAnsi="Cambria Math" w:cs="Arial"/>
                        <w:sz w:val="18"/>
                        <w:szCs w:val="18"/>
                      </w:rPr>
                      <m:t>min⁡</m:t>
                    </m:r>
                    <m:r>
                      <w:rPr>
                        <w:rFonts w:ascii="Cambria Math" w:eastAsia="Calibri" w:hAnsi="Cambria Math" w:cs="Arial"/>
                        <w:sz w:val="18"/>
                        <w:szCs w:val="18"/>
                      </w:rPr>
                      <m:t>(</m:t>
                    </m:r>
                    <m:r>
                      <w:rPr>
                        <w:rFonts w:ascii="Cambria Math" w:eastAsia="Garamond" w:hAnsi="Cambria Math" w:cs="Times New Roman"/>
                        <w:sz w:val="18"/>
                        <w:szCs w:val="18"/>
                        <w:lang w:val="en-GB" w:eastAsia="en-GB"/>
                      </w:rPr>
                      <m:t>BCs_Diversity</m:t>
                    </m:r>
                    <m:r>
                      <w:rPr>
                        <w:rFonts w:ascii="Cambria Math" w:eastAsia="Calibri" w:hAnsi="Cambria Math" w:cs="Arial"/>
                        <w:sz w:val="18"/>
                        <w:szCs w:val="18"/>
                      </w:rPr>
                      <m:t>)</m:t>
                    </m:r>
                  </m:num>
                  <m:den>
                    <m:r>
                      <m:rPr>
                        <m:sty m:val="p"/>
                      </m:rPr>
                      <w:rPr>
                        <w:rFonts w:ascii="Cambria Math" w:eastAsia="Calibri" w:hAnsi="Cambria Math" w:cs="Arial"/>
                        <w:sz w:val="18"/>
                        <w:szCs w:val="18"/>
                      </w:rPr>
                      <m:t>max⁡</m:t>
                    </m:r>
                    <m:r>
                      <w:rPr>
                        <w:rFonts w:ascii="Cambria Math" w:eastAsia="Calibri" w:hAnsi="Cambria Math" w:cs="Arial"/>
                        <w:sz w:val="18"/>
                        <w:szCs w:val="18"/>
                      </w:rPr>
                      <m:t>(</m:t>
                    </m:r>
                    <m:r>
                      <w:rPr>
                        <w:rFonts w:ascii="Cambria Math" w:eastAsia="Garamond" w:hAnsi="Cambria Math" w:cs="Times New Roman"/>
                        <w:sz w:val="18"/>
                        <w:szCs w:val="18"/>
                        <w:lang w:val="en-GB" w:eastAsia="en-GB"/>
                      </w:rPr>
                      <m:t>BCs_Diversity</m:t>
                    </m:r>
                    <m:r>
                      <w:rPr>
                        <w:rFonts w:ascii="Cambria Math" w:eastAsia="Calibri" w:hAnsi="Cambria Math" w:cs="Arial"/>
                        <w:sz w:val="18"/>
                        <w:szCs w:val="18"/>
                      </w:rPr>
                      <m:t>)-</m:t>
                    </m:r>
                    <m:r>
                      <m:rPr>
                        <m:sty m:val="p"/>
                      </m:rPr>
                      <w:rPr>
                        <w:rFonts w:ascii="Cambria Math" w:eastAsia="Calibri" w:hAnsi="Cambria Math" w:cs="Arial"/>
                        <w:sz w:val="18"/>
                        <w:szCs w:val="18"/>
                      </w:rPr>
                      <m:t>min⁡</m:t>
                    </m:r>
                    <m:r>
                      <w:rPr>
                        <w:rFonts w:ascii="Cambria Math" w:eastAsia="Calibri" w:hAnsi="Cambria Math" w:cs="Arial"/>
                        <w:sz w:val="18"/>
                        <w:szCs w:val="18"/>
                      </w:rPr>
                      <m:t>(</m:t>
                    </m:r>
                    <m:r>
                      <w:rPr>
                        <w:rFonts w:ascii="Cambria Math" w:eastAsia="Garamond" w:hAnsi="Cambria Math" w:cs="Times New Roman"/>
                        <w:sz w:val="18"/>
                        <w:szCs w:val="18"/>
                        <w:lang w:val="en-GB" w:eastAsia="en-GB"/>
                      </w:rPr>
                      <m:t>BCs_Diversity</m:t>
                    </m:r>
                    <m:r>
                      <w:rPr>
                        <w:rFonts w:ascii="Cambria Math" w:eastAsia="Calibri" w:hAnsi="Cambria Math" w:cs="Arial"/>
                        <w:sz w:val="18"/>
                        <w:szCs w:val="18"/>
                      </w:rPr>
                      <m:t>)</m:t>
                    </m:r>
                  </m:den>
                </m:f>
              </m:oMath>
            </m:oMathPara>
          </w:p>
          <w:p w14:paraId="2E497B0D" w14:textId="77777777" w:rsidR="002B0C6E" w:rsidRPr="00B4704D" w:rsidRDefault="002B0C6E" w:rsidP="000B4FD1">
            <w:pPr>
              <w:spacing w:line="240" w:lineRule="atLeast"/>
              <w:contextualSpacing/>
              <w:rPr>
                <w:rFonts w:ascii="Times New Roman" w:eastAsia="Garamond" w:hAnsi="Times New Roman" w:cs="Times New Roman"/>
                <w:sz w:val="18"/>
                <w:highlight w:val="yellow"/>
                <w:lang w:val="en-GB" w:eastAsia="en-GB"/>
              </w:rPr>
            </w:pPr>
            <w:r w:rsidRPr="00E27BE5">
              <w:rPr>
                <w:rFonts w:ascii="Times New Roman" w:eastAsia="Garamond" w:hAnsi="Times New Roman" w:cs="Times New Roman"/>
                <w:sz w:val="18"/>
                <w:lang w:val="en-GB" w:eastAsia="en-GB"/>
              </w:rPr>
              <w:t>where higher values indicate a more diverse and structurally inclusive governance framework.</w:t>
            </w:r>
          </w:p>
        </w:tc>
      </w:tr>
      <w:tr w:rsidR="002B0C6E" w:rsidRPr="00B4704D" w14:paraId="7A10CF7B" w14:textId="77777777" w:rsidTr="000B4FD1">
        <w:trPr>
          <w:trHeight w:val="225"/>
        </w:trPr>
        <w:tc>
          <w:tcPr>
            <w:tcW w:w="5000" w:type="pct"/>
            <w:gridSpan w:val="3"/>
            <w:tcBorders>
              <w:top w:val="single" w:sz="4" w:space="0" w:color="auto"/>
              <w:bottom w:val="single" w:sz="4" w:space="0" w:color="auto"/>
            </w:tcBorders>
          </w:tcPr>
          <w:p w14:paraId="7E3CB5A1" w14:textId="77777777" w:rsidR="002B0C6E" w:rsidRPr="00B4704D" w:rsidRDefault="002B0C6E" w:rsidP="000B4FD1">
            <w:pPr>
              <w:spacing w:line="240" w:lineRule="atLeast"/>
              <w:rPr>
                <w:rFonts w:ascii="Times New Roman" w:eastAsia="Garamond" w:hAnsi="Times New Roman" w:cs="Arial"/>
                <w:b/>
                <w:bCs/>
                <w:sz w:val="20"/>
                <w:szCs w:val="20"/>
                <w:highlight w:val="yellow"/>
              </w:rPr>
            </w:pPr>
            <w:r w:rsidRPr="00B4704D">
              <w:rPr>
                <w:rFonts w:ascii="Times New Roman" w:eastAsia="Garamond" w:hAnsi="Times New Roman" w:cs="Arial"/>
                <w:b/>
                <w:bCs/>
                <w:sz w:val="18"/>
                <w:szCs w:val="18"/>
              </w:rPr>
              <w:t>Panel B: Dependent Variables</w:t>
            </w:r>
          </w:p>
        </w:tc>
      </w:tr>
      <w:tr w:rsidR="002B0C6E" w:rsidRPr="00B4704D" w14:paraId="539E45E3" w14:textId="77777777" w:rsidTr="000B4FD1">
        <w:trPr>
          <w:trHeight w:val="225"/>
        </w:trPr>
        <w:tc>
          <w:tcPr>
            <w:tcW w:w="841" w:type="pct"/>
            <w:tcBorders>
              <w:top w:val="single" w:sz="4" w:space="0" w:color="auto"/>
              <w:bottom w:val="nil"/>
            </w:tcBorders>
          </w:tcPr>
          <w:p w14:paraId="71F49465"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Return On Invested Capital/ Investment Efficiency</w:t>
            </w:r>
          </w:p>
        </w:tc>
        <w:tc>
          <w:tcPr>
            <w:tcW w:w="660" w:type="pct"/>
            <w:tcBorders>
              <w:top w:val="single" w:sz="4" w:space="0" w:color="auto"/>
              <w:bottom w:val="nil"/>
            </w:tcBorders>
          </w:tcPr>
          <w:p w14:paraId="4EEDEA7D" w14:textId="77777777" w:rsidR="002B0C6E" w:rsidRPr="00B4704D" w:rsidRDefault="002B0C6E" w:rsidP="000B4FD1">
            <w:pPr>
              <w:spacing w:line="240" w:lineRule="auto"/>
              <w:rPr>
                <w:rFonts w:ascii="Times New Roman" w:eastAsia="Garamond" w:hAnsi="Times New Roman" w:cs="Arial"/>
                <w:i/>
                <w:iCs/>
                <w:sz w:val="20"/>
                <w:szCs w:val="20"/>
              </w:rPr>
            </w:pPr>
            <w:r w:rsidRPr="00B4704D">
              <w:rPr>
                <w:rFonts w:ascii="Times New Roman" w:eastAsia="Garamond" w:hAnsi="Times New Roman" w:cs="Arial"/>
                <w:i/>
                <w:iCs/>
                <w:sz w:val="18"/>
                <w:szCs w:val="18"/>
              </w:rPr>
              <w:t>ROIC</w:t>
            </w:r>
          </w:p>
        </w:tc>
        <w:tc>
          <w:tcPr>
            <w:tcW w:w="3499" w:type="pct"/>
            <w:tcBorders>
              <w:top w:val="single" w:sz="4" w:space="0" w:color="auto"/>
              <w:bottom w:val="nil"/>
            </w:tcBorders>
          </w:tcPr>
          <w:p w14:paraId="1849AABC"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ROIC quantifies a company's ability to direct its capital towards profitable investments, calculated as Net Profit After Taxes (NPAT) divided by Total Invested Capital. This ratio provides insight into profitability against all utilized capital, encompassing debt and equity financing.</w:t>
            </w:r>
          </w:p>
          <w:p w14:paraId="5D27A24C" w14:textId="77777777" w:rsidR="002B0C6E" w:rsidRPr="00B4704D" w:rsidRDefault="002B0C6E" w:rsidP="000B4FD1">
            <w:pPr>
              <w:spacing w:line="240" w:lineRule="atLeast"/>
              <w:rPr>
                <w:rFonts w:ascii="Times New Roman" w:eastAsia="Garamond" w:hAnsi="Times New Roman" w:cs="Arial"/>
                <w:sz w:val="20"/>
                <w:szCs w:val="20"/>
              </w:rPr>
            </w:pPr>
          </w:p>
          <w:p w14:paraId="548A19B2" w14:textId="77777777" w:rsidR="002B0C6E" w:rsidRPr="00B4704D" w:rsidRDefault="002B0C6E" w:rsidP="000B4FD1">
            <w:pPr>
              <w:spacing w:line="240" w:lineRule="auto"/>
              <w:jc w:val="left"/>
              <w:rPr>
                <w:rFonts w:ascii="Aptos" w:eastAsia="Aptos" w:hAnsi="Aptos" w:cs="Arial"/>
                <w:sz w:val="18"/>
                <w:szCs w:val="18"/>
              </w:rPr>
            </w:pPr>
            <m:oMathPara>
              <m:oMath>
                <m:sSub>
                  <m:sSubPr>
                    <m:ctrlPr>
                      <w:rPr>
                        <w:rFonts w:ascii="Cambria Math" w:eastAsia="Calibri" w:hAnsi="Cambria Math" w:cs="Arial"/>
                        <w:sz w:val="18"/>
                        <w:szCs w:val="18"/>
                      </w:rPr>
                    </m:ctrlPr>
                  </m:sSubPr>
                  <m:e>
                    <m:r>
                      <w:rPr>
                        <w:rFonts w:ascii="Cambria Math" w:eastAsia="Calibri" w:hAnsi="Cambria Math" w:cs="Arial"/>
                        <w:sz w:val="18"/>
                        <w:szCs w:val="18"/>
                      </w:rPr>
                      <m:t>ROIC</m:t>
                    </m:r>
                  </m:e>
                  <m:sub>
                    <m:r>
                      <w:rPr>
                        <w:rFonts w:ascii="Cambria Math" w:eastAsia="Calibri" w:hAnsi="Cambria Math" w:cs="Arial"/>
                        <w:sz w:val="18"/>
                        <w:szCs w:val="18"/>
                      </w:rPr>
                      <m:t>i</m:t>
                    </m:r>
                    <m:r>
                      <m:rPr>
                        <m:sty m:val="p"/>
                      </m:rPr>
                      <w:rPr>
                        <w:rFonts w:ascii="Cambria Math" w:eastAsia="Calibri" w:hAnsi="Cambria Math" w:cs="Arial"/>
                        <w:sz w:val="18"/>
                        <w:szCs w:val="18"/>
                      </w:rPr>
                      <m:t>,</m:t>
                    </m:r>
                    <m:r>
                      <w:rPr>
                        <w:rFonts w:ascii="Cambria Math" w:eastAsia="Calibri" w:hAnsi="Cambria Math" w:cs="Arial"/>
                        <w:sz w:val="18"/>
                        <w:szCs w:val="18"/>
                      </w:rPr>
                      <m:t>t</m:t>
                    </m:r>
                  </m:sub>
                </m:sSub>
                <m:r>
                  <m:rPr>
                    <m:sty m:val="p"/>
                  </m:rPr>
                  <w:rPr>
                    <w:rFonts w:ascii="Cambria Math" w:eastAsia="Calibri" w:hAnsi="Cambria Math" w:cs="Arial"/>
                    <w:sz w:val="18"/>
                    <w:szCs w:val="18"/>
                  </w:rPr>
                  <m:t xml:space="preserve">= </m:t>
                </m:r>
                <m:f>
                  <m:fPr>
                    <m:ctrlPr>
                      <w:rPr>
                        <w:rFonts w:ascii="Cambria Math" w:eastAsia="Aptos" w:hAnsi="Cambria Math" w:cs="Arial"/>
                        <w:i/>
                        <w:sz w:val="18"/>
                        <w:szCs w:val="18"/>
                      </w:rPr>
                    </m:ctrlPr>
                  </m:fPr>
                  <m:num>
                    <m:r>
                      <w:rPr>
                        <w:rFonts w:ascii="Cambria Math" w:eastAsia="Aptos" w:hAnsi="Cambria Math" w:cs="Arial"/>
                        <w:sz w:val="18"/>
                        <w:szCs w:val="18"/>
                      </w:rPr>
                      <m:t>Net Profit After Taxes (NPAT)</m:t>
                    </m:r>
                  </m:num>
                  <m:den>
                    <m:r>
                      <w:rPr>
                        <w:rFonts w:ascii="Cambria Math" w:eastAsia="Aptos" w:hAnsi="Cambria Math" w:cs="Arial"/>
                        <w:sz w:val="18"/>
                        <w:szCs w:val="18"/>
                      </w:rPr>
                      <m:t>Total Invested Capital</m:t>
                    </m:r>
                  </m:den>
                </m:f>
              </m:oMath>
            </m:oMathPara>
          </w:p>
          <w:p w14:paraId="5108A492" w14:textId="77777777" w:rsidR="002B0C6E" w:rsidRPr="00B4704D" w:rsidRDefault="002B0C6E" w:rsidP="000B4FD1">
            <w:pPr>
              <w:spacing w:line="240" w:lineRule="atLeast"/>
              <w:contextualSpacing/>
              <w:rPr>
                <w:rFonts w:ascii="Times New Roman" w:eastAsia="Garamond" w:hAnsi="Times New Roman" w:cs="Times New Roman"/>
                <w:sz w:val="18"/>
                <w:highlight w:val="yellow"/>
                <w:lang w:val="en-GB" w:eastAsia="en-GB"/>
              </w:rPr>
            </w:pPr>
            <w:r w:rsidRPr="00B4704D">
              <w:rPr>
                <w:rFonts w:ascii="Times New Roman" w:eastAsia="Garamond" w:hAnsi="Times New Roman" w:cs="Times New Roman"/>
                <w:sz w:val="18"/>
                <w:lang w:val="en-GB" w:eastAsia="en-GB"/>
              </w:rPr>
              <w:t xml:space="preserve">NPAT signifies a company's profits post-tax, showing the real earnings available to debt and equity investors. Total Invested Capital, combining debt, equity, and retained earnings, mirrors the entirety of capital used in operations, covering all capital sources. A higher ROIC suggests better capital use for profit generation, revealing how well a company yields returns on all invested capital. This makes ROIC essential for assessing a company's profit-making and investment appeal. </w:t>
            </w:r>
          </w:p>
        </w:tc>
      </w:tr>
      <w:tr w:rsidR="002B0C6E" w:rsidRPr="00B4704D" w14:paraId="7D1D33C6" w14:textId="77777777" w:rsidTr="000B4FD1">
        <w:trPr>
          <w:trHeight w:val="225"/>
        </w:trPr>
        <w:tc>
          <w:tcPr>
            <w:tcW w:w="841" w:type="pct"/>
            <w:tcBorders>
              <w:top w:val="nil"/>
              <w:bottom w:val="nil"/>
            </w:tcBorders>
          </w:tcPr>
          <w:p w14:paraId="79EBEEED"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Return on capital employed/ Operational Efficiency</w:t>
            </w:r>
          </w:p>
        </w:tc>
        <w:tc>
          <w:tcPr>
            <w:tcW w:w="660" w:type="pct"/>
            <w:tcBorders>
              <w:top w:val="nil"/>
              <w:bottom w:val="nil"/>
            </w:tcBorders>
          </w:tcPr>
          <w:p w14:paraId="6B39F5A7" w14:textId="77777777" w:rsidR="002B0C6E" w:rsidRPr="00B4704D" w:rsidRDefault="002B0C6E" w:rsidP="000B4FD1">
            <w:pPr>
              <w:spacing w:line="240" w:lineRule="auto"/>
              <w:rPr>
                <w:rFonts w:ascii="Times New Roman" w:eastAsia="Garamond" w:hAnsi="Times New Roman" w:cs="Arial"/>
                <w:i/>
                <w:iCs/>
                <w:sz w:val="18"/>
                <w:szCs w:val="18"/>
              </w:rPr>
            </w:pPr>
            <w:r w:rsidRPr="00B4704D">
              <w:rPr>
                <w:rFonts w:ascii="Times New Roman" w:eastAsia="Garamond" w:hAnsi="Times New Roman" w:cs="Arial"/>
                <w:i/>
                <w:iCs/>
                <w:sz w:val="18"/>
                <w:szCs w:val="18"/>
              </w:rPr>
              <w:t>ROCE</w:t>
            </w:r>
          </w:p>
        </w:tc>
        <w:tc>
          <w:tcPr>
            <w:tcW w:w="3499" w:type="pct"/>
            <w:tcBorders>
              <w:top w:val="nil"/>
              <w:bottom w:val="nil"/>
            </w:tcBorders>
          </w:tcPr>
          <w:p w14:paraId="2991F5BD"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ROCE evaluates a company's capital usage efficiency and profitability, computed as Earnings Before Interest and Tax (EBIT) divided by Capital Employed (Total Assets minus Current Liabilities). This measure highlights how effectively a company utilizes long-term capital to generate profits.</w:t>
            </w:r>
          </w:p>
          <w:p w14:paraId="5F8D270E" w14:textId="77777777" w:rsidR="002B0C6E" w:rsidRPr="00B4704D" w:rsidRDefault="002B0C6E" w:rsidP="000B4FD1">
            <w:pPr>
              <w:spacing w:line="240" w:lineRule="auto"/>
              <w:jc w:val="left"/>
              <w:rPr>
                <w:rFonts w:ascii="Aptos" w:eastAsia="Aptos" w:hAnsi="Aptos" w:cs="Arial"/>
                <w:sz w:val="18"/>
                <w:szCs w:val="18"/>
              </w:rPr>
            </w:pPr>
            <m:oMathPara>
              <m:oMath>
                <m:sSub>
                  <m:sSubPr>
                    <m:ctrlPr>
                      <w:rPr>
                        <w:rFonts w:ascii="Cambria Math" w:eastAsia="Calibri" w:hAnsi="Cambria Math" w:cs="Arial"/>
                        <w:sz w:val="18"/>
                        <w:szCs w:val="18"/>
                      </w:rPr>
                    </m:ctrlPr>
                  </m:sSubPr>
                  <m:e>
                    <m:r>
                      <w:rPr>
                        <w:rFonts w:ascii="Cambria Math" w:eastAsia="Calibri" w:hAnsi="Cambria Math" w:cs="Arial"/>
                        <w:sz w:val="18"/>
                        <w:szCs w:val="18"/>
                      </w:rPr>
                      <m:t>ROCE</m:t>
                    </m:r>
                  </m:e>
                  <m:sub>
                    <m:r>
                      <w:rPr>
                        <w:rFonts w:ascii="Cambria Math" w:eastAsia="Calibri" w:hAnsi="Cambria Math" w:cs="Arial"/>
                        <w:sz w:val="18"/>
                        <w:szCs w:val="18"/>
                      </w:rPr>
                      <m:t>i</m:t>
                    </m:r>
                    <m:r>
                      <m:rPr>
                        <m:sty m:val="p"/>
                      </m:rPr>
                      <w:rPr>
                        <w:rFonts w:ascii="Cambria Math" w:eastAsia="Calibri" w:hAnsi="Cambria Math" w:cs="Arial"/>
                        <w:sz w:val="18"/>
                        <w:szCs w:val="18"/>
                      </w:rPr>
                      <m:t>,</m:t>
                    </m:r>
                    <m:r>
                      <w:rPr>
                        <w:rFonts w:ascii="Cambria Math" w:eastAsia="Calibri" w:hAnsi="Cambria Math" w:cs="Arial"/>
                        <w:sz w:val="18"/>
                        <w:szCs w:val="18"/>
                      </w:rPr>
                      <m:t>t</m:t>
                    </m:r>
                  </m:sub>
                </m:sSub>
                <m:r>
                  <m:rPr>
                    <m:sty m:val="p"/>
                  </m:rPr>
                  <w:rPr>
                    <w:rFonts w:ascii="Cambria Math" w:eastAsia="Calibri" w:hAnsi="Cambria Math" w:cs="Arial"/>
                    <w:sz w:val="18"/>
                    <w:szCs w:val="18"/>
                  </w:rPr>
                  <m:t xml:space="preserve">= </m:t>
                </m:r>
                <m:f>
                  <m:fPr>
                    <m:ctrlPr>
                      <w:rPr>
                        <w:rFonts w:ascii="Cambria Math" w:eastAsia="Aptos" w:hAnsi="Cambria Math" w:cs="Arial"/>
                        <w:i/>
                        <w:sz w:val="18"/>
                        <w:szCs w:val="18"/>
                      </w:rPr>
                    </m:ctrlPr>
                  </m:fPr>
                  <m:num>
                    <m:r>
                      <w:rPr>
                        <w:rFonts w:ascii="Cambria Math" w:eastAsia="Aptos" w:hAnsi="Cambria Math" w:cs="Arial"/>
                        <w:sz w:val="18"/>
                        <w:szCs w:val="18"/>
                      </w:rPr>
                      <m:t>Earnings Before Interest and Tax (EBIT)</m:t>
                    </m:r>
                  </m:num>
                  <m:den>
                    <m:r>
                      <w:rPr>
                        <w:rFonts w:ascii="Cambria Math" w:eastAsia="Aptos" w:hAnsi="Cambria Math" w:cs="Arial"/>
                        <w:sz w:val="18"/>
                        <w:szCs w:val="18"/>
                      </w:rPr>
                      <m:t>Total Assets-Current Liabilities</m:t>
                    </m:r>
                  </m:den>
                </m:f>
              </m:oMath>
            </m:oMathPara>
          </w:p>
          <w:p w14:paraId="4520244B"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lastRenderedPageBreak/>
              <w:t xml:space="preserve">EBIT, the operational profit before interest and tax deductions, reflects the company's core operational profitability. Capital Employed, the difference between Total Assets and Current Liabilities, represents the long-term capital from creditors and shareholders used in operations, excluding short-term debts. ROCE, indicating the efficiency of core capital use for earnings, shows the operational efficiency and profitability of capital use. A higher ROCE denotes more efficient profit generation from the capital employed. </w:t>
            </w:r>
          </w:p>
        </w:tc>
      </w:tr>
      <w:tr w:rsidR="002B0C6E" w:rsidRPr="00B4704D" w14:paraId="4287611B" w14:textId="77777777" w:rsidTr="000B4FD1">
        <w:trPr>
          <w:trHeight w:val="225"/>
        </w:trPr>
        <w:tc>
          <w:tcPr>
            <w:tcW w:w="841" w:type="pct"/>
            <w:tcBorders>
              <w:top w:val="nil"/>
              <w:bottom w:val="nil"/>
            </w:tcBorders>
          </w:tcPr>
          <w:p w14:paraId="64582DA9"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lastRenderedPageBreak/>
              <w:t>Return on equity</w:t>
            </w:r>
          </w:p>
        </w:tc>
        <w:tc>
          <w:tcPr>
            <w:tcW w:w="660" w:type="pct"/>
            <w:tcBorders>
              <w:top w:val="nil"/>
              <w:bottom w:val="nil"/>
            </w:tcBorders>
          </w:tcPr>
          <w:p w14:paraId="25DC9A9E" w14:textId="77777777" w:rsidR="002B0C6E" w:rsidRPr="00B4704D" w:rsidRDefault="002B0C6E" w:rsidP="000B4FD1">
            <w:pPr>
              <w:spacing w:line="240" w:lineRule="auto"/>
              <w:rPr>
                <w:rFonts w:ascii="Times New Roman" w:eastAsia="Garamond" w:hAnsi="Times New Roman" w:cs="Arial"/>
                <w:i/>
                <w:iCs/>
                <w:sz w:val="18"/>
                <w:szCs w:val="18"/>
              </w:rPr>
            </w:pPr>
            <w:r w:rsidRPr="00B4704D">
              <w:rPr>
                <w:rFonts w:ascii="Times New Roman" w:eastAsia="Garamond" w:hAnsi="Times New Roman" w:cs="Arial"/>
                <w:i/>
                <w:iCs/>
                <w:sz w:val="18"/>
                <w:szCs w:val="18"/>
              </w:rPr>
              <w:t>ROE</w:t>
            </w:r>
          </w:p>
        </w:tc>
        <w:tc>
          <w:tcPr>
            <w:tcW w:w="3499" w:type="pct"/>
            <w:tcBorders>
              <w:top w:val="nil"/>
              <w:bottom w:val="nil"/>
            </w:tcBorders>
          </w:tcPr>
          <w:p w14:paraId="1B245A4B"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ROE quantifies a company's profitability by showing the profit generated per unit of shareholder investment. It's derived from dividing Net Income by Shareholder's Equity, demonstrating how efficiently a company uses shareholder funds to produce profits.</w:t>
            </w:r>
          </w:p>
          <w:p w14:paraId="5CA8C03E"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p>
          <w:p w14:paraId="50E3F1EC" w14:textId="77777777" w:rsidR="002B0C6E" w:rsidRPr="00B4704D" w:rsidRDefault="002B0C6E" w:rsidP="000B4FD1">
            <w:pPr>
              <w:spacing w:line="240" w:lineRule="auto"/>
              <w:jc w:val="left"/>
              <w:rPr>
                <w:rFonts w:ascii="Aptos" w:eastAsia="Aptos" w:hAnsi="Aptos" w:cs="Arial"/>
                <w:sz w:val="18"/>
                <w:szCs w:val="18"/>
              </w:rPr>
            </w:pPr>
            <m:oMathPara>
              <m:oMath>
                <m:sSub>
                  <m:sSubPr>
                    <m:ctrlPr>
                      <w:rPr>
                        <w:rFonts w:ascii="Cambria Math" w:eastAsia="Calibri" w:hAnsi="Cambria Math" w:cs="Arial"/>
                        <w:sz w:val="18"/>
                        <w:szCs w:val="18"/>
                      </w:rPr>
                    </m:ctrlPr>
                  </m:sSubPr>
                  <m:e>
                    <m:r>
                      <w:rPr>
                        <w:rFonts w:ascii="Cambria Math" w:eastAsia="Calibri" w:hAnsi="Cambria Math" w:cs="Arial"/>
                        <w:sz w:val="18"/>
                        <w:szCs w:val="18"/>
                      </w:rPr>
                      <m:t>ROE</m:t>
                    </m:r>
                  </m:e>
                  <m:sub>
                    <m:r>
                      <w:rPr>
                        <w:rFonts w:ascii="Cambria Math" w:eastAsia="Calibri" w:hAnsi="Cambria Math" w:cs="Arial"/>
                        <w:sz w:val="18"/>
                        <w:szCs w:val="18"/>
                      </w:rPr>
                      <m:t>i</m:t>
                    </m:r>
                    <m:r>
                      <m:rPr>
                        <m:sty m:val="p"/>
                      </m:rPr>
                      <w:rPr>
                        <w:rFonts w:ascii="Cambria Math" w:eastAsia="Calibri" w:hAnsi="Cambria Math" w:cs="Arial"/>
                        <w:sz w:val="18"/>
                        <w:szCs w:val="18"/>
                      </w:rPr>
                      <m:t>,</m:t>
                    </m:r>
                    <m:r>
                      <w:rPr>
                        <w:rFonts w:ascii="Cambria Math" w:eastAsia="Calibri" w:hAnsi="Cambria Math" w:cs="Arial"/>
                        <w:sz w:val="18"/>
                        <w:szCs w:val="18"/>
                      </w:rPr>
                      <m:t>t</m:t>
                    </m:r>
                  </m:sub>
                </m:sSub>
                <m:r>
                  <m:rPr>
                    <m:sty m:val="p"/>
                  </m:rPr>
                  <w:rPr>
                    <w:rFonts w:ascii="Cambria Math" w:eastAsia="Calibri" w:hAnsi="Cambria Math" w:cs="Arial"/>
                    <w:sz w:val="18"/>
                    <w:szCs w:val="18"/>
                  </w:rPr>
                  <m:t xml:space="preserve">= </m:t>
                </m:r>
                <m:f>
                  <m:fPr>
                    <m:ctrlPr>
                      <w:rPr>
                        <w:rFonts w:ascii="Cambria Math" w:eastAsia="Aptos" w:hAnsi="Cambria Math" w:cs="Arial"/>
                        <w:i/>
                        <w:sz w:val="18"/>
                        <w:szCs w:val="18"/>
                      </w:rPr>
                    </m:ctrlPr>
                  </m:fPr>
                  <m:num>
                    <m:r>
                      <w:rPr>
                        <w:rFonts w:ascii="Cambria Math" w:eastAsia="Aptos" w:hAnsi="Cambria Math" w:cs="Arial"/>
                        <w:sz w:val="18"/>
                        <w:szCs w:val="18"/>
                      </w:rPr>
                      <m:t>Net Income</m:t>
                    </m:r>
                  </m:num>
                  <m:den>
                    <m:r>
                      <w:rPr>
                        <w:rFonts w:ascii="Cambria Math" w:eastAsia="Aptos" w:hAnsi="Cambria Math" w:cs="Arial"/>
                        <w:sz w:val="18"/>
                        <w:szCs w:val="18"/>
                      </w:rPr>
                      <m:t>Shareholders' Equity</m:t>
                    </m:r>
                  </m:den>
                </m:f>
              </m:oMath>
            </m:oMathPara>
          </w:p>
          <w:p w14:paraId="53C4DE0C"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Net Income is the company's earnings after deducting all expenses, taxes, and costs from its total revenue, signifying the remaining profit for shareholder distribution or reinvestment. Shareholder's Equity, or stockholders' equity, reflects the residual assets returned to shareholders after asset liquidation and debt settlement, incorporating capital stock, retained earnings, and additional paid-in capital. ROE serves as a financial performance metric, assessing how effectively a company utilizes shareholder investments to foster earnings growth. A higher ROE suggests greater efficiency in profit generation from shareholder equity. </w:t>
            </w:r>
          </w:p>
        </w:tc>
      </w:tr>
      <w:tr w:rsidR="002B0C6E" w:rsidRPr="00B4704D" w14:paraId="6555BE36" w14:textId="77777777" w:rsidTr="000B4FD1">
        <w:trPr>
          <w:trHeight w:val="225"/>
        </w:trPr>
        <w:tc>
          <w:tcPr>
            <w:tcW w:w="841" w:type="pct"/>
            <w:tcBorders>
              <w:top w:val="nil"/>
              <w:bottom w:val="nil"/>
            </w:tcBorders>
          </w:tcPr>
          <w:p w14:paraId="5EA50E1E"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Corporate investment efficiency</w:t>
            </w:r>
          </w:p>
        </w:tc>
        <w:tc>
          <w:tcPr>
            <w:tcW w:w="660" w:type="pct"/>
            <w:tcBorders>
              <w:top w:val="nil"/>
              <w:bottom w:val="nil"/>
            </w:tcBorders>
          </w:tcPr>
          <w:p w14:paraId="7D1B6F69" w14:textId="77777777" w:rsidR="002B0C6E" w:rsidRPr="00B4704D" w:rsidRDefault="002B0C6E" w:rsidP="000B4FD1">
            <w:pPr>
              <w:spacing w:line="240" w:lineRule="auto"/>
              <w:rPr>
                <w:rFonts w:ascii="Times New Roman" w:eastAsia="Garamond" w:hAnsi="Times New Roman" w:cs="Arial"/>
                <w:i/>
                <w:iCs/>
                <w:sz w:val="18"/>
                <w:szCs w:val="18"/>
              </w:rPr>
            </w:pPr>
            <w:r w:rsidRPr="00B4704D">
              <w:rPr>
                <w:rFonts w:ascii="Times New Roman" w:eastAsia="Garamond" w:hAnsi="Times New Roman" w:cs="Arial"/>
                <w:i/>
                <w:iCs/>
                <w:sz w:val="18"/>
                <w:szCs w:val="18"/>
              </w:rPr>
              <w:t>Investment</w:t>
            </w:r>
          </w:p>
        </w:tc>
        <w:tc>
          <w:tcPr>
            <w:tcW w:w="3499" w:type="pct"/>
            <w:tcBorders>
              <w:top w:val="nil"/>
              <w:bottom w:val="nil"/>
            </w:tcBorders>
          </w:tcPr>
          <w:p w14:paraId="208DF92C"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For firm i and year t, total investment is calculated as the aggregate of research and development expenses, capital expenditures, and acquisition costs, less any revenue from the disposal of property, plant, and equipment (PPE). This total is then normalized by the firm's total assets from the preceding year. Adopting the approach from</w:t>
            </w:r>
            <w:r>
              <w:rPr>
                <w:rFonts w:ascii="Times New Roman" w:eastAsia="Garamond" w:hAnsi="Times New Roman" w:cs="Times New Roman"/>
                <w:sz w:val="18"/>
                <w:lang w:val="en-GB" w:eastAsia="en-GB"/>
              </w:rPr>
              <w:t xml:space="preserve"> </w:t>
            </w:r>
            <w:r w:rsidRPr="00B4704D">
              <w:rPr>
                <w:rFonts w:ascii="Times New Roman" w:eastAsia="Garamond" w:hAnsi="Times New Roman" w:cs="Times New Roman"/>
                <w:sz w:val="18"/>
                <w:lang w:val="en-GB" w:eastAsia="en-GB"/>
              </w:rPr>
              <w:t>McNichols and Stubben (2008), investment efficiency is assessed by the residuals from a regression model that predicts investment levels based on the ratio of market to book value of assets (Q) and the firms' cash flow (CF). This model posits that deviations from expected investment levels suggest inefficiency.</w:t>
            </w:r>
          </w:p>
          <w:p w14:paraId="019CC15D" w14:textId="77777777" w:rsidR="002B0C6E" w:rsidRPr="00B4704D" w:rsidRDefault="002B0C6E" w:rsidP="000B4FD1">
            <w:pPr>
              <w:spacing w:line="240" w:lineRule="auto"/>
              <w:jc w:val="left"/>
              <w:rPr>
                <w:rFonts w:ascii="Aptos" w:eastAsia="Garamond" w:hAnsi="Aptos" w:cs="Arial"/>
                <w:sz w:val="20"/>
                <w:szCs w:val="20"/>
              </w:rPr>
            </w:pPr>
            <m:oMathPara>
              <m:oMath>
                <m:sSub>
                  <m:sSubPr>
                    <m:ctrlPr>
                      <w:rPr>
                        <w:rFonts w:ascii="Cambria Math" w:eastAsia="Aptos" w:hAnsi="Cambria Math" w:cs="Arial"/>
                        <w:sz w:val="20"/>
                        <w:szCs w:val="20"/>
                      </w:rPr>
                    </m:ctrlPr>
                  </m:sSubPr>
                  <m:e>
                    <m:r>
                      <w:rPr>
                        <w:rFonts w:ascii="Cambria Math" w:eastAsia="Aptos" w:hAnsi="Cambria Math" w:cs="Arial"/>
                        <w:sz w:val="20"/>
                        <w:szCs w:val="20"/>
                      </w:rPr>
                      <m:t>Investment</m:t>
                    </m:r>
                  </m:e>
                  <m:sub>
                    <m:r>
                      <w:rPr>
                        <w:rFonts w:ascii="Cambria Math" w:eastAsia="Aptos" w:hAnsi="Cambria Math" w:cs="Arial"/>
                        <w:sz w:val="20"/>
                        <w:szCs w:val="20"/>
                      </w:rPr>
                      <m:t>i</m:t>
                    </m:r>
                    <m:r>
                      <m:rPr>
                        <m:sty m:val="p"/>
                      </m:rPr>
                      <w:rPr>
                        <w:rFonts w:ascii="Cambria Math" w:eastAsia="Aptos" w:hAnsi="Cambria Math" w:cs="Arial"/>
                        <w:sz w:val="20"/>
                        <w:szCs w:val="20"/>
                      </w:rPr>
                      <m:t>,</m:t>
                    </m:r>
                    <m:r>
                      <w:rPr>
                        <w:rFonts w:ascii="Cambria Math" w:eastAsia="Aptos" w:hAnsi="Cambria Math" w:cs="Arial"/>
                        <w:sz w:val="20"/>
                        <w:szCs w:val="20"/>
                      </w:rPr>
                      <m:t>t</m:t>
                    </m:r>
                  </m:sub>
                </m:sSub>
                <m:r>
                  <m:rPr>
                    <m:sty m:val="p"/>
                  </m:rPr>
                  <w:rPr>
                    <w:rFonts w:ascii="Cambria Math" w:eastAsia="Aptos" w:hAnsi="Cambria Math" w:cs="Arial"/>
                    <w:sz w:val="20"/>
                    <w:szCs w:val="20"/>
                  </w:rPr>
                  <m:t xml:space="preserve">= </m:t>
                </m:r>
                <m:sSub>
                  <m:sSubPr>
                    <m:ctrlPr>
                      <w:rPr>
                        <w:rFonts w:ascii="Cambria Math" w:eastAsia="Aptos" w:hAnsi="Cambria Math" w:cs="Arial"/>
                        <w:sz w:val="20"/>
                        <w:szCs w:val="20"/>
                      </w:rPr>
                    </m:ctrlPr>
                  </m:sSubPr>
                  <m:e>
                    <m:r>
                      <w:rPr>
                        <w:rFonts w:ascii="Cambria Math" w:eastAsia="Aptos" w:hAnsi="Cambria Math" w:cs="Arial"/>
                        <w:sz w:val="20"/>
                        <w:szCs w:val="20"/>
                      </w:rPr>
                      <m:t>β</m:t>
                    </m:r>
                  </m:e>
                  <m:sub>
                    <m:r>
                      <m:rPr>
                        <m:sty m:val="p"/>
                      </m:rPr>
                      <w:rPr>
                        <w:rFonts w:ascii="Cambria Math" w:eastAsia="Aptos" w:hAnsi="Cambria Math" w:cs="Arial"/>
                        <w:sz w:val="20"/>
                        <w:szCs w:val="20"/>
                      </w:rPr>
                      <m:t>0</m:t>
                    </m:r>
                  </m:sub>
                </m:sSub>
                <m:r>
                  <m:rPr>
                    <m:sty m:val="p"/>
                  </m:rPr>
                  <w:rPr>
                    <w:rFonts w:ascii="Cambria Math" w:eastAsia="Aptos" w:hAnsi="Cambria Math" w:cs="Arial"/>
                    <w:sz w:val="20"/>
                    <w:szCs w:val="20"/>
                  </w:rPr>
                  <m:t>+</m:t>
                </m:r>
                <m:sSub>
                  <m:sSubPr>
                    <m:ctrlPr>
                      <w:rPr>
                        <w:rFonts w:ascii="Cambria Math" w:eastAsia="Aptos" w:hAnsi="Cambria Math" w:cs="Arial"/>
                        <w:sz w:val="20"/>
                        <w:szCs w:val="20"/>
                      </w:rPr>
                    </m:ctrlPr>
                  </m:sSubPr>
                  <m:e>
                    <m:r>
                      <w:rPr>
                        <w:rFonts w:ascii="Cambria Math" w:eastAsia="Aptos" w:hAnsi="Cambria Math" w:cs="Arial"/>
                        <w:sz w:val="20"/>
                        <w:szCs w:val="20"/>
                      </w:rPr>
                      <m:t>β</m:t>
                    </m:r>
                  </m:e>
                  <m:sub>
                    <m:r>
                      <m:rPr>
                        <m:sty m:val="p"/>
                      </m:rPr>
                      <w:rPr>
                        <w:rFonts w:ascii="Cambria Math" w:eastAsia="Aptos" w:hAnsi="Cambria Math" w:cs="Arial"/>
                        <w:sz w:val="20"/>
                        <w:szCs w:val="20"/>
                      </w:rPr>
                      <m:t>1</m:t>
                    </m:r>
                  </m:sub>
                </m:sSub>
                <m:sSub>
                  <m:sSubPr>
                    <m:ctrlPr>
                      <w:rPr>
                        <w:rFonts w:ascii="Cambria Math" w:eastAsia="Aptos" w:hAnsi="Cambria Math" w:cs="Arial"/>
                        <w:sz w:val="20"/>
                        <w:szCs w:val="20"/>
                      </w:rPr>
                    </m:ctrlPr>
                  </m:sSubPr>
                  <m:e>
                    <m:r>
                      <w:rPr>
                        <w:rFonts w:ascii="Cambria Math" w:eastAsia="Aptos" w:hAnsi="Cambria Math" w:cs="Arial"/>
                        <w:sz w:val="20"/>
                        <w:szCs w:val="20"/>
                      </w:rPr>
                      <m:t>Q</m:t>
                    </m:r>
                  </m:e>
                  <m:sub>
                    <m:r>
                      <w:rPr>
                        <w:rFonts w:ascii="Cambria Math" w:eastAsia="Aptos" w:hAnsi="Cambria Math" w:cs="Arial"/>
                        <w:sz w:val="20"/>
                        <w:szCs w:val="20"/>
                      </w:rPr>
                      <m:t>i</m:t>
                    </m:r>
                    <m:r>
                      <m:rPr>
                        <m:sty m:val="p"/>
                      </m:rPr>
                      <w:rPr>
                        <w:rFonts w:ascii="Cambria Math" w:eastAsia="Aptos" w:hAnsi="Cambria Math" w:cs="Arial"/>
                        <w:sz w:val="20"/>
                        <w:szCs w:val="20"/>
                      </w:rPr>
                      <m:t>,</m:t>
                    </m:r>
                    <m:r>
                      <w:rPr>
                        <w:rFonts w:ascii="Cambria Math" w:eastAsia="Aptos" w:hAnsi="Cambria Math" w:cs="Arial"/>
                        <w:sz w:val="20"/>
                        <w:szCs w:val="20"/>
                      </w:rPr>
                      <m:t>t</m:t>
                    </m:r>
                  </m:sub>
                </m:sSub>
                <m:r>
                  <m:rPr>
                    <m:sty m:val="p"/>
                  </m:rPr>
                  <w:rPr>
                    <w:rFonts w:ascii="Cambria Math" w:eastAsia="Aptos" w:hAnsi="Cambria Math" w:cs="Arial"/>
                    <w:sz w:val="20"/>
                    <w:szCs w:val="20"/>
                  </w:rPr>
                  <m:t>+</m:t>
                </m:r>
                <m:sSub>
                  <m:sSubPr>
                    <m:ctrlPr>
                      <w:rPr>
                        <w:rFonts w:ascii="Cambria Math" w:eastAsia="Aptos" w:hAnsi="Cambria Math" w:cs="Arial"/>
                        <w:sz w:val="20"/>
                        <w:szCs w:val="20"/>
                      </w:rPr>
                    </m:ctrlPr>
                  </m:sSubPr>
                  <m:e>
                    <m:r>
                      <w:rPr>
                        <w:rFonts w:ascii="Cambria Math" w:eastAsia="Aptos" w:hAnsi="Cambria Math" w:cs="Arial"/>
                        <w:sz w:val="20"/>
                        <w:szCs w:val="20"/>
                      </w:rPr>
                      <m:t>β</m:t>
                    </m:r>
                  </m:e>
                  <m:sub>
                    <m:r>
                      <w:rPr>
                        <w:rFonts w:ascii="Cambria Math" w:eastAsia="Aptos" w:hAnsi="Cambria Math" w:cs="Arial"/>
                        <w:sz w:val="20"/>
                        <w:szCs w:val="20"/>
                      </w:rPr>
                      <m:t>2</m:t>
                    </m:r>
                  </m:sub>
                </m:sSub>
                <m:sSub>
                  <m:sSubPr>
                    <m:ctrlPr>
                      <w:rPr>
                        <w:rFonts w:ascii="Cambria Math" w:eastAsia="Aptos" w:hAnsi="Cambria Math" w:cs="Arial"/>
                        <w:sz w:val="20"/>
                        <w:szCs w:val="20"/>
                      </w:rPr>
                    </m:ctrlPr>
                  </m:sSubPr>
                  <m:e>
                    <m:r>
                      <w:rPr>
                        <w:rFonts w:ascii="Cambria Math" w:eastAsia="Aptos" w:hAnsi="Cambria Math" w:cs="Arial"/>
                        <w:sz w:val="20"/>
                        <w:szCs w:val="20"/>
                      </w:rPr>
                      <m:t>CF</m:t>
                    </m:r>
                  </m:e>
                  <m:sub>
                    <m:r>
                      <w:rPr>
                        <w:rFonts w:ascii="Cambria Math" w:eastAsia="Aptos" w:hAnsi="Cambria Math" w:cs="Arial"/>
                        <w:sz w:val="20"/>
                        <w:szCs w:val="20"/>
                      </w:rPr>
                      <m:t>i</m:t>
                    </m:r>
                    <m:r>
                      <m:rPr>
                        <m:sty m:val="p"/>
                      </m:rPr>
                      <w:rPr>
                        <w:rFonts w:ascii="Cambria Math" w:eastAsia="Aptos" w:hAnsi="Cambria Math" w:cs="Arial"/>
                        <w:sz w:val="20"/>
                        <w:szCs w:val="20"/>
                      </w:rPr>
                      <m:t>,</m:t>
                    </m:r>
                    <m:r>
                      <w:rPr>
                        <w:rFonts w:ascii="Cambria Math" w:eastAsia="Aptos" w:hAnsi="Cambria Math" w:cs="Arial"/>
                        <w:sz w:val="20"/>
                        <w:szCs w:val="20"/>
                      </w:rPr>
                      <m:t>t</m:t>
                    </m:r>
                  </m:sub>
                </m:sSub>
                <m:r>
                  <m:rPr>
                    <m:sty m:val="p"/>
                  </m:rPr>
                  <w:rPr>
                    <w:rFonts w:ascii="Cambria Math" w:eastAsia="Aptos" w:hAnsi="Cambria Math" w:cs="Arial"/>
                    <w:sz w:val="20"/>
                    <w:szCs w:val="20"/>
                  </w:rPr>
                  <m:t>+</m:t>
                </m:r>
                <m:sSub>
                  <m:sSubPr>
                    <m:ctrlPr>
                      <w:rPr>
                        <w:rFonts w:ascii="Cambria Math" w:eastAsia="Aptos" w:hAnsi="Cambria Math" w:cs="Arial"/>
                        <w:sz w:val="20"/>
                        <w:szCs w:val="20"/>
                      </w:rPr>
                    </m:ctrlPr>
                  </m:sSubPr>
                  <m:e>
                    <m:r>
                      <w:rPr>
                        <w:rFonts w:ascii="Cambria Math" w:eastAsia="Aptos" w:hAnsi="Cambria Math" w:cs="Arial"/>
                        <w:sz w:val="20"/>
                        <w:szCs w:val="20"/>
                      </w:rPr>
                      <m:t>ε</m:t>
                    </m:r>
                  </m:e>
                  <m:sub>
                    <m:r>
                      <w:rPr>
                        <w:rFonts w:ascii="Cambria Math" w:eastAsia="Aptos" w:hAnsi="Cambria Math" w:cs="Arial"/>
                        <w:sz w:val="20"/>
                        <w:szCs w:val="20"/>
                      </w:rPr>
                      <m:t>it</m:t>
                    </m:r>
                  </m:sub>
                </m:sSub>
              </m:oMath>
            </m:oMathPara>
          </w:p>
          <w:p w14:paraId="75B2BEFC"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Investment efficiency is determined to be inversely related to the absolute value of the residuals from the regression model; hence, a higher value (multiplied by -1 to indicate positive impact) reflects greater efficiency. The model is estimated separately for each year and industry, accommodating variations specific to each industry and time period in investment </w:t>
            </w:r>
            <w:r>
              <w:rPr>
                <w:rFonts w:ascii="Times New Roman" w:eastAsia="Garamond" w:hAnsi="Times New Roman" w:cs="Times New Roman"/>
                <w:sz w:val="18"/>
                <w:lang w:val="en-GB" w:eastAsia="en-GB"/>
              </w:rPr>
              <w:t>behavior</w:t>
            </w:r>
            <w:r w:rsidRPr="00B4704D">
              <w:rPr>
                <w:rFonts w:ascii="Times New Roman" w:eastAsia="Garamond" w:hAnsi="Times New Roman" w:cs="Times New Roman"/>
                <w:sz w:val="18"/>
                <w:lang w:val="en-GB" w:eastAsia="en-GB"/>
              </w:rPr>
              <w:t xml:space="preserve"> and efficiency.</w:t>
            </w:r>
          </w:p>
        </w:tc>
      </w:tr>
      <w:tr w:rsidR="002B0C6E" w:rsidRPr="00B4704D" w14:paraId="2DC48D6B" w14:textId="77777777" w:rsidTr="000B4FD1">
        <w:trPr>
          <w:trHeight w:val="134"/>
        </w:trPr>
        <w:tc>
          <w:tcPr>
            <w:tcW w:w="5000" w:type="pct"/>
            <w:gridSpan w:val="3"/>
            <w:tcBorders>
              <w:top w:val="single" w:sz="4" w:space="0" w:color="auto"/>
              <w:bottom w:val="single" w:sz="4" w:space="0" w:color="auto"/>
            </w:tcBorders>
          </w:tcPr>
          <w:p w14:paraId="256EFBF4" w14:textId="77777777" w:rsidR="002B0C6E" w:rsidRPr="00B4704D" w:rsidRDefault="002B0C6E" w:rsidP="000B4FD1">
            <w:pPr>
              <w:spacing w:line="240" w:lineRule="atLeast"/>
              <w:jc w:val="left"/>
              <w:rPr>
                <w:rFonts w:ascii="Times New Roman" w:eastAsia="Garamond" w:hAnsi="Times New Roman" w:cs="Arial"/>
                <w:b/>
                <w:bCs/>
                <w:sz w:val="20"/>
                <w:szCs w:val="20"/>
                <w:highlight w:val="yellow"/>
              </w:rPr>
            </w:pPr>
            <w:r w:rsidRPr="00B4704D">
              <w:rPr>
                <w:rFonts w:ascii="Times New Roman" w:eastAsia="Garamond" w:hAnsi="Times New Roman" w:cs="Arial"/>
                <w:b/>
                <w:bCs/>
                <w:sz w:val="18"/>
                <w:szCs w:val="18"/>
              </w:rPr>
              <w:t>Panel C: Firm Level Variables</w:t>
            </w:r>
          </w:p>
        </w:tc>
      </w:tr>
      <w:tr w:rsidR="002B0C6E" w:rsidRPr="00B4704D" w14:paraId="614EA6C8" w14:textId="77777777" w:rsidTr="000B4FD1">
        <w:trPr>
          <w:trHeight w:val="270"/>
        </w:trPr>
        <w:tc>
          <w:tcPr>
            <w:tcW w:w="841" w:type="pct"/>
            <w:tcBorders>
              <w:top w:val="nil"/>
              <w:bottom w:val="nil"/>
            </w:tcBorders>
          </w:tcPr>
          <w:p w14:paraId="68720A2D"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Return on assets</w:t>
            </w:r>
          </w:p>
        </w:tc>
        <w:tc>
          <w:tcPr>
            <w:tcW w:w="660" w:type="pct"/>
            <w:tcBorders>
              <w:top w:val="nil"/>
              <w:bottom w:val="nil"/>
            </w:tcBorders>
          </w:tcPr>
          <w:p w14:paraId="79FD450C"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ROA</w:t>
            </w:r>
          </w:p>
        </w:tc>
        <w:tc>
          <w:tcPr>
            <w:tcW w:w="3499" w:type="pct"/>
            <w:tcBorders>
              <w:top w:val="nil"/>
              <w:bottom w:val="nil"/>
            </w:tcBorders>
          </w:tcPr>
          <w:p w14:paraId="044EE25C"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metric assesses how efficiently a company generates profits from its assets, calculated by dividing after-tax net income by total assets, expressed as a percentage. </w:t>
            </w:r>
          </w:p>
        </w:tc>
      </w:tr>
      <w:tr w:rsidR="002B0C6E" w:rsidRPr="00B4704D" w14:paraId="0D2664B4" w14:textId="77777777" w:rsidTr="000B4FD1">
        <w:trPr>
          <w:trHeight w:val="270"/>
        </w:trPr>
        <w:tc>
          <w:tcPr>
            <w:tcW w:w="841" w:type="pct"/>
            <w:tcBorders>
              <w:top w:val="nil"/>
              <w:bottom w:val="nil"/>
            </w:tcBorders>
          </w:tcPr>
          <w:p w14:paraId="21612BD0"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Tobin Q ratio</w:t>
            </w:r>
          </w:p>
        </w:tc>
        <w:tc>
          <w:tcPr>
            <w:tcW w:w="660" w:type="pct"/>
            <w:tcBorders>
              <w:top w:val="nil"/>
              <w:bottom w:val="nil"/>
            </w:tcBorders>
          </w:tcPr>
          <w:p w14:paraId="27DA8648"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TQ</w:t>
            </w:r>
          </w:p>
        </w:tc>
        <w:tc>
          <w:tcPr>
            <w:tcW w:w="3499" w:type="pct"/>
            <w:tcBorders>
              <w:top w:val="nil"/>
              <w:bottom w:val="nil"/>
            </w:tcBorders>
          </w:tcPr>
          <w:p w14:paraId="055E4915"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This metric calculates investment appeal by summing the market value of equity and debt, then dividing by the assets' replacement cost. A value above 1 suggests a firm's market value exceeds its asset costs, indicating potential overvaluation or anticipated growth. Sources: Refinitiv Eikon</w:t>
            </w:r>
          </w:p>
        </w:tc>
      </w:tr>
      <w:tr w:rsidR="002B0C6E" w:rsidRPr="00B4704D" w14:paraId="6CAE0836" w14:textId="77777777" w:rsidTr="000B4FD1">
        <w:trPr>
          <w:trHeight w:val="270"/>
        </w:trPr>
        <w:tc>
          <w:tcPr>
            <w:tcW w:w="841" w:type="pct"/>
            <w:tcBorders>
              <w:top w:val="nil"/>
              <w:bottom w:val="nil"/>
            </w:tcBorders>
          </w:tcPr>
          <w:p w14:paraId="14F1F81A"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Firm size</w:t>
            </w:r>
          </w:p>
        </w:tc>
        <w:tc>
          <w:tcPr>
            <w:tcW w:w="660" w:type="pct"/>
            <w:tcBorders>
              <w:top w:val="nil"/>
              <w:bottom w:val="nil"/>
            </w:tcBorders>
          </w:tcPr>
          <w:p w14:paraId="21C7C574"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Size</w:t>
            </w:r>
          </w:p>
        </w:tc>
        <w:tc>
          <w:tcPr>
            <w:tcW w:w="3499" w:type="pct"/>
            <w:tcBorders>
              <w:top w:val="nil"/>
              <w:bottom w:val="nil"/>
            </w:tcBorders>
          </w:tcPr>
          <w:p w14:paraId="07EEBBFA"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represents the natural logarithm of the total assets at the year-end for company i in the fiscal year t. </w:t>
            </w:r>
          </w:p>
        </w:tc>
      </w:tr>
      <w:tr w:rsidR="002B0C6E" w:rsidRPr="00B4704D" w14:paraId="4B746D44" w14:textId="77777777" w:rsidTr="000B4FD1">
        <w:trPr>
          <w:trHeight w:val="351"/>
        </w:trPr>
        <w:tc>
          <w:tcPr>
            <w:tcW w:w="841" w:type="pct"/>
            <w:tcBorders>
              <w:top w:val="nil"/>
              <w:bottom w:val="nil"/>
            </w:tcBorders>
          </w:tcPr>
          <w:p w14:paraId="6B7DE7C4"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Market capital</w:t>
            </w:r>
          </w:p>
        </w:tc>
        <w:tc>
          <w:tcPr>
            <w:tcW w:w="660" w:type="pct"/>
            <w:tcBorders>
              <w:top w:val="nil"/>
              <w:bottom w:val="nil"/>
            </w:tcBorders>
          </w:tcPr>
          <w:p w14:paraId="583136A0"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M_Cap</w:t>
            </w:r>
          </w:p>
        </w:tc>
        <w:tc>
          <w:tcPr>
            <w:tcW w:w="3499" w:type="pct"/>
            <w:tcBorders>
              <w:top w:val="nil"/>
              <w:bottom w:val="nil"/>
            </w:tcBorders>
          </w:tcPr>
          <w:p w14:paraId="73096BAB"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is the natural logarithm (ln) of the total market value of all outstanding shares of a company. </w:t>
            </w:r>
          </w:p>
        </w:tc>
      </w:tr>
      <w:tr w:rsidR="002B0C6E" w:rsidRPr="00B4704D" w14:paraId="3EB886F0" w14:textId="77777777" w:rsidTr="000B4FD1">
        <w:trPr>
          <w:trHeight w:val="441"/>
        </w:trPr>
        <w:tc>
          <w:tcPr>
            <w:tcW w:w="841" w:type="pct"/>
            <w:tcBorders>
              <w:top w:val="nil"/>
              <w:bottom w:val="nil"/>
            </w:tcBorders>
          </w:tcPr>
          <w:p w14:paraId="4C90A424"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Property, plant, and equipment</w:t>
            </w:r>
          </w:p>
        </w:tc>
        <w:tc>
          <w:tcPr>
            <w:tcW w:w="660" w:type="pct"/>
            <w:tcBorders>
              <w:top w:val="nil"/>
              <w:bottom w:val="nil"/>
            </w:tcBorders>
          </w:tcPr>
          <w:p w14:paraId="63F5DC22"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PPE</w:t>
            </w:r>
          </w:p>
        </w:tc>
        <w:tc>
          <w:tcPr>
            <w:tcW w:w="3499" w:type="pct"/>
            <w:tcBorders>
              <w:top w:val="nil"/>
              <w:bottom w:val="nil"/>
            </w:tcBorders>
          </w:tcPr>
          <w:p w14:paraId="6A0AE322"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This ratio represents the proportion of Property, Plant, and Equipment (PP&amp;E) at time "t" compared to the total assets from the previous period, as sourced from Refinitiv Eikon.</w:t>
            </w:r>
          </w:p>
        </w:tc>
      </w:tr>
      <w:tr w:rsidR="002B0C6E" w:rsidRPr="00B4704D" w14:paraId="2542E432" w14:textId="77777777" w:rsidTr="000B4FD1">
        <w:trPr>
          <w:trHeight w:val="441"/>
        </w:trPr>
        <w:tc>
          <w:tcPr>
            <w:tcW w:w="841" w:type="pct"/>
            <w:tcBorders>
              <w:top w:val="nil"/>
              <w:bottom w:val="nil"/>
            </w:tcBorders>
          </w:tcPr>
          <w:p w14:paraId="481D7B21"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Capital expenditure ratio</w:t>
            </w:r>
          </w:p>
        </w:tc>
        <w:tc>
          <w:tcPr>
            <w:tcW w:w="660" w:type="pct"/>
            <w:tcBorders>
              <w:top w:val="nil"/>
              <w:bottom w:val="nil"/>
            </w:tcBorders>
          </w:tcPr>
          <w:p w14:paraId="2E0987F1"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Capex</w:t>
            </w:r>
          </w:p>
        </w:tc>
        <w:tc>
          <w:tcPr>
            <w:tcW w:w="3499" w:type="pct"/>
            <w:tcBorders>
              <w:top w:val="nil"/>
              <w:bottom w:val="nil"/>
            </w:tcBorders>
          </w:tcPr>
          <w:p w14:paraId="3EB0F20E"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ratio indicates the proportion of a company's total revenue reinvested in physical assets, reflecting the extent of earnings allocated to capital asset investment. </w:t>
            </w:r>
          </w:p>
        </w:tc>
      </w:tr>
      <w:tr w:rsidR="002B0C6E" w:rsidRPr="00B4704D" w14:paraId="41DFA1FB" w14:textId="77777777" w:rsidTr="000B4FD1">
        <w:trPr>
          <w:trHeight w:val="315"/>
        </w:trPr>
        <w:tc>
          <w:tcPr>
            <w:tcW w:w="841" w:type="pct"/>
            <w:tcBorders>
              <w:top w:val="nil"/>
              <w:bottom w:val="nil"/>
            </w:tcBorders>
          </w:tcPr>
          <w:p w14:paraId="1239153A"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Liquidity ratio</w:t>
            </w:r>
          </w:p>
        </w:tc>
        <w:tc>
          <w:tcPr>
            <w:tcW w:w="660" w:type="pct"/>
            <w:tcBorders>
              <w:top w:val="nil"/>
              <w:bottom w:val="nil"/>
            </w:tcBorders>
          </w:tcPr>
          <w:p w14:paraId="32F01B5A"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Cash</w:t>
            </w:r>
          </w:p>
        </w:tc>
        <w:tc>
          <w:tcPr>
            <w:tcW w:w="3499" w:type="pct"/>
            <w:tcBorders>
              <w:top w:val="nil"/>
              <w:bottom w:val="nil"/>
            </w:tcBorders>
          </w:tcPr>
          <w:p w14:paraId="405617E6"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ratio assesses a company's ability to pay off its short-term liabilities with its cash and cash equivalents, highlighting its immediate financial stability. </w:t>
            </w:r>
          </w:p>
        </w:tc>
      </w:tr>
      <w:tr w:rsidR="002B0C6E" w:rsidRPr="00B4704D" w14:paraId="68D8FA5F" w14:textId="77777777" w:rsidTr="000B4FD1">
        <w:trPr>
          <w:trHeight w:val="243"/>
        </w:trPr>
        <w:tc>
          <w:tcPr>
            <w:tcW w:w="5000" w:type="pct"/>
            <w:gridSpan w:val="3"/>
            <w:tcBorders>
              <w:top w:val="single" w:sz="4" w:space="0" w:color="auto"/>
              <w:bottom w:val="single" w:sz="4" w:space="0" w:color="auto"/>
            </w:tcBorders>
          </w:tcPr>
          <w:p w14:paraId="3B55E257" w14:textId="77777777" w:rsidR="002B0C6E" w:rsidRPr="00B4704D" w:rsidRDefault="002B0C6E" w:rsidP="000B4FD1">
            <w:pPr>
              <w:spacing w:line="240" w:lineRule="atLeast"/>
              <w:rPr>
                <w:rFonts w:ascii="Times New Roman" w:eastAsia="Garamond" w:hAnsi="Times New Roman" w:cs="Arial"/>
                <w:b/>
                <w:bCs/>
                <w:sz w:val="20"/>
                <w:szCs w:val="20"/>
                <w:lang w:val="en-GB"/>
              </w:rPr>
            </w:pPr>
            <w:r w:rsidRPr="00B4704D">
              <w:rPr>
                <w:rFonts w:ascii="Times New Roman" w:eastAsia="Garamond" w:hAnsi="Times New Roman" w:cs="Arial"/>
                <w:b/>
                <w:bCs/>
                <w:sz w:val="18"/>
                <w:szCs w:val="18"/>
              </w:rPr>
              <w:t>Panel D: Executive Characteristics Variables</w:t>
            </w:r>
          </w:p>
        </w:tc>
      </w:tr>
      <w:tr w:rsidR="002B0C6E" w:rsidRPr="00B4704D" w14:paraId="0EF198A5" w14:textId="77777777" w:rsidTr="000B4FD1">
        <w:trPr>
          <w:trHeight w:val="243"/>
        </w:trPr>
        <w:tc>
          <w:tcPr>
            <w:tcW w:w="841" w:type="pct"/>
            <w:tcBorders>
              <w:top w:val="single" w:sz="4" w:space="0" w:color="auto"/>
              <w:bottom w:val="nil"/>
            </w:tcBorders>
          </w:tcPr>
          <w:p w14:paraId="6709F563"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Executives’ average tenure</w:t>
            </w:r>
          </w:p>
        </w:tc>
        <w:tc>
          <w:tcPr>
            <w:tcW w:w="660" w:type="pct"/>
            <w:tcBorders>
              <w:top w:val="single" w:sz="4" w:space="0" w:color="auto"/>
              <w:bottom w:val="nil"/>
            </w:tcBorders>
          </w:tcPr>
          <w:p w14:paraId="0417BFDE" w14:textId="77777777" w:rsidR="002B0C6E" w:rsidRPr="00B4704D" w:rsidRDefault="002B0C6E" w:rsidP="000B4FD1">
            <w:pPr>
              <w:spacing w:line="240" w:lineRule="auto"/>
              <w:jc w:val="left"/>
              <w:rPr>
                <w:rFonts w:ascii="Times New Roman" w:eastAsia="Garamond" w:hAnsi="Times New Roman" w:cs="Arial"/>
                <w:i/>
                <w:iCs/>
                <w:sz w:val="18"/>
                <w:szCs w:val="18"/>
              </w:rPr>
            </w:pPr>
            <w:r w:rsidRPr="00B4704D">
              <w:rPr>
                <w:rFonts w:ascii="Times New Roman" w:eastAsia="Garamond" w:hAnsi="Times New Roman" w:cs="Arial"/>
                <w:i/>
                <w:iCs/>
                <w:sz w:val="18"/>
                <w:szCs w:val="18"/>
              </w:rPr>
              <w:t>Exec_Ten</w:t>
            </w:r>
          </w:p>
        </w:tc>
        <w:tc>
          <w:tcPr>
            <w:tcW w:w="3499" w:type="pct"/>
            <w:tcBorders>
              <w:top w:val="single" w:sz="4" w:space="0" w:color="auto"/>
              <w:bottom w:val="nil"/>
            </w:tcBorders>
          </w:tcPr>
          <w:p w14:paraId="1E286684"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 xml:space="preserve">This variable represents the standardized average tenure of a company's executives, showcasing their experience and the stability contributed to leadership roles. </w:t>
            </w:r>
          </w:p>
        </w:tc>
      </w:tr>
      <w:tr w:rsidR="002B0C6E" w:rsidRPr="00B4704D" w14:paraId="781B8B68" w14:textId="77777777" w:rsidTr="000B4FD1">
        <w:trPr>
          <w:trHeight w:val="243"/>
        </w:trPr>
        <w:tc>
          <w:tcPr>
            <w:tcW w:w="841" w:type="pct"/>
            <w:tcBorders>
              <w:top w:val="nil"/>
              <w:bottom w:val="single" w:sz="4" w:space="0" w:color="auto"/>
            </w:tcBorders>
          </w:tcPr>
          <w:p w14:paraId="65799861" w14:textId="77777777" w:rsidR="002B0C6E" w:rsidRPr="00B4704D" w:rsidRDefault="002B0C6E" w:rsidP="000B4FD1">
            <w:pPr>
              <w:spacing w:line="240" w:lineRule="atLeast"/>
              <w:contextualSpacing/>
              <w:jc w:val="left"/>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Board members average tenure</w:t>
            </w:r>
          </w:p>
        </w:tc>
        <w:tc>
          <w:tcPr>
            <w:tcW w:w="660" w:type="pct"/>
            <w:tcBorders>
              <w:top w:val="nil"/>
              <w:bottom w:val="single" w:sz="4" w:space="0" w:color="auto"/>
            </w:tcBorders>
          </w:tcPr>
          <w:p w14:paraId="04D7A20D" w14:textId="77777777" w:rsidR="002B0C6E" w:rsidRPr="00B4704D" w:rsidRDefault="002B0C6E" w:rsidP="000B4FD1">
            <w:pPr>
              <w:spacing w:line="240" w:lineRule="auto"/>
              <w:rPr>
                <w:rFonts w:ascii="Times New Roman" w:eastAsia="Garamond" w:hAnsi="Times New Roman" w:cs="Arial"/>
                <w:i/>
                <w:iCs/>
                <w:sz w:val="18"/>
                <w:szCs w:val="18"/>
              </w:rPr>
            </w:pPr>
            <w:r w:rsidRPr="00B4704D">
              <w:rPr>
                <w:rFonts w:ascii="Times New Roman" w:eastAsia="Garamond" w:hAnsi="Times New Roman" w:cs="Arial"/>
                <w:i/>
                <w:iCs/>
                <w:sz w:val="18"/>
                <w:szCs w:val="18"/>
              </w:rPr>
              <w:t>Board_Ten</w:t>
            </w:r>
          </w:p>
        </w:tc>
        <w:tc>
          <w:tcPr>
            <w:tcW w:w="3499" w:type="pct"/>
            <w:tcBorders>
              <w:top w:val="nil"/>
              <w:bottom w:val="single" w:sz="4" w:space="0" w:color="auto"/>
            </w:tcBorders>
          </w:tcPr>
          <w:p w14:paraId="5F7073E9" w14:textId="77777777" w:rsidR="002B0C6E" w:rsidRPr="00B4704D" w:rsidRDefault="002B0C6E" w:rsidP="000B4FD1">
            <w:pPr>
              <w:spacing w:line="240" w:lineRule="atLeast"/>
              <w:contextualSpacing/>
              <w:rPr>
                <w:rFonts w:ascii="Times New Roman" w:eastAsia="Garamond" w:hAnsi="Times New Roman" w:cs="Times New Roman"/>
                <w:sz w:val="18"/>
                <w:lang w:val="en-GB" w:eastAsia="en-GB"/>
              </w:rPr>
            </w:pPr>
            <w:r w:rsidRPr="00B4704D">
              <w:rPr>
                <w:rFonts w:ascii="Times New Roman" w:eastAsia="Garamond" w:hAnsi="Times New Roman" w:cs="Times New Roman"/>
                <w:sz w:val="18"/>
                <w:lang w:val="en-GB" w:eastAsia="en-GB"/>
              </w:rPr>
              <w:t>These variable measures the adjusted average tenure of a company's board members, highlighting their collective experience and the stability of the governance structure.</w:t>
            </w:r>
          </w:p>
        </w:tc>
      </w:tr>
    </w:tbl>
    <w:bookmarkEnd w:id="2"/>
    <w:bookmarkEnd w:id="3"/>
    <w:p w14:paraId="53C005D9" w14:textId="77777777" w:rsidR="002B0C6E" w:rsidRPr="0061427B" w:rsidRDefault="002B0C6E" w:rsidP="002B0C6E">
      <w:r w:rsidRPr="00B4704D">
        <w:rPr>
          <w:rFonts w:ascii="Times New Roman" w:eastAsia="Garamond" w:hAnsi="Times New Roman" w:cs="Times New Roman"/>
          <w:kern w:val="2"/>
          <w:sz w:val="18"/>
          <w:szCs w:val="24"/>
          <w:lang w:val="en-GB" w:eastAsia="en-GB"/>
          <w14:ligatures w14:val="standardContextual"/>
        </w:rPr>
        <w:t>Sources: Refinitiv Eikon.</w:t>
      </w:r>
    </w:p>
    <w:p w14:paraId="08AD336C" w14:textId="77777777" w:rsidR="002B0C6E" w:rsidRDefault="002B0C6E" w:rsidP="002B0C6E"/>
    <w:p w14:paraId="08A54B3B" w14:textId="77777777" w:rsidR="00F553FF" w:rsidRDefault="00F553FF"/>
    <w:sectPr w:rsidR="00F553FF" w:rsidSect="002B0C6E">
      <w:headerReference w:type="even" r:id="rId4"/>
      <w:headerReference w:type="default" r:id="rId5"/>
      <w:headerReference w:type="first" r:id="rId6"/>
      <w:pgSz w:w="11906" w:h="16838"/>
      <w:pgMar w:top="1008" w:right="1008" w:bottom="1008" w:left="100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A64B0" w14:textId="77777777" w:rsidR="00000000" w:rsidRDefault="00000000">
    <w:pPr>
      <w:ind w:left="-796" w:right="1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9342C" w14:textId="77777777" w:rsidR="00000000" w:rsidRDefault="00000000">
    <w:pPr>
      <w:ind w:left="-796" w:right="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DC253" w14:textId="77777777" w:rsidR="00000000" w:rsidRDefault="00000000" w:rsidP="007C2DE9">
    <w:pPr>
      <w:ind w:left="-796" w:right="890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C6E"/>
    <w:rsid w:val="002B0C6E"/>
    <w:rsid w:val="003C2EF4"/>
    <w:rsid w:val="00446799"/>
    <w:rsid w:val="006A7E07"/>
    <w:rsid w:val="00701021"/>
    <w:rsid w:val="00B74216"/>
    <w:rsid w:val="00D62F8C"/>
    <w:rsid w:val="00E97CD6"/>
    <w:rsid w:val="00F553FF"/>
    <w:rsid w:val="00FE1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321F5"/>
  <w15:chartTrackingRefBased/>
  <w15:docId w15:val="{7B68AAFF-03E1-47FE-8B9E-9A23D13ED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C6E"/>
    <w:pPr>
      <w:spacing w:after="0" w:line="360" w:lineRule="auto"/>
      <w:jc w:val="both"/>
    </w:pPr>
    <w:rPr>
      <w:rFonts w:asciiTheme="majorBidi" w:hAnsiTheme="majorBidi"/>
      <w:kern w:val="0"/>
      <w:sz w:val="22"/>
      <w:szCs w:val="22"/>
      <w:lang w:val="en-AU"/>
      <w14:ligatures w14:val="none"/>
    </w:rPr>
  </w:style>
  <w:style w:type="paragraph" w:styleId="Heading1">
    <w:name w:val="heading 1"/>
    <w:basedOn w:val="Normal"/>
    <w:next w:val="Normal"/>
    <w:link w:val="Heading1Char"/>
    <w:uiPriority w:val="9"/>
    <w:qFormat/>
    <w:rsid w:val="002B0C6E"/>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B0C6E"/>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B0C6E"/>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B0C6E"/>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B0C6E"/>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B0C6E"/>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B0C6E"/>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B0C6E"/>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B0C6E"/>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C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C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C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C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C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C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C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C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C6E"/>
    <w:rPr>
      <w:rFonts w:eastAsiaTheme="majorEastAsia" w:cstheme="majorBidi"/>
      <w:color w:val="272727" w:themeColor="text1" w:themeTint="D8"/>
    </w:rPr>
  </w:style>
  <w:style w:type="paragraph" w:styleId="Title">
    <w:name w:val="Title"/>
    <w:basedOn w:val="Normal"/>
    <w:next w:val="Normal"/>
    <w:link w:val="TitleChar"/>
    <w:uiPriority w:val="10"/>
    <w:qFormat/>
    <w:rsid w:val="002B0C6E"/>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B0C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C6E"/>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B0C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C6E"/>
    <w:pPr>
      <w:spacing w:before="160" w:after="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B0C6E"/>
    <w:rPr>
      <w:i/>
      <w:iCs/>
      <w:color w:val="404040" w:themeColor="text1" w:themeTint="BF"/>
    </w:rPr>
  </w:style>
  <w:style w:type="paragraph" w:styleId="ListParagraph">
    <w:name w:val="List Paragraph"/>
    <w:basedOn w:val="Normal"/>
    <w:uiPriority w:val="34"/>
    <w:qFormat/>
    <w:rsid w:val="002B0C6E"/>
    <w:pPr>
      <w:spacing w:after="160" w:line="278" w:lineRule="auto"/>
      <w:ind w:left="720"/>
      <w:contextualSpacing/>
      <w:jc w:val="left"/>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2B0C6E"/>
    <w:rPr>
      <w:i/>
      <w:iCs/>
      <w:color w:val="0F4761" w:themeColor="accent1" w:themeShade="BF"/>
    </w:rPr>
  </w:style>
  <w:style w:type="paragraph" w:styleId="IntenseQuote">
    <w:name w:val="Intense Quote"/>
    <w:basedOn w:val="Normal"/>
    <w:next w:val="Normal"/>
    <w:link w:val="IntenseQuoteChar"/>
    <w:uiPriority w:val="30"/>
    <w:qFormat/>
    <w:rsid w:val="002B0C6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B0C6E"/>
    <w:rPr>
      <w:i/>
      <w:iCs/>
      <w:color w:val="0F4761" w:themeColor="accent1" w:themeShade="BF"/>
    </w:rPr>
  </w:style>
  <w:style w:type="character" w:styleId="IntenseReference">
    <w:name w:val="Intense Reference"/>
    <w:basedOn w:val="DefaultParagraphFont"/>
    <w:uiPriority w:val="32"/>
    <w:qFormat/>
    <w:rsid w:val="002B0C6E"/>
    <w:rPr>
      <w:b/>
      <w:bCs/>
      <w:smallCaps/>
      <w:color w:val="0F4761" w:themeColor="accent1" w:themeShade="BF"/>
      <w:spacing w:val="5"/>
    </w:rPr>
  </w:style>
  <w:style w:type="table" w:customStyle="1" w:styleId="TableGrid1">
    <w:name w:val="Table Grid1"/>
    <w:basedOn w:val="TableNormal"/>
    <w:next w:val="TableGrid"/>
    <w:uiPriority w:val="39"/>
    <w:rsid w:val="002B0C6E"/>
    <w:pPr>
      <w:spacing w:after="0" w:line="240" w:lineRule="auto"/>
    </w:pPr>
    <w:rPr>
      <w:kern w:val="0"/>
      <w:sz w:val="22"/>
      <w:szCs w:val="22"/>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B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1272</Words>
  <Characters>7252</Characters>
  <Application>Microsoft Office Word</Application>
  <DocSecurity>0</DocSecurity>
  <Lines>60</Lines>
  <Paragraphs>17</Paragraphs>
  <ScaleCrop>false</ScaleCrop>
  <Company>Springer Nature</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2025-06-16T05:54:00Z</dcterms:created>
  <dcterms:modified xsi:type="dcterms:W3CDTF">2025-06-16T05:54:00Z</dcterms:modified>
</cp:coreProperties>
</file>