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093B0"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SUPPLEMENTARY FIGURE LEGENDS</w:t>
      </w:r>
    </w:p>
    <w:p w14:paraId="1CEEAA4B" w14:textId="77777777" w:rsidR="00DD7A0D" w:rsidRPr="00DD7A0D" w:rsidRDefault="00DD7A0D" w:rsidP="00DD7A0D">
      <w:pPr>
        <w:autoSpaceDE w:val="0"/>
        <w:autoSpaceDN w:val="0"/>
        <w:adjustRightInd w:val="0"/>
        <w:spacing w:after="120"/>
        <w:jc w:val="both"/>
        <w:rPr>
          <w:rFonts w:asciiTheme="minorHAnsi" w:hAnsiTheme="minorHAnsi" w:cstheme="minorHAnsi"/>
          <w:b/>
          <w:bCs/>
          <w:color w:val="000000" w:themeColor="text1"/>
          <w:sz w:val="22"/>
          <w:szCs w:val="22"/>
          <w:u w:color="000000"/>
          <w:lang w:val="en-US"/>
        </w:rPr>
      </w:pPr>
      <w:r w:rsidRPr="00DD7A0D">
        <w:rPr>
          <w:rFonts w:asciiTheme="minorHAnsi" w:hAnsiTheme="minorHAnsi" w:cstheme="minorHAnsi"/>
          <w:b/>
          <w:bCs/>
          <w:color w:val="000000" w:themeColor="text1"/>
          <w:sz w:val="22"/>
          <w:szCs w:val="22"/>
          <w:u w:color="000000"/>
          <w:lang w:val="en-US"/>
        </w:rPr>
        <w:t xml:space="preserve">Figure S1: Assessment of RANBP2 knock-down in human primary macrophages and A549 cells. </w:t>
      </w:r>
    </w:p>
    <w:p w14:paraId="0B07D38B" w14:textId="77777777" w:rsidR="00DD7A0D" w:rsidRPr="00DD7A0D"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DD7A0D">
        <w:rPr>
          <w:rFonts w:asciiTheme="minorHAnsi" w:hAnsiTheme="minorHAnsi" w:cstheme="minorHAnsi"/>
          <w:b/>
          <w:bCs/>
          <w:color w:val="000000" w:themeColor="text1"/>
          <w:sz w:val="22"/>
          <w:szCs w:val="22"/>
          <w:u w:color="000000"/>
          <w:lang w:val="en-US"/>
        </w:rPr>
        <w:t xml:space="preserve">(A) </w:t>
      </w:r>
      <w:r w:rsidRPr="00DD7A0D">
        <w:rPr>
          <w:rFonts w:asciiTheme="minorHAnsi" w:hAnsiTheme="minorHAnsi" w:cstheme="minorHAnsi"/>
          <w:color w:val="000000" w:themeColor="text1"/>
          <w:sz w:val="22"/>
          <w:szCs w:val="22"/>
          <w:u w:color="000000"/>
          <w:lang w:val="en-US"/>
        </w:rPr>
        <w:t>Monocyte-derived macrophages (MDM) were transduced with LV shRNA-Control or shRNA-RANBP2 at MOI 20. Knock-down efficacy was assessed by</w:t>
      </w:r>
      <w:r w:rsidRPr="00DD7A0D">
        <w:rPr>
          <w:rFonts w:asciiTheme="minorHAnsi" w:hAnsiTheme="minorHAnsi" w:cstheme="minorHAnsi"/>
          <w:b/>
          <w:bCs/>
          <w:color w:val="000000" w:themeColor="text1"/>
          <w:sz w:val="22"/>
          <w:szCs w:val="22"/>
          <w:u w:color="000000"/>
          <w:lang w:val="en-US"/>
        </w:rPr>
        <w:t xml:space="preserve"> </w:t>
      </w:r>
      <w:r w:rsidRPr="00DD7A0D">
        <w:rPr>
          <w:rFonts w:asciiTheme="minorHAnsi" w:hAnsiTheme="minorHAnsi" w:cstheme="minorHAnsi"/>
          <w:color w:val="000000" w:themeColor="text1"/>
          <w:sz w:val="22"/>
          <w:szCs w:val="22"/>
          <w:u w:color="000000"/>
          <w:lang w:val="en-US"/>
        </w:rPr>
        <w:t xml:space="preserve">RTqPCR at 24h post-infection </w:t>
      </w:r>
      <w:r w:rsidRPr="00DD7A0D">
        <w:rPr>
          <w:rFonts w:asciiTheme="minorHAnsi" w:hAnsiTheme="minorHAnsi" w:cstheme="minorHAnsi"/>
          <w:b/>
          <w:bCs/>
          <w:color w:val="000000" w:themeColor="text1"/>
          <w:sz w:val="22"/>
          <w:szCs w:val="22"/>
          <w:u w:color="000000"/>
          <w:lang w:val="en-US"/>
        </w:rPr>
        <w:t xml:space="preserve">(B) </w:t>
      </w:r>
      <w:r w:rsidRPr="00DD7A0D">
        <w:rPr>
          <w:rFonts w:asciiTheme="minorHAnsi" w:hAnsiTheme="minorHAnsi" w:cstheme="minorHAnsi"/>
          <w:color w:val="000000" w:themeColor="text1"/>
          <w:sz w:val="22"/>
          <w:szCs w:val="22"/>
          <w:u w:color="000000"/>
          <w:lang w:val="en-US"/>
        </w:rPr>
        <w:t>Knock-down efficacy was confirmed by Western blot in A549 cells at 72h post-infection.</w:t>
      </w:r>
    </w:p>
    <w:p w14:paraId="464B3C3C"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S2: RT-qPCR strategy to distinguish cRNA and vRNA.</w:t>
      </w:r>
    </w:p>
    <w:p w14:paraId="4F52A13D"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(A)</w:t>
      </w:r>
      <w:r w:rsidRPr="00C028C6">
        <w:rPr>
          <w:rFonts w:asciiTheme="minorHAnsi" w:hAnsiTheme="minorHAnsi" w:cstheme="minorHAnsi"/>
          <w:color w:val="000000" w:themeColor="text1"/>
          <w:sz w:val="22"/>
          <w:szCs w:val="22"/>
          <w:u w:color="000000"/>
          <w:lang w:val="en-US"/>
        </w:rPr>
        <w:t xml:space="preserve"> Strand-specific Reverse Transcription (RT) strategy. Genomic viral RNAs (vRNA) and complementary RNAs (cRNA) were reverse transcribed using specific tagged-primers hybridizing to the consensus 3’-sequences of each of the 8 viral segments. </w:t>
      </w:r>
      <w:r w:rsidRPr="00C028C6">
        <w:rPr>
          <w:rFonts w:asciiTheme="minorHAnsi" w:hAnsiTheme="minorHAnsi" w:cstheme="minorHAnsi"/>
          <w:b/>
          <w:bCs/>
          <w:color w:val="000000" w:themeColor="text1"/>
          <w:sz w:val="22"/>
          <w:szCs w:val="22"/>
          <w:u w:color="000000"/>
          <w:lang w:val="en-US"/>
        </w:rPr>
        <w:t>(B)</w:t>
      </w:r>
      <w:r w:rsidRPr="00C028C6">
        <w:rPr>
          <w:rFonts w:asciiTheme="minorHAnsi" w:hAnsiTheme="minorHAnsi" w:cstheme="minorHAnsi"/>
          <w:color w:val="000000" w:themeColor="text1"/>
          <w:sz w:val="22"/>
          <w:szCs w:val="22"/>
          <w:u w:color="000000"/>
          <w:lang w:val="en-US"/>
        </w:rPr>
        <w:t xml:space="preserve"> Validation of the specificity of the strand-specific RT. qPCR primers complementary to the tags were used to amplify cDNAs produced by each RT and verify that only vRNAs were amplified after vRNA-specific RT, only cRNAs after cRNA-specific RT and no cellular RNAs were reverse transcribed by any of the two RT. RT-specificity was check for 2 segments (segment 1 and segment 4).</w:t>
      </w:r>
    </w:p>
    <w:p w14:paraId="30007A07"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S3: Increase in cytoplasmic NP in RANBP2-KD cells at 8 hpi.</w:t>
      </w:r>
    </w:p>
    <w:p w14:paraId="1D56225B"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color w:val="000000" w:themeColor="text1"/>
          <w:sz w:val="22"/>
          <w:szCs w:val="22"/>
          <w:u w:color="000000"/>
          <w:lang w:val="en-US"/>
        </w:rPr>
        <w:t>Full panel of images for Figure 1G. A549 cells were transduced or not (NTD) with LV shRNA-Control or shRNA-RANBP2 and infected with influenza A virus (IAV) (A/WSN/1933) at MOI 0.5. At 8h post-infection, cells were fixed and stained for the nucleoprotein (NP). Scale bar: 20µm. Image processing was done using the Fiji software. NP (AlexaFluor-488) and shRNA (mCherry) colors were changed to « Orange Hot » and « cyan » for aesthetic purposes.</w:t>
      </w:r>
    </w:p>
    <w:p w14:paraId="0C70BF4C"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S4: Increase in cytoplasmic vRNP in RANBP2-KD cells at 8 hpi.</w:t>
      </w:r>
    </w:p>
    <w:p w14:paraId="5C678FF6" w14:textId="77777777" w:rsidR="00DD7A0D" w:rsidRPr="008C209C" w:rsidRDefault="00DD7A0D" w:rsidP="00DD7A0D">
      <w:pPr>
        <w:autoSpaceDE w:val="0"/>
        <w:autoSpaceDN w:val="0"/>
        <w:adjustRightInd w:val="0"/>
        <w:spacing w:after="120"/>
        <w:rPr>
          <w:rFonts w:asciiTheme="minorHAnsi" w:hAnsiTheme="minorHAnsi" w:cstheme="minorHAnsi"/>
          <w:color w:val="000000" w:themeColor="text1"/>
          <w:sz w:val="22"/>
          <w:szCs w:val="22"/>
          <w:lang w:val="en-US"/>
        </w:rPr>
      </w:pPr>
      <w:r w:rsidRPr="00C028C6">
        <w:rPr>
          <w:rFonts w:asciiTheme="minorHAnsi" w:hAnsiTheme="minorHAnsi" w:cstheme="minorHAnsi"/>
          <w:color w:val="000000" w:themeColor="text1"/>
          <w:sz w:val="22"/>
          <w:szCs w:val="22"/>
          <w:lang w:val="en-US"/>
        </w:rPr>
        <w:t>Transduced A549 cells were infected at MOI 0.5 and co-stained for the NP and PA proteins at 8h post-infection. Scale bar: 20µm. Colocalization</w:t>
      </w:r>
      <w:r w:rsidRPr="00C028C6">
        <w:rPr>
          <w:rFonts w:asciiTheme="minorHAnsi" w:hAnsiTheme="minorHAnsi" w:cstheme="minorHAnsi"/>
          <w:b/>
          <w:bCs/>
          <w:color w:val="000000" w:themeColor="text1"/>
          <w:sz w:val="22"/>
          <w:szCs w:val="22"/>
          <w:lang w:val="en-US"/>
        </w:rPr>
        <w:t xml:space="preserve"> </w:t>
      </w:r>
      <w:r w:rsidRPr="00C028C6">
        <w:rPr>
          <w:rFonts w:asciiTheme="minorHAnsi" w:hAnsiTheme="minorHAnsi" w:cstheme="minorHAnsi"/>
          <w:color w:val="000000" w:themeColor="text1"/>
          <w:sz w:val="22"/>
          <w:szCs w:val="22"/>
          <w:lang w:val="en-US"/>
        </w:rPr>
        <w:t>was quantified using the Fiji software.</w:t>
      </w:r>
    </w:p>
    <w:p w14:paraId="0C0AC9E8" w14:textId="77777777" w:rsidR="00DD7A0D" w:rsidRPr="00C028C6" w:rsidRDefault="00DD7A0D" w:rsidP="00DD7A0D">
      <w:pPr>
        <w:autoSpaceDE w:val="0"/>
        <w:autoSpaceDN w:val="0"/>
        <w:adjustRightInd w:val="0"/>
        <w:spacing w:after="120"/>
        <w:jc w:val="both"/>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S5: Alpha-Centauri assay to measure IAV nuclear import.</w:t>
      </w:r>
    </w:p>
    <w:p w14:paraId="14F06E39"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(A-B)</w:t>
      </w:r>
      <w:r w:rsidRPr="00C028C6">
        <w:rPr>
          <w:rFonts w:asciiTheme="minorHAnsi" w:hAnsiTheme="minorHAnsi" w:cstheme="minorHAnsi"/>
          <w:color w:val="000000" w:themeColor="text1"/>
          <w:sz w:val="22"/>
          <w:szCs w:val="22"/>
          <w:u w:color="000000"/>
          <w:lang w:val="en-US"/>
        </w:rPr>
        <w:t xml:space="preserve"> A549 cells were transduced with a plasmid containing the Centauri-Nluc tagged with HA. Cells were stained for the HA and analyzed by flow cytometry to determine the percentage of transduced cells. </w:t>
      </w:r>
      <w:r w:rsidRPr="00C028C6">
        <w:rPr>
          <w:rFonts w:asciiTheme="minorHAnsi" w:hAnsiTheme="minorHAnsi" w:cstheme="minorHAnsi"/>
          <w:b/>
          <w:bCs/>
          <w:color w:val="000000" w:themeColor="text1"/>
          <w:sz w:val="22"/>
          <w:szCs w:val="22"/>
          <w:u w:color="000000"/>
          <w:lang w:val="en-US"/>
        </w:rPr>
        <w:t>(C)</w:t>
      </w:r>
      <w:r w:rsidRPr="00C028C6">
        <w:rPr>
          <w:rFonts w:asciiTheme="minorHAnsi" w:hAnsiTheme="minorHAnsi" w:cstheme="minorHAnsi"/>
          <w:color w:val="000000" w:themeColor="text1"/>
          <w:sz w:val="22"/>
          <w:szCs w:val="22"/>
          <w:u w:color="000000"/>
          <w:lang w:val="en-US"/>
        </w:rPr>
        <w:t xml:space="preserve"> Cells were infected at MOI 4 and the luminescence was measured to assess the Nanoluciferase complementation upon nuclear import of the viral ribonucleoproteins. </w:t>
      </w:r>
      <w:r w:rsidRPr="00C028C6">
        <w:rPr>
          <w:rFonts w:asciiTheme="minorHAnsi" w:hAnsiTheme="minorHAnsi" w:cstheme="minorHAnsi"/>
          <w:b/>
          <w:bCs/>
          <w:color w:val="000000" w:themeColor="text1"/>
          <w:sz w:val="22"/>
          <w:szCs w:val="22"/>
          <w:u w:color="000000"/>
          <w:lang w:val="en-US"/>
        </w:rPr>
        <w:t>(D)</w:t>
      </w:r>
      <w:r w:rsidRPr="00C028C6">
        <w:rPr>
          <w:rFonts w:asciiTheme="minorHAnsi" w:hAnsiTheme="minorHAnsi" w:cstheme="minorHAnsi"/>
          <w:color w:val="000000" w:themeColor="text1"/>
          <w:sz w:val="22"/>
          <w:szCs w:val="22"/>
          <w:u w:color="000000"/>
          <w:lang w:val="en-US"/>
        </w:rPr>
        <w:t xml:space="preserve"> Centauri-Nluc-transduced A549 cells were transduced with LV shRNA-Control or shRNA-RANBP2 expressing the mCherry. The percentage of mCherry-positive cells was determined by flow cytometry. </w:t>
      </w:r>
    </w:p>
    <w:p w14:paraId="66C1493C"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S6: Inhibition of CRM1-dependent NP export using KPT-330/Selinexor.</w:t>
      </w:r>
    </w:p>
    <w:p w14:paraId="20237C68"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color w:val="000000" w:themeColor="text1"/>
          <w:sz w:val="22"/>
          <w:szCs w:val="22"/>
          <w:u w:color="000000"/>
          <w:lang w:val="en-US"/>
        </w:rPr>
        <w:t xml:space="preserve">A549 cells were treated or not (Vehicle) with KPT-330 at the indicated doses for 2 h at 37°C, then infected with IAV. </w:t>
      </w:r>
      <w:r w:rsidRPr="00C028C6">
        <w:rPr>
          <w:rFonts w:asciiTheme="minorHAnsi" w:hAnsiTheme="minorHAnsi" w:cstheme="minorHAnsi"/>
          <w:b/>
          <w:bCs/>
          <w:color w:val="000000" w:themeColor="text1"/>
          <w:sz w:val="22"/>
          <w:szCs w:val="22"/>
          <w:u w:color="000000"/>
          <w:lang w:val="en-US"/>
        </w:rPr>
        <w:t>(A)</w:t>
      </w:r>
      <w:r w:rsidRPr="00C028C6">
        <w:rPr>
          <w:rFonts w:asciiTheme="minorHAnsi" w:hAnsiTheme="minorHAnsi" w:cstheme="minorHAnsi"/>
          <w:color w:val="000000" w:themeColor="text1"/>
          <w:sz w:val="22"/>
          <w:szCs w:val="22"/>
          <w:u w:color="000000"/>
          <w:lang w:val="en-US"/>
        </w:rPr>
        <w:t xml:space="preserve"> Cells were fixed and stained for the NP at 8 hour post-infection (hpi) to verify the efficacy of the NP export inhibition. </w:t>
      </w:r>
      <w:r w:rsidRPr="00C028C6">
        <w:rPr>
          <w:rFonts w:asciiTheme="minorHAnsi" w:hAnsiTheme="minorHAnsi" w:cstheme="minorHAnsi"/>
          <w:b/>
          <w:bCs/>
          <w:color w:val="000000" w:themeColor="text1"/>
          <w:sz w:val="22"/>
          <w:szCs w:val="22"/>
          <w:u w:color="000000"/>
          <w:lang w:val="en-US"/>
        </w:rPr>
        <w:t>(B)</w:t>
      </w:r>
      <w:r w:rsidRPr="00C028C6">
        <w:rPr>
          <w:rFonts w:asciiTheme="minorHAnsi" w:hAnsiTheme="minorHAnsi" w:cstheme="minorHAnsi"/>
          <w:color w:val="000000" w:themeColor="text1"/>
          <w:sz w:val="22"/>
          <w:szCs w:val="22"/>
          <w:u w:color="000000"/>
          <w:lang w:val="en-US"/>
        </w:rPr>
        <w:t xml:space="preserve"> KPT-330 cytotoxicity was assessed by MTT assay. Uninfected cells were incubated with MTT (5 mg/mL) for 3 h at 37°C. Acid isopropanol was added and absorbance was read at 570nm. </w:t>
      </w:r>
      <w:r w:rsidRPr="00C028C6">
        <w:rPr>
          <w:rFonts w:asciiTheme="minorHAnsi" w:hAnsiTheme="minorHAnsi" w:cstheme="minorHAnsi"/>
          <w:b/>
          <w:bCs/>
          <w:color w:val="000000" w:themeColor="text1"/>
          <w:sz w:val="22"/>
          <w:szCs w:val="22"/>
          <w:u w:color="000000"/>
          <w:lang w:val="en-US"/>
        </w:rPr>
        <w:t>(C)</w:t>
      </w:r>
      <w:r w:rsidRPr="00C028C6">
        <w:rPr>
          <w:rFonts w:asciiTheme="minorHAnsi" w:hAnsiTheme="minorHAnsi" w:cstheme="minorHAnsi"/>
          <w:color w:val="000000" w:themeColor="text1"/>
          <w:sz w:val="22"/>
          <w:szCs w:val="22"/>
          <w:u w:color="000000"/>
          <w:lang w:val="en-US"/>
        </w:rPr>
        <w:t xml:space="preserve"> At the indicated times post-infection, cells were fixed and stained for the NP to determine when vRNP export starts.</w:t>
      </w:r>
    </w:p>
    <w:p w14:paraId="0C68740E"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S7: Increase in nuclear PB1 in RANBP2-KD cells.</w:t>
      </w:r>
    </w:p>
    <w:p w14:paraId="1E39017F"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color w:val="000000" w:themeColor="text1"/>
          <w:sz w:val="22"/>
          <w:szCs w:val="22"/>
          <w:u w:color="000000"/>
          <w:lang w:val="en-US"/>
        </w:rPr>
        <w:t xml:space="preserve">Full panel of images for Figure 2D. A549 cells were transduced with LV shRNA-Control or shRNA-RANBP2 and infected with influenza A virus (IAV) (A/WSN/1933) at MOI 0.5. At 6h post-infection, cells were fixed and the PB1 protein was stained. Scale bar: 20µm. Image processing was done using the Fiji software. </w:t>
      </w:r>
    </w:p>
    <w:p w14:paraId="0BFB38C3"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lastRenderedPageBreak/>
        <w:t>Figure S8: qPCR strategy to amplify the 8 segments of IAV.</w:t>
      </w:r>
    </w:p>
    <w:p w14:paraId="3FBD393A"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(A)</w:t>
      </w:r>
      <w:r w:rsidRPr="00C028C6">
        <w:rPr>
          <w:rFonts w:asciiTheme="minorHAnsi" w:hAnsiTheme="minorHAnsi" w:cstheme="minorHAnsi"/>
          <w:color w:val="000000" w:themeColor="text1"/>
          <w:sz w:val="22"/>
          <w:szCs w:val="22"/>
          <w:u w:color="000000"/>
          <w:lang w:val="en-US"/>
        </w:rPr>
        <w:t xml:space="preserve"> Segment-specific qPCR strategy. After strand-specific RT, the 8 segments were detected using qPCR primers amplifying the indicated regions of each segments. All 8 segments were amplified after each RT. </w:t>
      </w:r>
      <w:r w:rsidRPr="00C028C6">
        <w:rPr>
          <w:rFonts w:asciiTheme="minorHAnsi" w:hAnsiTheme="minorHAnsi" w:cstheme="minorHAnsi"/>
          <w:b/>
          <w:bCs/>
          <w:color w:val="000000" w:themeColor="text1"/>
          <w:sz w:val="22"/>
          <w:szCs w:val="22"/>
          <w:u w:color="000000"/>
          <w:lang w:val="en-US"/>
        </w:rPr>
        <w:t>(B)</w:t>
      </w:r>
      <w:r w:rsidRPr="00C028C6">
        <w:rPr>
          <w:rFonts w:asciiTheme="minorHAnsi" w:hAnsiTheme="minorHAnsi" w:cstheme="minorHAnsi"/>
          <w:color w:val="000000" w:themeColor="text1"/>
          <w:sz w:val="22"/>
          <w:szCs w:val="22"/>
          <w:u w:color="000000"/>
          <w:lang w:val="en-US"/>
        </w:rPr>
        <w:t xml:space="preserve"> Segment-specific qPCR was performed after total RT (amplifying all RNAs) and all primer pairs were still specific of the viral RNA segments. Melting curves are presented. </w:t>
      </w:r>
    </w:p>
    <w:p w14:paraId="59493C3D"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S9: Phenotypic analysis of primary human MDM.</w:t>
      </w:r>
    </w:p>
    <w:p w14:paraId="6998C5A7"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color w:val="000000" w:themeColor="text1"/>
          <w:sz w:val="22"/>
          <w:szCs w:val="22"/>
          <w:u w:color="000000"/>
          <w:lang w:val="en-US"/>
        </w:rPr>
        <w:t xml:space="preserve">PBMCs were isolated from blood samples of two healthy donors. Monocytes were isolated by plastic adherence for 45 minutes and differentiated into macrophages by addition of GM-CSF. After 7 days of differentiation, monocyte-derived macrophages from 2 donors were stained for phenotypic markers. The expression of CD3, CD14, CD16, CD11b, HLA-DR and CD80 was assessed by flow cytometry. </w:t>
      </w:r>
    </w:p>
    <w:p w14:paraId="24E37B2D"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S10: Stimulation of MDM with IAV triggers IL-6 and IL-1</w:t>
      </w:r>
      <w:r w:rsidRPr="00C028C6">
        <w:rPr>
          <w:rFonts w:asciiTheme="minorHAnsi" w:hAnsiTheme="minorHAnsi" w:cstheme="minorHAnsi"/>
          <w:b/>
          <w:bCs/>
          <w:color w:val="000000" w:themeColor="text1"/>
          <w:sz w:val="22"/>
          <w:szCs w:val="22"/>
          <w:u w:color="000000"/>
          <w:lang w:val="en-US"/>
        </w:rPr>
        <w:sym w:font="Symbol" w:char="F062"/>
      </w:r>
      <w:r w:rsidRPr="00C028C6">
        <w:rPr>
          <w:rFonts w:asciiTheme="minorHAnsi" w:hAnsiTheme="minorHAnsi" w:cstheme="minorHAnsi"/>
          <w:b/>
          <w:bCs/>
          <w:color w:val="000000" w:themeColor="text1"/>
          <w:sz w:val="22"/>
          <w:szCs w:val="22"/>
          <w:u w:color="000000"/>
          <w:lang w:val="en-US"/>
        </w:rPr>
        <w:t xml:space="preserve"> synthesis.</w:t>
      </w:r>
    </w:p>
    <w:p w14:paraId="45F92937"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color w:val="000000" w:themeColor="text1"/>
          <w:sz w:val="22"/>
          <w:szCs w:val="22"/>
          <w:u w:color="000000"/>
          <w:lang w:val="en-US"/>
        </w:rPr>
        <w:t xml:space="preserve">PBMCs were isolated from blood samples of two healthy donors. Monocytes were isolated by plastic adherence for 45 minutes. Supernatants containing the peripheral blood lymphocytes (PBL) were collected. Macrophages were differentiated by addition of GM-CSF to monocytes for 7 days at 37°C. Each cell types was infected with influenza A virus (IAV) (A/WSN/1933) at MOI 0.5. At 16h post-infection, total intracellular RNAs were extracted. </w:t>
      </w:r>
      <w:r w:rsidRPr="00C028C6">
        <w:rPr>
          <w:rFonts w:asciiTheme="minorHAnsi" w:hAnsiTheme="minorHAnsi" w:cstheme="minorHAnsi"/>
          <w:b/>
          <w:bCs/>
          <w:color w:val="000000" w:themeColor="text1"/>
          <w:sz w:val="22"/>
          <w:szCs w:val="22"/>
          <w:u w:color="000000"/>
          <w:lang w:val="en-US"/>
        </w:rPr>
        <w:t>(A)</w:t>
      </w:r>
      <w:r w:rsidRPr="00C028C6">
        <w:rPr>
          <w:rFonts w:asciiTheme="minorHAnsi" w:hAnsiTheme="minorHAnsi" w:cstheme="minorHAnsi"/>
          <w:color w:val="000000" w:themeColor="text1"/>
          <w:sz w:val="22"/>
          <w:szCs w:val="22"/>
          <w:u w:color="000000"/>
          <w:lang w:val="en-US"/>
        </w:rPr>
        <w:t xml:space="preserve"> M1-encoding viral RNAs were amplified by RTqPCR. (</w:t>
      </w:r>
      <w:r w:rsidRPr="00C028C6">
        <w:rPr>
          <w:rFonts w:asciiTheme="minorHAnsi" w:hAnsiTheme="minorHAnsi" w:cstheme="minorHAnsi"/>
          <w:b/>
          <w:bCs/>
          <w:color w:val="000000" w:themeColor="text1"/>
          <w:sz w:val="22"/>
          <w:szCs w:val="22"/>
          <w:u w:color="000000"/>
          <w:lang w:val="en-US"/>
        </w:rPr>
        <w:t>B)</w:t>
      </w:r>
      <w:r w:rsidRPr="00C028C6">
        <w:rPr>
          <w:rFonts w:asciiTheme="minorHAnsi" w:hAnsiTheme="minorHAnsi" w:cstheme="minorHAnsi"/>
          <w:color w:val="000000" w:themeColor="text1"/>
          <w:sz w:val="22"/>
          <w:szCs w:val="22"/>
          <w:u w:color="000000"/>
          <w:lang w:val="en-US"/>
        </w:rPr>
        <w:t xml:space="preserve"> IL-6 and IL-1ß RNAs were amplified by RTqPCR. Results are presented as mean +/- SD and normalized on the non-infected condition for each cell type. </w:t>
      </w:r>
    </w:p>
    <w:p w14:paraId="02AF01D8"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S11: CRISPR-Cas9 knock-in strategy to generate ANE1-variants in U2OS cells.</w:t>
      </w:r>
    </w:p>
    <w:p w14:paraId="0EE66D4D" w14:textId="77777777" w:rsidR="00DD7A0D" w:rsidRPr="00C028C6" w:rsidRDefault="00DD7A0D" w:rsidP="00DD7A0D">
      <w:pPr>
        <w:autoSpaceDE w:val="0"/>
        <w:autoSpaceDN w:val="0"/>
        <w:adjustRightInd w:val="0"/>
        <w:spacing w:after="120"/>
        <w:jc w:val="both"/>
        <w:rPr>
          <w:rFonts w:asciiTheme="minorHAnsi" w:hAnsiTheme="minorHAnsi" w:cstheme="minorHAnsi"/>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(A)</w:t>
      </w:r>
      <w:r w:rsidRPr="00C028C6">
        <w:rPr>
          <w:rFonts w:asciiTheme="minorHAnsi" w:hAnsiTheme="minorHAnsi" w:cstheme="minorHAnsi"/>
          <w:color w:val="000000" w:themeColor="text1"/>
          <w:sz w:val="22"/>
          <w:szCs w:val="22"/>
          <w:u w:color="000000"/>
          <w:lang w:val="en-US"/>
        </w:rPr>
        <w:t xml:space="preserve"> RANBP2-specific allelic qPCR strategy. RANBP2-specific reverse transcription was performed using a primer specific to the RANBP2 sequence and not present on the highly homologous RGPD sequence (conserved parts are indicated in gray). Mutant and WT RANBP2 were distinguished using a reverse qPCR primer carrying either an A or a G at its 3’ end. A set of primers was also designed to amplify RANBP2 (near the same region) without distinguishing both forms. </w:t>
      </w:r>
      <w:r w:rsidRPr="00C028C6">
        <w:rPr>
          <w:rFonts w:asciiTheme="minorHAnsi" w:hAnsiTheme="minorHAnsi" w:cstheme="minorHAnsi"/>
          <w:b/>
          <w:bCs/>
          <w:color w:val="000000" w:themeColor="text1"/>
          <w:sz w:val="22"/>
          <w:szCs w:val="22"/>
          <w:u w:color="000000"/>
          <w:lang w:val="en-US"/>
        </w:rPr>
        <w:t>(B)</w:t>
      </w:r>
      <w:r w:rsidRPr="00C028C6">
        <w:rPr>
          <w:rFonts w:asciiTheme="minorHAnsi" w:hAnsiTheme="minorHAnsi" w:cstheme="minorHAnsi"/>
          <w:color w:val="000000" w:themeColor="text1"/>
          <w:sz w:val="22"/>
          <w:szCs w:val="22"/>
          <w:u w:color="000000"/>
          <w:lang w:val="en-US"/>
        </w:rPr>
        <w:t xml:space="preserve"> Representation of the RANBP2 sequence upstream of the repair site, and one of the eight RGPDs. Sanger sequencing of the CRISPR clones shows no recombination with the RGPD sequence as all carry a G at the indicated positions (black arrows). </w:t>
      </w:r>
      <w:r w:rsidRPr="00C028C6">
        <w:rPr>
          <w:rFonts w:asciiTheme="minorHAnsi" w:hAnsiTheme="minorHAnsi" w:cstheme="minorHAnsi"/>
          <w:b/>
          <w:bCs/>
          <w:color w:val="000000" w:themeColor="text1"/>
          <w:sz w:val="22"/>
          <w:szCs w:val="22"/>
          <w:u w:color="000000"/>
          <w:lang w:val="en-US"/>
        </w:rPr>
        <w:t>(C)</w:t>
      </w:r>
      <w:r w:rsidRPr="00C028C6">
        <w:rPr>
          <w:rFonts w:asciiTheme="minorHAnsi" w:hAnsiTheme="minorHAnsi" w:cstheme="minorHAnsi"/>
          <w:color w:val="000000" w:themeColor="text1"/>
          <w:sz w:val="22"/>
          <w:szCs w:val="22"/>
          <w:u w:color="000000"/>
          <w:lang w:val="en-US"/>
        </w:rPr>
        <w:t xml:space="preserve"> To produce controls for the screening of CRISPR clones by allelic qPCR, HEK-293T cells were transfected with mCherry-shRNA-RANBP2 and either GFP-RANBP2-WT, GFP-RANBP2-T585M or both. mCherry-expressing cells were sorted by FACS and total intracellular RNAs were extracted for the allelic RTqPCR. Results of the FACS sorting are presented. </w:t>
      </w:r>
    </w:p>
    <w:p w14:paraId="38FBCE6F" w14:textId="77777777" w:rsidR="00DD7A0D" w:rsidRPr="00C028C6"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b/>
          <w:bCs/>
          <w:color w:val="000000" w:themeColor="text1"/>
          <w:sz w:val="22"/>
          <w:szCs w:val="22"/>
          <w:u w:color="000000"/>
          <w:lang w:val="en-US"/>
        </w:rPr>
        <w:t>Figure S12: Localization of RANBP2 in CRISPR knock-in clones</w:t>
      </w:r>
    </w:p>
    <w:p w14:paraId="2F2B504B" w14:textId="77777777" w:rsidR="00DD7A0D" w:rsidRPr="008C209C" w:rsidRDefault="00DD7A0D" w:rsidP="00DD7A0D">
      <w:pPr>
        <w:autoSpaceDE w:val="0"/>
        <w:autoSpaceDN w:val="0"/>
        <w:adjustRightInd w:val="0"/>
        <w:spacing w:after="120"/>
        <w:rPr>
          <w:rFonts w:asciiTheme="minorHAnsi" w:hAnsiTheme="minorHAnsi" w:cstheme="minorHAnsi"/>
          <w:b/>
          <w:bCs/>
          <w:color w:val="000000" w:themeColor="text1"/>
          <w:sz w:val="22"/>
          <w:szCs w:val="22"/>
          <w:u w:color="000000"/>
          <w:lang w:val="en-US"/>
        </w:rPr>
      </w:pPr>
      <w:r w:rsidRPr="00C028C6">
        <w:rPr>
          <w:rFonts w:asciiTheme="minorHAnsi" w:hAnsiTheme="minorHAnsi" w:cstheme="minorHAnsi"/>
          <w:color w:val="000000" w:themeColor="text1"/>
          <w:sz w:val="22"/>
          <w:szCs w:val="22"/>
          <w:lang w:val="en-US"/>
        </w:rPr>
        <w:t xml:space="preserve">CRISPR knock-in clones were fixed and stained for RANBP2 (Proteintech 27606-1-AP) and FG-repeats (Biolegend mab414) to investigate the localization of RANBP2. </w:t>
      </w:r>
      <w:r w:rsidRPr="00C028C6">
        <w:rPr>
          <w:rFonts w:asciiTheme="minorHAnsi" w:hAnsiTheme="minorHAnsi" w:cstheme="minorHAnsi"/>
          <w:b/>
          <w:bCs/>
          <w:color w:val="000000" w:themeColor="text1"/>
          <w:sz w:val="22"/>
          <w:szCs w:val="22"/>
          <w:lang w:val="en-US"/>
        </w:rPr>
        <w:t>(A)</w:t>
      </w:r>
      <w:r w:rsidRPr="00C028C6">
        <w:rPr>
          <w:rFonts w:asciiTheme="minorHAnsi" w:hAnsiTheme="minorHAnsi" w:cstheme="minorHAnsi"/>
          <w:color w:val="000000" w:themeColor="text1"/>
          <w:sz w:val="22"/>
          <w:szCs w:val="22"/>
          <w:lang w:val="en-US"/>
        </w:rPr>
        <w:t xml:space="preserve"> Full sets of confocal images used for the quantification of RANBP2 at the nuclear rim. Scale bar = 5µm. </w:t>
      </w:r>
      <w:r w:rsidRPr="00C028C6">
        <w:rPr>
          <w:rFonts w:asciiTheme="minorHAnsi" w:hAnsiTheme="minorHAnsi" w:cstheme="minorHAnsi"/>
          <w:b/>
          <w:bCs/>
          <w:color w:val="000000" w:themeColor="text1"/>
          <w:sz w:val="22"/>
          <w:szCs w:val="22"/>
          <w:lang w:val="en-US"/>
        </w:rPr>
        <w:t>(B)</w:t>
      </w:r>
      <w:r w:rsidRPr="00C028C6">
        <w:rPr>
          <w:rFonts w:asciiTheme="minorHAnsi" w:hAnsiTheme="minorHAnsi" w:cstheme="minorHAnsi"/>
          <w:color w:val="000000" w:themeColor="text1"/>
          <w:sz w:val="22"/>
          <w:szCs w:val="22"/>
          <w:lang w:val="en-US"/>
        </w:rPr>
        <w:t xml:space="preserve"> Higher resolution images obtained by confocal microscopy. Scale bar = 5µm.</w:t>
      </w:r>
    </w:p>
    <w:p w14:paraId="2BB40A2A" w14:textId="77777777" w:rsidR="00DD7A0D" w:rsidRPr="008C209C" w:rsidRDefault="00DD7A0D" w:rsidP="00DD7A0D">
      <w:pPr>
        <w:autoSpaceDE w:val="0"/>
        <w:autoSpaceDN w:val="0"/>
        <w:adjustRightInd w:val="0"/>
        <w:spacing w:after="120"/>
        <w:rPr>
          <w:rFonts w:asciiTheme="minorHAnsi" w:hAnsiTheme="minorHAnsi" w:cstheme="minorHAnsi"/>
          <w:b/>
          <w:bCs/>
          <w:color w:val="000000" w:themeColor="text1"/>
          <w:sz w:val="22"/>
          <w:szCs w:val="22"/>
          <w:lang w:val="en-US"/>
        </w:rPr>
      </w:pPr>
      <w:r w:rsidRPr="00C028C6">
        <w:rPr>
          <w:rFonts w:asciiTheme="minorHAnsi" w:hAnsiTheme="minorHAnsi" w:cstheme="minorHAnsi"/>
          <w:b/>
          <w:bCs/>
          <w:color w:val="000000" w:themeColor="text1"/>
          <w:sz w:val="22"/>
          <w:szCs w:val="22"/>
          <w:lang w:val="en-US"/>
        </w:rPr>
        <w:t>SUPPLEMENTARY TABLE LEGENDS</w:t>
      </w:r>
    </w:p>
    <w:p w14:paraId="34F6BA96" w14:textId="77777777" w:rsidR="00DD7A0D" w:rsidRPr="00DD7A0D" w:rsidRDefault="00DD7A0D" w:rsidP="00DD7A0D">
      <w:pPr>
        <w:spacing w:after="120"/>
        <w:rPr>
          <w:rFonts w:asciiTheme="minorHAnsi" w:hAnsiTheme="minorHAnsi" w:cstheme="minorHAnsi"/>
          <w:b/>
          <w:color w:val="000000" w:themeColor="text1"/>
          <w:sz w:val="22"/>
          <w:szCs w:val="22"/>
          <w:lang w:val="en-US"/>
        </w:rPr>
      </w:pPr>
      <w:r w:rsidRPr="00DD7A0D">
        <w:rPr>
          <w:rFonts w:asciiTheme="minorHAnsi" w:hAnsiTheme="minorHAnsi" w:cstheme="minorHAnsi"/>
          <w:b/>
          <w:color w:val="000000" w:themeColor="text1"/>
          <w:sz w:val="22"/>
          <w:szCs w:val="22"/>
          <w:lang w:val="en-US"/>
        </w:rPr>
        <w:t>Table S1: List of plasmids.</w:t>
      </w:r>
    </w:p>
    <w:p w14:paraId="7860D159" w14:textId="77777777" w:rsidR="00DD7A0D" w:rsidRPr="00DD7A0D" w:rsidRDefault="00DD7A0D" w:rsidP="00DD7A0D">
      <w:pPr>
        <w:spacing w:after="120"/>
        <w:rPr>
          <w:rFonts w:asciiTheme="minorHAnsi" w:hAnsiTheme="minorHAnsi" w:cstheme="minorHAnsi"/>
          <w:b/>
          <w:color w:val="000000" w:themeColor="text1"/>
          <w:sz w:val="22"/>
          <w:szCs w:val="22"/>
          <w:lang w:val="en-US"/>
        </w:rPr>
      </w:pPr>
      <w:r w:rsidRPr="00DD7A0D">
        <w:rPr>
          <w:rFonts w:asciiTheme="minorHAnsi" w:hAnsiTheme="minorHAnsi" w:cstheme="minorHAnsi"/>
          <w:b/>
          <w:color w:val="000000" w:themeColor="text1"/>
          <w:sz w:val="22"/>
          <w:szCs w:val="22"/>
          <w:lang w:val="en-US"/>
        </w:rPr>
        <w:t>Table S2: List of reverse transcription and qPCR primers.</w:t>
      </w:r>
    </w:p>
    <w:p w14:paraId="354C40C3" w14:textId="77777777" w:rsidR="00DD7A0D" w:rsidRPr="00DD7A0D" w:rsidRDefault="00DD7A0D" w:rsidP="00DD7A0D">
      <w:pPr>
        <w:spacing w:after="120"/>
        <w:rPr>
          <w:rFonts w:asciiTheme="minorHAnsi" w:hAnsiTheme="minorHAnsi" w:cstheme="minorHAnsi"/>
          <w:b/>
          <w:color w:val="000000" w:themeColor="text1"/>
          <w:sz w:val="22"/>
          <w:szCs w:val="22"/>
          <w:lang w:val="en-US"/>
        </w:rPr>
      </w:pPr>
      <w:r w:rsidRPr="00DD7A0D">
        <w:rPr>
          <w:rFonts w:asciiTheme="minorHAnsi" w:hAnsiTheme="minorHAnsi" w:cstheme="minorHAnsi"/>
          <w:b/>
          <w:color w:val="000000" w:themeColor="text1"/>
          <w:sz w:val="22"/>
          <w:szCs w:val="22"/>
          <w:lang w:val="en-US"/>
        </w:rPr>
        <w:t>Table S3: List of antibodies.</w:t>
      </w:r>
    </w:p>
    <w:p w14:paraId="21EB40D1" w14:textId="77777777" w:rsidR="0038214D" w:rsidRPr="00DD7A0D" w:rsidRDefault="0038214D">
      <w:pPr>
        <w:rPr>
          <w:lang w:val="en-US"/>
        </w:rPr>
      </w:pPr>
    </w:p>
    <w:sectPr w:rsidR="0038214D" w:rsidRPr="00DD7A0D" w:rsidSect="00DD7A0D">
      <w:footerReference w:type="even" r:id="rId4"/>
      <w:footerReference w:type="default" r:id="rId5"/>
      <w:pgSz w:w="12240" w:h="15840"/>
      <w:pgMar w:top="1418" w:right="1418" w:bottom="1418" w:left="1418" w:header="720" w:footer="720" w:gutter="0"/>
      <w:lnNumType w:countBy="1" w:restart="continuou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eastAsiaTheme="majorEastAsia"/>
      </w:rPr>
      <w:id w:val="121972882"/>
      <w:docPartObj>
        <w:docPartGallery w:val="Page Numbers (Bottom of Page)"/>
        <w:docPartUnique/>
      </w:docPartObj>
    </w:sdtPr>
    <w:sdtContent>
      <w:p w14:paraId="495D5560" w14:textId="77777777" w:rsidR="00000000" w:rsidRDefault="00000000" w:rsidP="00D24D23">
        <w:pPr>
          <w:pStyle w:val="Footer"/>
          <w:framePr w:wrap="none"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 PAGE </w:instrText>
        </w:r>
        <w:r>
          <w:rPr>
            <w:rStyle w:val="PageNumber"/>
            <w:rFonts w:eastAsiaTheme="majorEastAsia"/>
          </w:rPr>
          <w:fldChar w:fldCharType="end"/>
        </w:r>
      </w:p>
    </w:sdtContent>
  </w:sdt>
  <w:p w14:paraId="1CA12A3B" w14:textId="77777777" w:rsidR="00000000" w:rsidRDefault="00000000" w:rsidP="005A6D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eastAsiaTheme="majorEastAsia"/>
      </w:rPr>
      <w:id w:val="-1097167451"/>
      <w:docPartObj>
        <w:docPartGallery w:val="Page Numbers (Bottom of Page)"/>
        <w:docPartUnique/>
      </w:docPartObj>
    </w:sdtPr>
    <w:sdtContent>
      <w:p w14:paraId="71BD104C" w14:textId="77777777" w:rsidR="00000000" w:rsidRDefault="00000000" w:rsidP="00D24D23">
        <w:pPr>
          <w:pStyle w:val="Footer"/>
          <w:framePr w:wrap="none"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 PAGE </w:instrText>
        </w:r>
        <w:r>
          <w:rPr>
            <w:rStyle w:val="PageNumber"/>
            <w:rFonts w:eastAsiaTheme="majorEastAsia"/>
          </w:rPr>
          <w:fldChar w:fldCharType="separate"/>
        </w:r>
        <w:r>
          <w:rPr>
            <w:rStyle w:val="PageNumber"/>
            <w:rFonts w:eastAsiaTheme="majorEastAsia"/>
            <w:noProof/>
          </w:rPr>
          <w:t>1</w:t>
        </w:r>
        <w:r>
          <w:rPr>
            <w:rStyle w:val="PageNumber"/>
            <w:rFonts w:eastAsiaTheme="majorEastAsia"/>
          </w:rPr>
          <w:fldChar w:fldCharType="end"/>
        </w:r>
      </w:p>
    </w:sdtContent>
  </w:sdt>
  <w:p w14:paraId="7D271A08" w14:textId="77777777" w:rsidR="00000000" w:rsidRDefault="00000000" w:rsidP="005A6DDA">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A0D"/>
    <w:rsid w:val="00235F39"/>
    <w:rsid w:val="0038214D"/>
    <w:rsid w:val="00527C31"/>
    <w:rsid w:val="00530909"/>
    <w:rsid w:val="00AA3AC3"/>
    <w:rsid w:val="00AD7A41"/>
    <w:rsid w:val="00AE732B"/>
    <w:rsid w:val="00CF3EC8"/>
    <w:rsid w:val="00DD7A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5C684"/>
  <w15:chartTrackingRefBased/>
  <w15:docId w15:val="{E96ABA4D-C247-4F82-836D-4489FF7F7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A0D"/>
    <w:pPr>
      <w:spacing w:after="0" w:line="240" w:lineRule="auto"/>
    </w:pPr>
    <w:rPr>
      <w:rFonts w:ascii="Times New Roman" w:eastAsia="Times New Roman" w:hAnsi="Times New Roman" w:cs="Times New Roman"/>
      <w:kern w:val="0"/>
      <w:lang w:val="fr-FR"/>
      <w14:ligatures w14:val="none"/>
    </w:rPr>
  </w:style>
  <w:style w:type="paragraph" w:styleId="Heading1">
    <w:name w:val="heading 1"/>
    <w:basedOn w:val="Normal"/>
    <w:next w:val="Normal"/>
    <w:link w:val="Heading1Char"/>
    <w:uiPriority w:val="9"/>
    <w:qFormat/>
    <w:rsid w:val="00DD7A0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D7A0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D7A0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D7A0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D7A0D"/>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D7A0D"/>
    <w:pPr>
      <w:keepNext/>
      <w:keepLines/>
      <w:spacing w:before="4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D7A0D"/>
    <w:pPr>
      <w:keepNext/>
      <w:keepLines/>
      <w:spacing w:before="4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D7A0D"/>
    <w:pPr>
      <w:keepNext/>
      <w:keepLines/>
      <w:spacing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D7A0D"/>
    <w:pPr>
      <w:keepNext/>
      <w:keepLines/>
      <w:spacing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A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7A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7A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7A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7A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7A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7A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7A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7A0D"/>
    <w:rPr>
      <w:rFonts w:eastAsiaTheme="majorEastAsia" w:cstheme="majorBidi"/>
      <w:color w:val="272727" w:themeColor="text1" w:themeTint="D8"/>
    </w:rPr>
  </w:style>
  <w:style w:type="paragraph" w:styleId="Title">
    <w:name w:val="Title"/>
    <w:basedOn w:val="Normal"/>
    <w:next w:val="Normal"/>
    <w:link w:val="TitleChar"/>
    <w:uiPriority w:val="10"/>
    <w:qFormat/>
    <w:rsid w:val="00DD7A0D"/>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D7A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7A0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D7A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7A0D"/>
    <w:pPr>
      <w:spacing w:before="160" w:after="160" w:line="278"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D7A0D"/>
    <w:rPr>
      <w:i/>
      <w:iCs/>
      <w:color w:val="404040" w:themeColor="text1" w:themeTint="BF"/>
    </w:rPr>
  </w:style>
  <w:style w:type="paragraph" w:styleId="ListParagraph">
    <w:name w:val="List Paragraph"/>
    <w:basedOn w:val="Normal"/>
    <w:uiPriority w:val="34"/>
    <w:qFormat/>
    <w:rsid w:val="00DD7A0D"/>
    <w:pPr>
      <w:spacing w:after="160" w:line="278"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DD7A0D"/>
    <w:rPr>
      <w:i/>
      <w:iCs/>
      <w:color w:val="0F4761" w:themeColor="accent1" w:themeShade="BF"/>
    </w:rPr>
  </w:style>
  <w:style w:type="paragraph" w:styleId="IntenseQuote">
    <w:name w:val="Intense Quote"/>
    <w:basedOn w:val="Normal"/>
    <w:next w:val="Normal"/>
    <w:link w:val="IntenseQuoteChar"/>
    <w:uiPriority w:val="30"/>
    <w:qFormat/>
    <w:rsid w:val="00DD7A0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D7A0D"/>
    <w:rPr>
      <w:i/>
      <w:iCs/>
      <w:color w:val="0F4761" w:themeColor="accent1" w:themeShade="BF"/>
    </w:rPr>
  </w:style>
  <w:style w:type="character" w:styleId="IntenseReference">
    <w:name w:val="Intense Reference"/>
    <w:basedOn w:val="DefaultParagraphFont"/>
    <w:uiPriority w:val="32"/>
    <w:qFormat/>
    <w:rsid w:val="00DD7A0D"/>
    <w:rPr>
      <w:b/>
      <w:bCs/>
      <w:smallCaps/>
      <w:color w:val="0F4761" w:themeColor="accent1" w:themeShade="BF"/>
      <w:spacing w:val="5"/>
    </w:rPr>
  </w:style>
  <w:style w:type="paragraph" w:styleId="Footer">
    <w:name w:val="footer"/>
    <w:basedOn w:val="Normal"/>
    <w:link w:val="FooterChar"/>
    <w:uiPriority w:val="99"/>
    <w:unhideWhenUsed/>
    <w:rsid w:val="00DD7A0D"/>
    <w:pPr>
      <w:tabs>
        <w:tab w:val="center" w:pos="4536"/>
        <w:tab w:val="right" w:pos="9072"/>
      </w:tabs>
    </w:pPr>
  </w:style>
  <w:style w:type="character" w:customStyle="1" w:styleId="FooterChar">
    <w:name w:val="Footer Char"/>
    <w:basedOn w:val="DefaultParagraphFont"/>
    <w:link w:val="Footer"/>
    <w:uiPriority w:val="99"/>
    <w:rsid w:val="00DD7A0D"/>
    <w:rPr>
      <w:rFonts w:ascii="Times New Roman" w:eastAsia="Times New Roman" w:hAnsi="Times New Roman" w:cs="Times New Roman"/>
      <w:kern w:val="0"/>
      <w:lang w:val="fr-FR"/>
      <w14:ligatures w14:val="none"/>
    </w:rPr>
  </w:style>
  <w:style w:type="character" w:styleId="PageNumber">
    <w:name w:val="page number"/>
    <w:basedOn w:val="DefaultParagraphFont"/>
    <w:uiPriority w:val="99"/>
    <w:semiHidden/>
    <w:unhideWhenUsed/>
    <w:rsid w:val="00DD7A0D"/>
  </w:style>
  <w:style w:type="character" w:styleId="LineNumber">
    <w:name w:val="line number"/>
    <w:basedOn w:val="DefaultParagraphFont"/>
    <w:uiPriority w:val="99"/>
    <w:semiHidden/>
    <w:unhideWhenUsed/>
    <w:rsid w:val="00DD7A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1001</Words>
  <Characters>5711</Characters>
  <Application>Microsoft Office Word</Application>
  <DocSecurity>0</DocSecurity>
  <Lines>47</Lines>
  <Paragraphs>13</Paragraphs>
  <ScaleCrop>false</ScaleCrop>
  <Company>Springer Nature</Company>
  <LinksUpToDate>false</LinksUpToDate>
  <CharactersWithSpaces>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2025-05-15T12:13:00Z</dcterms:created>
  <dcterms:modified xsi:type="dcterms:W3CDTF">2025-05-15T12:14:00Z</dcterms:modified>
</cp:coreProperties>
</file>