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988875" w14:textId="77777777" w:rsidR="005959E3" w:rsidRDefault="005959E3" w:rsidP="005959E3">
      <w:pPr>
        <w:rPr>
          <w:b/>
          <w:bCs/>
        </w:rPr>
      </w:pPr>
      <w:r>
        <w:rPr>
          <w:b/>
          <w:bCs/>
        </w:rPr>
        <w:t>Supplementary File:</w:t>
      </w:r>
    </w:p>
    <w:p w14:paraId="1FF928AC" w14:textId="77777777" w:rsidR="005959E3" w:rsidRDefault="005959E3" w:rsidP="005959E3">
      <w:pPr>
        <w:rPr>
          <w:b/>
          <w:bCs/>
        </w:rPr>
      </w:pPr>
    </w:p>
    <w:p w14:paraId="1AC4ED93" w14:textId="77777777" w:rsidR="00AC1FED" w:rsidRPr="00C32A20" w:rsidRDefault="00AC1FED" w:rsidP="00AC1FED">
      <w:pPr>
        <w:jc w:val="center"/>
        <w:rPr>
          <w:b/>
          <w:bCs/>
        </w:rPr>
      </w:pPr>
      <w:r w:rsidRPr="00F72A6F">
        <w:rPr>
          <w:b/>
          <w:bCs/>
        </w:rPr>
        <w:t xml:space="preserve">Low Dose Rapamycin Alleviates Clinical Symptoms of Fatigue </w:t>
      </w:r>
      <w:r>
        <w:rPr>
          <w:b/>
          <w:bCs/>
        </w:rPr>
        <w:t>and PEM in</w:t>
      </w:r>
      <w:r w:rsidRPr="00F72A6F">
        <w:rPr>
          <w:b/>
          <w:bCs/>
        </w:rPr>
        <w:t xml:space="preserve"> ME/CFS Patients via Improvement of Autophagy</w:t>
      </w:r>
    </w:p>
    <w:p w14:paraId="7B6D81D0" w14:textId="77777777" w:rsidR="00357A86" w:rsidRPr="00ED31FA" w:rsidRDefault="00357A86" w:rsidP="00AF0040">
      <w:pPr>
        <w:rPr>
          <w:b/>
          <w:bCs/>
        </w:rPr>
      </w:pPr>
    </w:p>
    <w:p w14:paraId="0DBD2576" w14:textId="56E0779C" w:rsidR="00357A86" w:rsidRPr="00ED31FA" w:rsidRDefault="00357A86" w:rsidP="00357A86">
      <w:pPr>
        <w:jc w:val="center"/>
        <w:rPr>
          <w:vertAlign w:val="superscript"/>
        </w:rPr>
      </w:pPr>
      <w:r w:rsidRPr="00ED31FA">
        <w:t xml:space="preserve">Brian T. </w:t>
      </w:r>
      <w:r w:rsidR="00207DCD">
        <w:t>Ruan</w:t>
      </w:r>
      <w:r w:rsidR="00DE341E">
        <w:rPr>
          <w:vertAlign w:val="superscript"/>
        </w:rPr>
        <w:t>1</w:t>
      </w:r>
      <w:r w:rsidRPr="00ED31FA">
        <w:t xml:space="preserve">, </w:t>
      </w:r>
      <w:r w:rsidR="00DE341E" w:rsidRPr="00ED31FA">
        <w:t>Sarojini Bulbule</w:t>
      </w:r>
      <w:r w:rsidR="00DE341E">
        <w:rPr>
          <w:vertAlign w:val="superscript"/>
        </w:rPr>
        <w:t>2</w:t>
      </w:r>
      <w:r w:rsidR="00DE341E" w:rsidRPr="00ED31FA">
        <w:t xml:space="preserve">, </w:t>
      </w:r>
      <w:r w:rsidRPr="00ED31FA">
        <w:t>Amy Reyes</w:t>
      </w:r>
      <w:r w:rsidR="00DE341E">
        <w:rPr>
          <w:vertAlign w:val="superscript"/>
        </w:rPr>
        <w:t>2</w:t>
      </w:r>
      <w:r w:rsidR="00DE341E" w:rsidRPr="00ED31FA">
        <w:t>, Bela</w:t>
      </w:r>
      <w:r w:rsidRPr="00ED31FA">
        <w:t xml:space="preserve"> Chheda</w:t>
      </w:r>
      <w:r w:rsidRPr="00ED31FA">
        <w:rPr>
          <w:vertAlign w:val="superscript"/>
        </w:rPr>
        <w:t>3</w:t>
      </w:r>
      <w:r w:rsidRPr="00ED31FA">
        <w:t>, Lucinda Bateman</w:t>
      </w:r>
      <w:r w:rsidRPr="00ED31FA">
        <w:rPr>
          <w:vertAlign w:val="superscript"/>
        </w:rPr>
        <w:t>4</w:t>
      </w:r>
      <w:r w:rsidRPr="00ED31FA">
        <w:t>, Jennifer Bell</w:t>
      </w:r>
      <w:r w:rsidRPr="00ED31FA">
        <w:rPr>
          <w:vertAlign w:val="superscript"/>
        </w:rPr>
        <w:t>4</w:t>
      </w:r>
      <w:r w:rsidRPr="00ED31FA">
        <w:t>, Braydon Yellman</w:t>
      </w:r>
      <w:r w:rsidRPr="00ED31FA">
        <w:rPr>
          <w:vertAlign w:val="superscript"/>
        </w:rPr>
        <w:t>4</w:t>
      </w:r>
      <w:r w:rsidRPr="00ED31FA">
        <w:t>, Maureen Hanson</w:t>
      </w:r>
      <w:r w:rsidRPr="00ED31FA">
        <w:rPr>
          <w:vertAlign w:val="superscript"/>
        </w:rPr>
        <w:t>2</w:t>
      </w:r>
      <w:r w:rsidRPr="00ED31FA">
        <w:t>, Stephanie Grach</w:t>
      </w:r>
      <w:r w:rsidRPr="00ED31FA">
        <w:rPr>
          <w:vertAlign w:val="superscript"/>
        </w:rPr>
        <w:t>5</w:t>
      </w:r>
      <w:r w:rsidRPr="00ED31FA">
        <w:t>, Jon Berner</w:t>
      </w:r>
      <w:r w:rsidRPr="00ED31FA">
        <w:rPr>
          <w:vertAlign w:val="superscript"/>
        </w:rPr>
        <w:t>6</w:t>
      </w:r>
      <w:r w:rsidRPr="00ED31FA">
        <w:t>, Daniel L. Peterson</w:t>
      </w:r>
      <w:r w:rsidRPr="00ED31FA">
        <w:rPr>
          <w:vertAlign w:val="superscript"/>
        </w:rPr>
        <w:t>7</w:t>
      </w:r>
      <w:r w:rsidRPr="00ED31FA">
        <w:t xml:space="preserve">, </w:t>
      </w:r>
      <w:r w:rsidR="003271E4">
        <w:t>*</w:t>
      </w:r>
      <w:r w:rsidRPr="00ED31FA">
        <w:t xml:space="preserve">David </w:t>
      </w:r>
      <w:r w:rsidR="00AA3370" w:rsidRPr="00ED31FA">
        <w:t xml:space="preserve">Kaufman </w:t>
      </w:r>
      <w:r w:rsidR="00AA3370" w:rsidRPr="00ED31FA">
        <w:rPr>
          <w:vertAlign w:val="superscript"/>
        </w:rPr>
        <w:t>3</w:t>
      </w:r>
      <w:r w:rsidRPr="00ED31FA">
        <w:t xml:space="preserve">, </w:t>
      </w:r>
      <w:r w:rsidR="003271E4">
        <w:t>*</w:t>
      </w:r>
      <w:r w:rsidRPr="00ED31FA">
        <w:t>Avik Roy</w:t>
      </w:r>
      <w:r w:rsidR="00DE341E">
        <w:rPr>
          <w:vertAlign w:val="superscript"/>
        </w:rPr>
        <w:t>2</w:t>
      </w:r>
      <w:r w:rsidRPr="00ED31FA">
        <w:rPr>
          <w:vertAlign w:val="superscript"/>
        </w:rPr>
        <w:t>,9</w:t>
      </w:r>
      <w:r w:rsidRPr="00ED31FA">
        <w:t xml:space="preserve">, </w:t>
      </w:r>
      <w:r w:rsidR="003271E4">
        <w:t>*</w:t>
      </w:r>
      <w:r w:rsidRPr="00ED31FA">
        <w:t>C. Gunnar Gottschalk</w:t>
      </w:r>
      <w:r w:rsidR="00DE341E">
        <w:rPr>
          <w:vertAlign w:val="superscript"/>
        </w:rPr>
        <w:t>2</w:t>
      </w:r>
      <w:r w:rsidRPr="00ED31FA">
        <w:rPr>
          <w:vertAlign w:val="superscript"/>
        </w:rPr>
        <w:t>,8</w:t>
      </w:r>
    </w:p>
    <w:p w14:paraId="654DEF9B" w14:textId="77777777" w:rsidR="00357A86" w:rsidRPr="00ED31FA" w:rsidRDefault="00357A86" w:rsidP="00357A86">
      <w:pPr>
        <w:jc w:val="center"/>
        <w:rPr>
          <w:vertAlign w:val="superscript"/>
        </w:rPr>
      </w:pPr>
    </w:p>
    <w:p w14:paraId="380B5FFE" w14:textId="77777777" w:rsidR="00357A86" w:rsidRPr="00ED31FA" w:rsidRDefault="00357A86" w:rsidP="00357A86">
      <w:pPr>
        <w:jc w:val="center"/>
        <w:rPr>
          <w:vertAlign w:val="superscript"/>
        </w:rPr>
      </w:pPr>
    </w:p>
    <w:p w14:paraId="522345CB" w14:textId="77777777" w:rsidR="00357A86" w:rsidRPr="00ED31FA" w:rsidRDefault="00357A86" w:rsidP="00357A86">
      <w:pPr>
        <w:jc w:val="center"/>
      </w:pPr>
    </w:p>
    <w:p w14:paraId="2C52CA34" w14:textId="77777777" w:rsidR="00357A86" w:rsidRPr="00ED31FA" w:rsidRDefault="00357A86" w:rsidP="00357A86">
      <w:pPr>
        <w:jc w:val="both"/>
      </w:pPr>
      <w:r w:rsidRPr="00ED31FA">
        <w:rPr>
          <w:b/>
          <w:bCs/>
        </w:rPr>
        <w:t>Affiliations:</w:t>
      </w:r>
    </w:p>
    <w:p w14:paraId="2C04D95A" w14:textId="46519912" w:rsidR="00DE341E" w:rsidRPr="00ED31FA" w:rsidRDefault="00357A86" w:rsidP="00DE341E">
      <w:pPr>
        <w:jc w:val="both"/>
      </w:pPr>
      <w:r w:rsidRPr="00ED31FA">
        <w:rPr>
          <w:vertAlign w:val="superscript"/>
        </w:rPr>
        <w:t xml:space="preserve">1. </w:t>
      </w:r>
      <w:r w:rsidR="00DE341E" w:rsidRPr="00ED31FA">
        <w:t>Corne</w:t>
      </w:r>
      <w:r w:rsidR="00FC4A36">
        <w:t>l</w:t>
      </w:r>
      <w:r w:rsidR="00DE341E" w:rsidRPr="00ED31FA">
        <w:t>l EIND Center, Cornell University, Ithaca, NY</w:t>
      </w:r>
    </w:p>
    <w:p w14:paraId="21FDFE4F" w14:textId="79A4BDC5" w:rsidR="00357A86" w:rsidRPr="00ED31FA" w:rsidRDefault="00357A86" w:rsidP="00357A86">
      <w:pPr>
        <w:jc w:val="both"/>
      </w:pPr>
      <w:r w:rsidRPr="00ED31FA">
        <w:rPr>
          <w:vertAlign w:val="superscript"/>
        </w:rPr>
        <w:t>2.</w:t>
      </w:r>
      <w:r w:rsidRPr="00ED31FA">
        <w:t xml:space="preserve"> </w:t>
      </w:r>
      <w:r w:rsidR="00DE341E" w:rsidRPr="00ED31FA">
        <w:t>Simmaron Research Inc. Research and Development Lab, University of Wisconsin Milwaukee</w:t>
      </w:r>
    </w:p>
    <w:p w14:paraId="2811E3A8" w14:textId="77777777" w:rsidR="00357A86" w:rsidRPr="00ED31FA" w:rsidRDefault="00357A86" w:rsidP="00357A86">
      <w:pPr>
        <w:jc w:val="both"/>
      </w:pPr>
      <w:r w:rsidRPr="00ED31FA">
        <w:rPr>
          <w:vertAlign w:val="superscript"/>
        </w:rPr>
        <w:t>3.</w:t>
      </w:r>
      <w:r w:rsidRPr="00ED31FA">
        <w:t xml:space="preserve"> Centers for Complex Diseases, Palo Alto, CA and Seattle, Washington</w:t>
      </w:r>
    </w:p>
    <w:p w14:paraId="51577E65" w14:textId="77777777" w:rsidR="00357A86" w:rsidRPr="00ED31FA" w:rsidRDefault="00357A86" w:rsidP="00357A86">
      <w:pPr>
        <w:jc w:val="both"/>
      </w:pPr>
      <w:r w:rsidRPr="00ED31FA">
        <w:rPr>
          <w:vertAlign w:val="superscript"/>
        </w:rPr>
        <w:t>4.</w:t>
      </w:r>
      <w:r w:rsidRPr="00ED31FA">
        <w:t xml:space="preserve"> The Bateman Horne Center, Salt Lake City, UT</w:t>
      </w:r>
    </w:p>
    <w:p w14:paraId="2498C4C8" w14:textId="77777777" w:rsidR="00357A86" w:rsidRPr="00ED31FA" w:rsidRDefault="00357A86" w:rsidP="00357A86">
      <w:pPr>
        <w:jc w:val="both"/>
      </w:pPr>
      <w:r w:rsidRPr="00ED31FA">
        <w:rPr>
          <w:vertAlign w:val="superscript"/>
        </w:rPr>
        <w:t xml:space="preserve">5. </w:t>
      </w:r>
      <w:r w:rsidRPr="00ED31FA">
        <w:t>The Mayo Clinic, Rochester, NY</w:t>
      </w:r>
    </w:p>
    <w:p w14:paraId="13C1E934" w14:textId="5B7FA100" w:rsidR="00357A86" w:rsidRPr="00ED31FA" w:rsidRDefault="00357A86" w:rsidP="00357A86">
      <w:pPr>
        <w:jc w:val="both"/>
      </w:pPr>
      <w:r w:rsidRPr="00ED31FA">
        <w:rPr>
          <w:vertAlign w:val="superscript"/>
        </w:rPr>
        <w:t xml:space="preserve">6. </w:t>
      </w:r>
      <w:r w:rsidRPr="00ED31FA">
        <w:t>Woodinville Psychiatry, Woodinville, WA</w:t>
      </w:r>
    </w:p>
    <w:p w14:paraId="111C1A61" w14:textId="77777777" w:rsidR="00357A86" w:rsidRPr="00ED31FA" w:rsidRDefault="00357A86" w:rsidP="00357A86">
      <w:pPr>
        <w:jc w:val="both"/>
        <w:rPr>
          <w:lang w:val="it-IT"/>
        </w:rPr>
      </w:pPr>
      <w:r w:rsidRPr="00ED31FA">
        <w:rPr>
          <w:vertAlign w:val="superscript"/>
          <w:lang w:val="it-IT"/>
        </w:rPr>
        <w:t>7.</w:t>
      </w:r>
      <w:r w:rsidRPr="00ED31FA">
        <w:rPr>
          <w:lang w:val="it-IT"/>
        </w:rPr>
        <w:t xml:space="preserve"> Sierra Internal Medicine, Incline Village, NV</w:t>
      </w:r>
    </w:p>
    <w:p w14:paraId="7E2CAE56" w14:textId="77777777" w:rsidR="00357A86" w:rsidRPr="00ED31FA" w:rsidRDefault="00357A86" w:rsidP="00357A86">
      <w:pPr>
        <w:jc w:val="both"/>
      </w:pPr>
      <w:r w:rsidRPr="00ED31FA">
        <w:rPr>
          <w:vertAlign w:val="superscript"/>
        </w:rPr>
        <w:t xml:space="preserve">8. </w:t>
      </w:r>
      <w:r w:rsidRPr="00ED31FA">
        <w:t>Simmaron Research Center for Translational Science, ICBI at Indiana University Methodist Hospital, Indianapolis, IN</w:t>
      </w:r>
    </w:p>
    <w:p w14:paraId="007DB842" w14:textId="5E670AEA" w:rsidR="00357A86" w:rsidRPr="00ED31FA" w:rsidRDefault="00357A86" w:rsidP="00357A86">
      <w:pPr>
        <w:jc w:val="both"/>
      </w:pPr>
      <w:r w:rsidRPr="00ED31FA">
        <w:rPr>
          <w:vertAlign w:val="superscript"/>
        </w:rPr>
        <w:t>9.</w:t>
      </w:r>
      <w:r w:rsidRPr="00ED31FA">
        <w:t xml:space="preserve"> Milwaukee Institute for Drug Discovery, University of Wisconsin-Milwaukee, 2000 E Kenwood Blvd, Milwaukee, WI 53211</w:t>
      </w:r>
    </w:p>
    <w:p w14:paraId="132914CD" w14:textId="77777777" w:rsidR="00357A86" w:rsidRPr="00ED31FA" w:rsidRDefault="00357A86" w:rsidP="00357A86">
      <w:pPr>
        <w:jc w:val="both"/>
      </w:pPr>
    </w:p>
    <w:p w14:paraId="6984C11C" w14:textId="77777777" w:rsidR="00357A86" w:rsidRPr="00ED31FA" w:rsidRDefault="00357A86" w:rsidP="00357A86">
      <w:pPr>
        <w:jc w:val="center"/>
      </w:pPr>
    </w:p>
    <w:p w14:paraId="16DBDEF6" w14:textId="7C597702" w:rsidR="00357A86" w:rsidRPr="00ED31FA" w:rsidRDefault="003271E4" w:rsidP="00854716">
      <w:r>
        <w:t>*</w:t>
      </w:r>
      <w:r w:rsidR="00854716" w:rsidRPr="00ED31FA">
        <w:t xml:space="preserve">Correspondence to </w:t>
      </w:r>
    </w:p>
    <w:p w14:paraId="0068B068" w14:textId="77777777" w:rsidR="00854716" w:rsidRPr="00ED31FA" w:rsidRDefault="00854716" w:rsidP="00854716"/>
    <w:p w14:paraId="1678598E" w14:textId="77777777" w:rsidR="00854716" w:rsidRPr="00ED31FA" w:rsidRDefault="00854716" w:rsidP="00357A86">
      <w:pPr>
        <w:sectPr w:rsidR="00854716" w:rsidRPr="00ED31F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pPr>
    </w:p>
    <w:p w14:paraId="2A0FC42E" w14:textId="3B6E91A1" w:rsidR="00357A86" w:rsidRPr="00ED31FA" w:rsidRDefault="00357A86" w:rsidP="00854716">
      <w:r w:rsidRPr="00ED31FA">
        <w:t>C. Gunnar Gottschalk PhD</w:t>
      </w:r>
    </w:p>
    <w:p w14:paraId="1D16AA15" w14:textId="77777777" w:rsidR="00854716" w:rsidRPr="00ED31FA" w:rsidRDefault="00854716" w:rsidP="00854716">
      <w:pPr>
        <w:jc w:val="both"/>
      </w:pPr>
      <w:r w:rsidRPr="00ED31FA">
        <w:t xml:space="preserve">Simmaron Research Center for Translational Science, </w:t>
      </w:r>
    </w:p>
    <w:p w14:paraId="0E37906A" w14:textId="77777777" w:rsidR="00854716" w:rsidRPr="00ED31FA" w:rsidRDefault="00854716" w:rsidP="00854716">
      <w:pPr>
        <w:jc w:val="both"/>
      </w:pPr>
      <w:r w:rsidRPr="00ED31FA">
        <w:t xml:space="preserve">ICBI </w:t>
      </w:r>
    </w:p>
    <w:p w14:paraId="2A47D243" w14:textId="77777777" w:rsidR="00854716" w:rsidRPr="00ED31FA" w:rsidRDefault="00854716" w:rsidP="00854716">
      <w:pPr>
        <w:jc w:val="both"/>
      </w:pPr>
      <w:r w:rsidRPr="00ED31FA">
        <w:t>Indiana University Methodist Hospital</w:t>
      </w:r>
    </w:p>
    <w:p w14:paraId="6E8F4099" w14:textId="7A29A264" w:rsidR="00854716" w:rsidRPr="00ED31FA" w:rsidRDefault="00854716" w:rsidP="00854716">
      <w:pPr>
        <w:jc w:val="both"/>
      </w:pPr>
      <w:r w:rsidRPr="00ED31FA">
        <w:t>Indianapolis, IN</w:t>
      </w:r>
    </w:p>
    <w:p w14:paraId="5AF62A20" w14:textId="77777777" w:rsidR="00854716" w:rsidRPr="00ED31FA" w:rsidRDefault="00854716" w:rsidP="00854716">
      <w:hyperlink r:id="rId14" w:history="1">
        <w:r w:rsidRPr="00ED31FA">
          <w:rPr>
            <w:rStyle w:val="Hyperlink"/>
          </w:rPr>
          <w:t>ggottschalk@simmaron.com</w:t>
        </w:r>
      </w:hyperlink>
    </w:p>
    <w:p w14:paraId="3E7CF600" w14:textId="77777777" w:rsidR="00854716" w:rsidRPr="00ED31FA" w:rsidRDefault="00854716" w:rsidP="00854716">
      <w:pPr>
        <w:jc w:val="both"/>
      </w:pPr>
    </w:p>
    <w:p w14:paraId="252A7E98" w14:textId="1663882B" w:rsidR="00854716" w:rsidRDefault="000A28CD" w:rsidP="00854716">
      <w:pPr>
        <w:jc w:val="both"/>
      </w:pPr>
      <w:r>
        <w:t>David Kaufman</w:t>
      </w:r>
      <w:r w:rsidR="00B55317">
        <w:t>, MD</w:t>
      </w:r>
    </w:p>
    <w:p w14:paraId="4B291B02" w14:textId="77777777" w:rsidR="00854716" w:rsidRPr="00ED31FA" w:rsidRDefault="00854716" w:rsidP="00854716">
      <w:r w:rsidRPr="00ED31FA">
        <w:t>Avik Roy, PhD</w:t>
      </w:r>
    </w:p>
    <w:p w14:paraId="02FDF366" w14:textId="5DD9824A" w:rsidR="00854716" w:rsidRPr="00ED31FA" w:rsidRDefault="00854716" w:rsidP="00854716">
      <w:r w:rsidRPr="00ED31FA">
        <w:t>Simmaron Research</w:t>
      </w:r>
      <w:r w:rsidR="00FB0540">
        <w:t xml:space="preserve"> </w:t>
      </w:r>
      <w:r w:rsidRPr="00ED31FA">
        <w:t>&amp; Development Laboratory</w:t>
      </w:r>
      <w:r w:rsidR="00DE341E">
        <w:t xml:space="preserve">, </w:t>
      </w:r>
    </w:p>
    <w:p w14:paraId="66D6306D" w14:textId="77777777" w:rsidR="00FB0540" w:rsidRDefault="00C86B47" w:rsidP="00854716">
      <w:r>
        <w:t>Milwaukee Institute for Drug Discovery</w:t>
      </w:r>
    </w:p>
    <w:p w14:paraId="7DD6A91C" w14:textId="308AF4AE" w:rsidR="00FB0540" w:rsidRDefault="00FB0540" w:rsidP="00854716">
      <w:r>
        <w:t>University of Wisconsin-Milwaukee</w:t>
      </w:r>
    </w:p>
    <w:p w14:paraId="636F3119" w14:textId="0A512A73" w:rsidR="00854716" w:rsidRPr="00ED31FA" w:rsidRDefault="00854716" w:rsidP="00854716">
      <w:r w:rsidRPr="00ED31FA">
        <w:t>2000 E Kenwood Blvd</w:t>
      </w:r>
    </w:p>
    <w:p w14:paraId="3BBB69E5" w14:textId="77777777" w:rsidR="00854716" w:rsidRPr="00ED31FA" w:rsidRDefault="00854716" w:rsidP="00854716">
      <w:r w:rsidRPr="00ED31FA">
        <w:t>SBIR suite # 320</w:t>
      </w:r>
    </w:p>
    <w:p w14:paraId="1FDA508F" w14:textId="77777777" w:rsidR="00854716" w:rsidRPr="00ED31FA" w:rsidRDefault="00854716" w:rsidP="00854716">
      <w:r w:rsidRPr="00ED31FA">
        <w:t>Milwaukee, WI 53211</w:t>
      </w:r>
    </w:p>
    <w:p w14:paraId="155133AD" w14:textId="77777777" w:rsidR="00854716" w:rsidRPr="00ED31FA" w:rsidRDefault="00854716" w:rsidP="00854716">
      <w:hyperlink r:id="rId15" w:history="1">
        <w:r w:rsidRPr="00ED31FA">
          <w:rPr>
            <w:rStyle w:val="Hyperlink"/>
          </w:rPr>
          <w:t>aroy@simmaron.com</w:t>
        </w:r>
      </w:hyperlink>
    </w:p>
    <w:p w14:paraId="60D723A4" w14:textId="77777777" w:rsidR="00854716" w:rsidRPr="00ED31FA" w:rsidRDefault="00854716" w:rsidP="00854716">
      <w:pPr>
        <w:jc w:val="center"/>
        <w:sectPr w:rsidR="00854716" w:rsidRPr="00ED31FA" w:rsidSect="00854716">
          <w:type w:val="continuous"/>
          <w:pgSz w:w="12240" w:h="15840"/>
          <w:pgMar w:top="1440" w:right="1440" w:bottom="1440" w:left="1440" w:header="720" w:footer="720" w:gutter="0"/>
          <w:cols w:num="2" w:space="720"/>
          <w:docGrid w:linePitch="360"/>
        </w:sectPr>
      </w:pPr>
    </w:p>
    <w:p w14:paraId="53EA5BF8" w14:textId="139A81E9" w:rsidR="00854716" w:rsidRDefault="000A28CD" w:rsidP="000A28CD">
      <w:r>
        <w:t>Center for Complex Disease</w:t>
      </w:r>
      <w:r w:rsidR="00DC4CA0">
        <w:t>s</w:t>
      </w:r>
      <w:r w:rsidR="00A47834">
        <w:t>,</w:t>
      </w:r>
      <w:r w:rsidR="00DC4CA0">
        <w:t xml:space="preserve"> </w:t>
      </w:r>
      <w:r w:rsidR="00A47834">
        <w:t>CA</w:t>
      </w:r>
    </w:p>
    <w:p w14:paraId="6F0DF971" w14:textId="56389497" w:rsidR="00C20AC3" w:rsidRPr="00DC4CA0" w:rsidRDefault="00C20AC3">
      <w:r w:rsidRPr="00DC4CA0">
        <w:t>Center for Complex Disease</w:t>
      </w:r>
      <w:r w:rsidR="00DC4CA0" w:rsidRPr="00DC4CA0">
        <w:t>s</w:t>
      </w:r>
    </w:p>
    <w:p w14:paraId="379BF632" w14:textId="1DBB5EA6" w:rsidR="000A28CD" w:rsidRDefault="00C20AC3">
      <w:pPr>
        <w:rPr>
          <w:b/>
          <w:bCs/>
        </w:rPr>
      </w:pPr>
      <w:r w:rsidRPr="00DC4CA0">
        <w:t>Email:</w:t>
      </w:r>
      <w:r w:rsidR="00476959" w:rsidRPr="00DC4CA0">
        <w:t xml:space="preserve"> david@centerforcomplexdiseases.com</w:t>
      </w:r>
      <w:r w:rsidR="000A28CD">
        <w:rPr>
          <w:b/>
          <w:bCs/>
        </w:rPr>
        <w:br w:type="page"/>
      </w:r>
    </w:p>
    <w:p w14:paraId="3C7DC191" w14:textId="25A83F4B" w:rsidR="004E44CE" w:rsidRPr="00CA36F6" w:rsidRDefault="004E44CE">
      <w:pPr>
        <w:spacing w:after="160" w:line="278" w:lineRule="auto"/>
        <w:rPr>
          <w:b/>
          <w:bCs/>
        </w:rPr>
      </w:pPr>
      <w:r w:rsidRPr="00CA36F6">
        <w:rPr>
          <w:b/>
          <w:bCs/>
        </w:rPr>
        <w:lastRenderedPageBreak/>
        <w:t xml:space="preserve">Legends to </w:t>
      </w:r>
      <w:r w:rsidR="005959E3" w:rsidRPr="00CA36F6">
        <w:rPr>
          <w:b/>
          <w:bCs/>
        </w:rPr>
        <w:t xml:space="preserve">Supplementary </w:t>
      </w:r>
      <w:r w:rsidRPr="00CA36F6">
        <w:rPr>
          <w:b/>
          <w:bCs/>
        </w:rPr>
        <w:t>Figures:</w:t>
      </w:r>
    </w:p>
    <w:p w14:paraId="6909219F" w14:textId="2B308DC2" w:rsidR="004E44CE" w:rsidRDefault="002F5F4D" w:rsidP="004E44CE">
      <w:pPr>
        <w:spacing w:after="160"/>
        <w:jc w:val="both"/>
      </w:pPr>
      <w:r>
        <w:rPr>
          <w:b/>
          <w:bCs/>
        </w:rPr>
        <w:t xml:space="preserve">Supplement </w:t>
      </w:r>
      <w:r w:rsidR="004E44CE" w:rsidRPr="004E44CE">
        <w:rPr>
          <w:b/>
          <w:bCs/>
        </w:rPr>
        <w:t>Figure 1. Low-dose rapamycin therapy schema and analysis of metabolic panel at different milestones of rapamycin treatment.</w:t>
      </w:r>
      <w:r w:rsidR="004E44CE" w:rsidRPr="004E44CE">
        <w:t xml:space="preserve"> (</w:t>
      </w:r>
      <w:r w:rsidR="004E44CE" w:rsidRPr="003E6071">
        <w:t>A</w:t>
      </w:r>
      <w:r w:rsidR="004E44CE" w:rsidRPr="004E44CE">
        <w:t xml:space="preserve">) A schema represents </w:t>
      </w:r>
      <w:proofErr w:type="gramStart"/>
      <w:r w:rsidR="000E6C24">
        <w:t>timepoints</w:t>
      </w:r>
      <w:proofErr w:type="gramEnd"/>
      <w:r w:rsidR="004E44CE" w:rsidRPr="004E44CE">
        <w:t xml:space="preserve"> (T) of </w:t>
      </w:r>
      <w:r w:rsidR="000E6C24">
        <w:t>r</w:t>
      </w:r>
      <w:r w:rsidR="000E6C24" w:rsidRPr="004E44CE">
        <w:t>apamycin</w:t>
      </w:r>
      <w:r w:rsidR="004E44CE" w:rsidRPr="004E44CE">
        <w:t xml:space="preserve"> treatment. T1 represents the first </w:t>
      </w:r>
      <w:r w:rsidR="000E6C24">
        <w:t>thirty-six (36)</w:t>
      </w:r>
      <w:r w:rsidR="004E44CE" w:rsidRPr="004E44CE">
        <w:t xml:space="preserve"> days of treatment with increasing doses of rapamycin starting from 1 (6 days)</w:t>
      </w:r>
      <w:r w:rsidR="000E6C24">
        <w:t xml:space="preserve"> </w:t>
      </w:r>
      <w:r w:rsidR="004E44CE" w:rsidRPr="004E44CE">
        <w:t>→ 2 (6 days) → 3 (6 days)</w:t>
      </w:r>
      <w:r w:rsidR="000E6C24">
        <w:t xml:space="preserve"> </w:t>
      </w:r>
      <w:r w:rsidR="004E44CE" w:rsidRPr="004E44CE">
        <w:t>→ 4 (6 days) → 5 (6 days)</w:t>
      </w:r>
      <w:r w:rsidR="000E6C24">
        <w:t xml:space="preserve"> </w:t>
      </w:r>
      <w:r w:rsidR="004E44CE" w:rsidRPr="004E44CE">
        <w:t xml:space="preserve">→ 6 mg (6 days). After ramping period, </w:t>
      </w:r>
      <w:r w:rsidR="000E6C24">
        <w:t>t</w:t>
      </w:r>
      <w:r w:rsidR="004E44CE" w:rsidRPr="004E44CE">
        <w:t xml:space="preserve">he treatment enters </w:t>
      </w:r>
      <w:r w:rsidR="000E6C24">
        <w:t>T2</w:t>
      </w:r>
      <w:r w:rsidR="004E44CE" w:rsidRPr="004E44CE">
        <w:t xml:space="preserve"> (60 days) phase with constant dosing of 6mg/week</w:t>
      </w:r>
      <w:r w:rsidR="000E6C24">
        <w:t>,</w:t>
      </w:r>
      <w:r w:rsidR="004E44CE" w:rsidRPr="004E44CE">
        <w:t xml:space="preserve"> then</w:t>
      </w:r>
      <w:r w:rsidR="000E6C24">
        <w:t>,</w:t>
      </w:r>
      <w:r w:rsidR="004E44CE" w:rsidRPr="004E44CE">
        <w:t xml:space="preserve"> finally, to T3 (90 days) phase. (</w:t>
      </w:r>
      <w:r w:rsidR="004E44CE" w:rsidRPr="004E44CE">
        <w:rPr>
          <w:b/>
          <w:bCs/>
        </w:rPr>
        <w:t>B</w:t>
      </w:r>
      <w:r w:rsidR="004E44CE" w:rsidRPr="004E44CE">
        <w:t xml:space="preserve">) The table itemized important documentation such as acquisitions of consent, detailed medical history, disease onset before the treatment began at BSL stage. Improvement of daily activity, fatigue, the overall quality of health, metabolic changes associated with lipid, sugar, and inflammatory </w:t>
      </w:r>
      <w:r w:rsidR="000E6C24">
        <w:t>metabolic processes</w:t>
      </w:r>
      <w:r w:rsidR="004E44CE" w:rsidRPr="004E44CE">
        <w:t xml:space="preserve"> were monitored at the end of each milestones. </w:t>
      </w:r>
    </w:p>
    <w:p w14:paraId="6DC95872" w14:textId="1C6E4E89" w:rsidR="004E44CE" w:rsidRDefault="002F5F4D" w:rsidP="00FD1D11">
      <w:pPr>
        <w:pStyle w:val="NormalWeb"/>
        <w:jc w:val="both"/>
        <w:rPr>
          <w:rFonts w:eastAsia="+mn-ea"/>
          <w:color w:val="000000"/>
          <w:kern w:val="24"/>
        </w:rPr>
      </w:pPr>
      <w:r>
        <w:rPr>
          <w:rFonts w:eastAsia="+mn-ea"/>
          <w:b/>
          <w:bCs/>
          <w:color w:val="000000"/>
          <w:kern w:val="24"/>
        </w:rPr>
        <w:t xml:space="preserve">Supplement </w:t>
      </w:r>
      <w:r w:rsidR="004E44CE" w:rsidRPr="00FD1D11">
        <w:rPr>
          <w:rFonts w:eastAsia="+mn-ea"/>
          <w:b/>
          <w:bCs/>
          <w:color w:val="000000"/>
          <w:kern w:val="24"/>
        </w:rPr>
        <w:t xml:space="preserve">Figure 2. A flow-chart for the participants. </w:t>
      </w:r>
      <w:r w:rsidR="004E44CE" w:rsidRPr="00FD1D11">
        <w:rPr>
          <w:rFonts w:eastAsia="+mn-ea"/>
          <w:color w:val="000000"/>
          <w:kern w:val="24"/>
        </w:rPr>
        <w:t>Response criteria was set based on the positive</w:t>
      </w:r>
      <w:r w:rsidR="000E6C24">
        <w:rPr>
          <w:rFonts w:eastAsia="+mn-ea"/>
          <w:color w:val="000000"/>
          <w:kern w:val="24"/>
        </w:rPr>
        <w:t xml:space="preserve">, </w:t>
      </w:r>
      <w:r w:rsidR="004E44CE" w:rsidRPr="00FD1D11">
        <w:rPr>
          <w:rFonts w:eastAsia="+mn-ea"/>
          <w:color w:val="000000"/>
          <w:kern w:val="24"/>
        </w:rPr>
        <w:t>no change</w:t>
      </w:r>
      <w:r w:rsidR="000E6C24">
        <w:rPr>
          <w:rFonts w:eastAsia="+mn-ea"/>
          <w:color w:val="000000"/>
          <w:kern w:val="24"/>
        </w:rPr>
        <w:t xml:space="preserve">, and/or </w:t>
      </w:r>
      <w:r w:rsidR="004E44CE" w:rsidRPr="00FD1D11">
        <w:rPr>
          <w:rFonts w:eastAsia="+mn-ea"/>
          <w:color w:val="000000"/>
          <w:kern w:val="24"/>
        </w:rPr>
        <w:t>negative reports of symptoms as reported on the SSS</w:t>
      </w:r>
      <w:r w:rsidR="000E6C24">
        <w:rPr>
          <w:rFonts w:eastAsia="+mn-ea"/>
          <w:color w:val="000000"/>
          <w:kern w:val="24"/>
        </w:rPr>
        <w:t>, MFI, and SF-36 inventories</w:t>
      </w:r>
      <w:r w:rsidR="004E44CE" w:rsidRPr="00FD1D11">
        <w:rPr>
          <w:rFonts w:eastAsia="+mn-ea"/>
          <w:color w:val="000000"/>
          <w:kern w:val="24"/>
        </w:rPr>
        <w:t>.  Twenty</w:t>
      </w:r>
      <w:r w:rsidR="000E6C24">
        <w:rPr>
          <w:rFonts w:eastAsia="+mn-ea"/>
          <w:color w:val="000000"/>
          <w:kern w:val="24"/>
        </w:rPr>
        <w:t xml:space="preserve"> (</w:t>
      </w:r>
      <w:r w:rsidR="0031115B">
        <w:rPr>
          <w:rFonts w:eastAsia="+mn-ea"/>
          <w:color w:val="000000"/>
          <w:kern w:val="24"/>
        </w:rPr>
        <w:t>17</w:t>
      </w:r>
      <w:r w:rsidR="000E6C24">
        <w:rPr>
          <w:rFonts w:eastAsia="+mn-ea"/>
          <w:color w:val="000000"/>
          <w:kern w:val="24"/>
        </w:rPr>
        <w:t>)</w:t>
      </w:r>
      <w:r w:rsidR="004E44CE" w:rsidRPr="00FD1D11">
        <w:rPr>
          <w:rFonts w:eastAsia="+mn-ea"/>
          <w:color w:val="000000"/>
          <w:kern w:val="24"/>
        </w:rPr>
        <w:t xml:space="preserve"> responders </w:t>
      </w:r>
      <w:r w:rsidR="00FD1D11" w:rsidRPr="00FD1D11">
        <w:rPr>
          <w:rFonts w:eastAsia="+mn-ea"/>
          <w:color w:val="000000"/>
          <w:kern w:val="24"/>
        </w:rPr>
        <w:t xml:space="preserve">reported positive changes in </w:t>
      </w:r>
      <w:r w:rsidR="000E6C24">
        <w:rPr>
          <w:rFonts w:eastAsia="+mn-ea"/>
          <w:color w:val="000000"/>
          <w:kern w:val="24"/>
        </w:rPr>
        <w:t>selected symptoms from the SSS, all domains of the MFI, and the PCS of the SF-36. Nine</w:t>
      </w:r>
      <w:r w:rsidR="004E44CE" w:rsidRPr="00FD1D11">
        <w:rPr>
          <w:rFonts w:eastAsia="+mn-ea"/>
          <w:color w:val="000000"/>
          <w:kern w:val="24"/>
        </w:rPr>
        <w:t xml:space="preserve"> </w:t>
      </w:r>
      <w:r w:rsidR="000E6C24">
        <w:rPr>
          <w:rFonts w:eastAsia="+mn-ea"/>
          <w:color w:val="000000"/>
          <w:kern w:val="24"/>
        </w:rPr>
        <w:t>(</w:t>
      </w:r>
      <w:r w:rsidR="0031115B">
        <w:rPr>
          <w:rFonts w:eastAsia="+mn-ea"/>
          <w:color w:val="000000"/>
          <w:kern w:val="24"/>
        </w:rPr>
        <w:t>18</w:t>
      </w:r>
      <w:r w:rsidR="000E6C24">
        <w:rPr>
          <w:rFonts w:eastAsia="+mn-ea"/>
          <w:color w:val="000000"/>
          <w:kern w:val="24"/>
        </w:rPr>
        <w:t>)</w:t>
      </w:r>
      <w:r w:rsidR="004E44CE" w:rsidRPr="00FD1D11">
        <w:rPr>
          <w:rFonts w:eastAsia="+mn-ea"/>
          <w:color w:val="000000"/>
          <w:kern w:val="24"/>
        </w:rPr>
        <w:t xml:space="preserve"> partial responders </w:t>
      </w:r>
      <w:r w:rsidR="00FD1D11" w:rsidRPr="00FD1D11">
        <w:rPr>
          <w:rFonts w:eastAsia="+mn-ea"/>
          <w:color w:val="000000"/>
          <w:kern w:val="24"/>
        </w:rPr>
        <w:t xml:space="preserve">reported positive changes </w:t>
      </w:r>
      <w:r w:rsidR="000E6C24">
        <w:rPr>
          <w:rFonts w:eastAsia="+mn-ea"/>
          <w:color w:val="000000"/>
          <w:kern w:val="24"/>
        </w:rPr>
        <w:t>in some SSS symptoms and either the MFI or SF-36</w:t>
      </w:r>
      <w:r w:rsidR="00FD1D11" w:rsidRPr="00FD1D11">
        <w:rPr>
          <w:rFonts w:eastAsia="+mn-ea"/>
          <w:color w:val="000000"/>
          <w:kern w:val="24"/>
        </w:rPr>
        <w:t>, whereas</w:t>
      </w:r>
      <w:r w:rsidR="004E44CE" w:rsidRPr="00FD1D11">
        <w:rPr>
          <w:rFonts w:eastAsia="+mn-ea"/>
          <w:color w:val="000000"/>
          <w:kern w:val="24"/>
        </w:rPr>
        <w:t xml:space="preserve"> </w:t>
      </w:r>
      <w:r w:rsidR="000E6C24">
        <w:rPr>
          <w:rFonts w:eastAsia="+mn-ea"/>
          <w:color w:val="000000"/>
          <w:kern w:val="24"/>
        </w:rPr>
        <w:t>eleven (</w:t>
      </w:r>
      <w:r w:rsidR="0031115B">
        <w:rPr>
          <w:rFonts w:eastAsia="+mn-ea"/>
          <w:color w:val="000000"/>
          <w:kern w:val="24"/>
        </w:rPr>
        <w:t>5</w:t>
      </w:r>
      <w:r w:rsidR="000E6C24">
        <w:rPr>
          <w:rFonts w:eastAsia="+mn-ea"/>
          <w:color w:val="000000"/>
          <w:kern w:val="24"/>
        </w:rPr>
        <w:t>)</w:t>
      </w:r>
      <w:r w:rsidR="004E44CE" w:rsidRPr="00FD1D11">
        <w:rPr>
          <w:rFonts w:eastAsia="+mn-ea"/>
          <w:color w:val="000000"/>
          <w:kern w:val="24"/>
        </w:rPr>
        <w:t xml:space="preserve"> non-responders </w:t>
      </w:r>
      <w:r w:rsidR="00FD1D11" w:rsidRPr="00FD1D11">
        <w:rPr>
          <w:rFonts w:eastAsia="+mn-ea"/>
          <w:color w:val="000000"/>
          <w:kern w:val="24"/>
        </w:rPr>
        <w:t>reported n</w:t>
      </w:r>
      <w:r w:rsidR="004E44CE" w:rsidRPr="00FD1D11">
        <w:rPr>
          <w:rFonts w:eastAsia="+mn-ea"/>
          <w:color w:val="000000"/>
          <w:kern w:val="24"/>
        </w:rPr>
        <w:t xml:space="preserve">o change/negative reports in the </w:t>
      </w:r>
      <w:r w:rsidR="000E6C24">
        <w:rPr>
          <w:rFonts w:eastAsia="+mn-ea"/>
          <w:color w:val="000000"/>
          <w:kern w:val="24"/>
        </w:rPr>
        <w:t>SSS symptoms, MFI aggregate score, and SF-36 PCS aggregate</w:t>
      </w:r>
      <w:r w:rsidR="004E44CE" w:rsidRPr="00FD1D11">
        <w:rPr>
          <w:rFonts w:eastAsia="+mn-ea"/>
          <w:color w:val="000000"/>
          <w:kern w:val="24"/>
        </w:rPr>
        <w:t xml:space="preserve">. </w:t>
      </w:r>
    </w:p>
    <w:p w14:paraId="7E7726A0" w14:textId="6F3D1CAE" w:rsidR="005959E3" w:rsidRDefault="005959E3" w:rsidP="00FD1D11">
      <w:pPr>
        <w:pStyle w:val="NormalWeb"/>
        <w:jc w:val="both"/>
        <w:rPr>
          <w:rFonts w:eastAsia="+mn-ea"/>
          <w:color w:val="000000"/>
          <w:kern w:val="24"/>
        </w:rPr>
      </w:pPr>
      <w:r w:rsidRPr="005959E3">
        <w:rPr>
          <w:rFonts w:eastAsia="+mn-ea"/>
          <w:b/>
          <w:bCs/>
          <w:color w:val="000000"/>
          <w:kern w:val="24"/>
        </w:rPr>
        <w:t>Supplementary Fig</w:t>
      </w:r>
      <w:r w:rsidR="003E6071">
        <w:rPr>
          <w:rFonts w:eastAsia="+mn-ea"/>
          <w:b/>
          <w:bCs/>
          <w:color w:val="000000"/>
          <w:kern w:val="24"/>
        </w:rPr>
        <w:t>ure</w:t>
      </w:r>
      <w:r w:rsidRPr="005959E3">
        <w:rPr>
          <w:rFonts w:eastAsia="+mn-ea"/>
          <w:b/>
          <w:bCs/>
          <w:color w:val="000000"/>
          <w:kern w:val="24"/>
        </w:rPr>
        <w:t xml:space="preserve"> 3. Development of </w:t>
      </w:r>
      <w:r w:rsidR="000E6C24">
        <w:rPr>
          <w:rFonts w:eastAsia="+mn-ea"/>
          <w:b/>
          <w:bCs/>
          <w:color w:val="000000"/>
          <w:kern w:val="24"/>
        </w:rPr>
        <w:t>pSer258ATG13</w:t>
      </w:r>
      <w:r w:rsidRPr="005959E3">
        <w:rPr>
          <w:rFonts w:eastAsia="+mn-ea"/>
          <w:b/>
          <w:bCs/>
          <w:color w:val="000000"/>
          <w:kern w:val="24"/>
        </w:rPr>
        <w:t xml:space="preserve"> ELISA.</w:t>
      </w:r>
      <w:r>
        <w:rPr>
          <w:rFonts w:eastAsia="+mn-ea"/>
          <w:color w:val="000000"/>
          <w:kern w:val="24"/>
        </w:rPr>
        <w:t xml:space="preserve"> (A) </w:t>
      </w:r>
      <w:r w:rsidR="00137C1A">
        <w:rPr>
          <w:rFonts w:eastAsia="+mn-ea"/>
          <w:color w:val="000000"/>
          <w:kern w:val="24"/>
        </w:rPr>
        <w:t xml:space="preserve">The </w:t>
      </w:r>
      <w:r w:rsidR="0086709B">
        <w:rPr>
          <w:rFonts w:eastAsia="+mn-ea"/>
          <w:color w:val="000000"/>
          <w:kern w:val="24"/>
        </w:rPr>
        <w:t>peptide</w:t>
      </w:r>
      <w:r w:rsidR="00137C1A">
        <w:rPr>
          <w:rFonts w:eastAsia="+mn-ea"/>
          <w:color w:val="000000"/>
          <w:kern w:val="24"/>
        </w:rPr>
        <w:t xml:space="preserve"> sequence </w:t>
      </w:r>
      <w:r w:rsidR="0086709B">
        <w:rPr>
          <w:rFonts w:eastAsia="+mn-ea"/>
          <w:color w:val="000000"/>
          <w:kern w:val="24"/>
        </w:rPr>
        <w:t xml:space="preserve">was </w:t>
      </w:r>
      <w:r w:rsidR="00137C1A">
        <w:rPr>
          <w:rFonts w:eastAsia="+mn-ea"/>
          <w:color w:val="000000"/>
          <w:kern w:val="24"/>
        </w:rPr>
        <w:t xml:space="preserve">used </w:t>
      </w:r>
      <w:r w:rsidR="00EE3172">
        <w:rPr>
          <w:rFonts w:eastAsia="+mn-ea"/>
          <w:color w:val="000000"/>
          <w:kern w:val="24"/>
        </w:rPr>
        <w:t xml:space="preserve">as a substrate antigen </w:t>
      </w:r>
      <w:r w:rsidR="00C05387">
        <w:rPr>
          <w:rFonts w:eastAsia="+mn-ea"/>
          <w:color w:val="000000"/>
          <w:kern w:val="24"/>
        </w:rPr>
        <w:t xml:space="preserve">to elicit </w:t>
      </w:r>
      <w:r w:rsidR="00EE3172">
        <w:rPr>
          <w:rFonts w:eastAsia="+mn-ea"/>
          <w:color w:val="000000"/>
          <w:kern w:val="24"/>
        </w:rPr>
        <w:t>immunogenic</w:t>
      </w:r>
      <w:r w:rsidR="00C05387">
        <w:rPr>
          <w:rFonts w:eastAsia="+mn-ea"/>
          <w:color w:val="000000"/>
          <w:kern w:val="24"/>
        </w:rPr>
        <w:t xml:space="preserve"> response in rabbit. Anti-sera</w:t>
      </w:r>
      <w:r w:rsidR="0086709B">
        <w:rPr>
          <w:rFonts w:eastAsia="+mn-ea"/>
          <w:color w:val="000000"/>
          <w:kern w:val="24"/>
        </w:rPr>
        <w:t xml:space="preserve"> were collected after 90 and 120 days of immunization</w:t>
      </w:r>
      <w:r w:rsidR="00EE3172">
        <w:rPr>
          <w:rFonts w:eastAsia="+mn-ea"/>
          <w:color w:val="000000"/>
          <w:kern w:val="24"/>
        </w:rPr>
        <w:t xml:space="preserve"> and then</w:t>
      </w:r>
      <w:r w:rsidR="0086709B">
        <w:rPr>
          <w:rFonts w:eastAsia="+mn-ea"/>
          <w:color w:val="000000"/>
          <w:kern w:val="24"/>
        </w:rPr>
        <w:t xml:space="preserve"> affinity purified</w:t>
      </w:r>
      <w:r w:rsidR="00EE3172">
        <w:rPr>
          <w:rFonts w:eastAsia="+mn-ea"/>
          <w:color w:val="000000"/>
          <w:kern w:val="24"/>
        </w:rPr>
        <w:t xml:space="preserve"> as per the protocol </w:t>
      </w:r>
      <w:r w:rsidR="00FC2E6F">
        <w:rPr>
          <w:rFonts w:eastAsia="+mn-ea"/>
          <w:color w:val="000000"/>
          <w:kern w:val="24"/>
        </w:rPr>
        <w:t>optimized by ThermoFisher Scientific</w:t>
      </w:r>
      <w:r w:rsidR="0086709B">
        <w:rPr>
          <w:rFonts w:eastAsia="+mn-ea"/>
          <w:color w:val="000000"/>
          <w:kern w:val="24"/>
        </w:rPr>
        <w:t xml:space="preserve">. (B) </w:t>
      </w:r>
      <w:r w:rsidR="00FC2E6F">
        <w:rPr>
          <w:rFonts w:eastAsia="+mn-ea"/>
          <w:color w:val="000000"/>
          <w:kern w:val="24"/>
        </w:rPr>
        <w:t xml:space="preserve">Dose and time optimization of signal intensity </w:t>
      </w:r>
      <w:r w:rsidR="00BF7C96">
        <w:rPr>
          <w:rFonts w:eastAsia="+mn-ea"/>
          <w:color w:val="000000"/>
          <w:kern w:val="24"/>
        </w:rPr>
        <w:t>were performed</w:t>
      </w:r>
      <w:r w:rsidR="00FC2E6F">
        <w:rPr>
          <w:rFonts w:eastAsia="+mn-ea"/>
          <w:color w:val="000000"/>
          <w:kern w:val="24"/>
        </w:rPr>
        <w:t xml:space="preserve"> </w:t>
      </w:r>
      <w:r w:rsidR="00BF7C96">
        <w:rPr>
          <w:rFonts w:eastAsia="+mn-ea"/>
          <w:color w:val="000000"/>
          <w:kern w:val="24"/>
        </w:rPr>
        <w:t xml:space="preserve">followed by the (C) derivation of standard curve. Results are </w:t>
      </w:r>
      <w:r w:rsidR="006D2B84">
        <w:rPr>
          <w:rFonts w:eastAsia="+mn-ea"/>
          <w:color w:val="000000"/>
          <w:kern w:val="24"/>
        </w:rPr>
        <w:t>mean</w:t>
      </w:r>
      <w:r w:rsidR="000E6C24">
        <w:rPr>
          <w:rFonts w:eastAsia="+mn-ea"/>
          <w:color w:val="000000"/>
          <w:kern w:val="24"/>
        </w:rPr>
        <w:t xml:space="preserve"> </w:t>
      </w:r>
      <w:r w:rsidR="006D2B84">
        <w:rPr>
          <w:rFonts w:eastAsia="+mn-ea"/>
          <w:color w:val="000000"/>
          <w:kern w:val="24"/>
        </w:rPr>
        <w:t>±</w:t>
      </w:r>
      <w:r w:rsidR="000E6C24">
        <w:rPr>
          <w:rFonts w:eastAsia="+mn-ea"/>
          <w:color w:val="000000"/>
          <w:kern w:val="24"/>
        </w:rPr>
        <w:t xml:space="preserve"> </w:t>
      </w:r>
      <w:r w:rsidR="006D2B84">
        <w:rPr>
          <w:rFonts w:eastAsia="+mn-ea"/>
          <w:color w:val="000000"/>
          <w:kern w:val="24"/>
        </w:rPr>
        <w:t>SD after 3 different experiments</w:t>
      </w:r>
      <w:r w:rsidR="000E6C24">
        <w:rPr>
          <w:rFonts w:eastAsia="+mn-ea"/>
          <w:color w:val="000000"/>
          <w:kern w:val="24"/>
        </w:rPr>
        <w:t>.</w:t>
      </w:r>
    </w:p>
    <w:p w14:paraId="2800B419" w14:textId="71B5D548" w:rsidR="004C2C6C" w:rsidRDefault="0045393F" w:rsidP="006254F9">
      <w:pPr>
        <w:pStyle w:val="NormalWeb"/>
        <w:jc w:val="both"/>
        <w:rPr>
          <w:rFonts w:eastAsia="+mn-ea"/>
          <w:color w:val="000000"/>
          <w:kern w:val="24"/>
        </w:rPr>
      </w:pPr>
      <w:r>
        <w:rPr>
          <w:rFonts w:eastAsia="+mn-ea"/>
          <w:b/>
          <w:bCs/>
          <w:color w:val="000000"/>
          <w:kern w:val="24"/>
        </w:rPr>
        <w:t xml:space="preserve">Supplement </w:t>
      </w:r>
      <w:r w:rsidR="004C2C6C">
        <w:rPr>
          <w:rFonts w:eastAsia="+mn-ea"/>
          <w:b/>
          <w:bCs/>
          <w:color w:val="000000"/>
          <w:kern w:val="24"/>
        </w:rPr>
        <w:t xml:space="preserve">Figure </w:t>
      </w:r>
      <w:r>
        <w:rPr>
          <w:rFonts w:eastAsia="+mn-ea"/>
          <w:b/>
          <w:bCs/>
          <w:color w:val="000000"/>
          <w:kern w:val="24"/>
        </w:rPr>
        <w:t>4</w:t>
      </w:r>
      <w:r w:rsidR="004C2C6C">
        <w:rPr>
          <w:rFonts w:eastAsia="+mn-ea"/>
          <w:b/>
          <w:bCs/>
          <w:color w:val="000000"/>
          <w:kern w:val="24"/>
        </w:rPr>
        <w:t xml:space="preserve">. </w:t>
      </w:r>
      <w:r w:rsidR="005B70C8">
        <w:rPr>
          <w:rFonts w:eastAsia="+mn-ea"/>
          <w:b/>
          <w:bCs/>
          <w:color w:val="000000"/>
          <w:kern w:val="24"/>
        </w:rPr>
        <w:t>Analysis of BECLIN-1 and p</w:t>
      </w:r>
      <w:r w:rsidR="000E6C24">
        <w:rPr>
          <w:rFonts w:eastAsia="+mn-ea"/>
          <w:b/>
          <w:bCs/>
          <w:color w:val="000000"/>
          <w:kern w:val="24"/>
        </w:rPr>
        <w:t>Ser258</w:t>
      </w:r>
      <w:r w:rsidR="005B70C8">
        <w:rPr>
          <w:rFonts w:eastAsia="+mn-ea"/>
          <w:b/>
          <w:bCs/>
          <w:color w:val="000000"/>
          <w:kern w:val="24"/>
        </w:rPr>
        <w:t xml:space="preserve">ATG13 in plasma samples of ME/CFS subjects </w:t>
      </w:r>
      <w:r w:rsidR="004C2C6C" w:rsidRPr="004C2C6C">
        <w:rPr>
          <w:rFonts w:eastAsia="+mn-ea"/>
          <w:b/>
          <w:bCs/>
          <w:color w:val="000000"/>
          <w:kern w:val="24"/>
        </w:rPr>
        <w:t xml:space="preserve"> stratified by responder status. </w:t>
      </w:r>
      <w:r w:rsidR="000E6C24">
        <w:rPr>
          <w:rFonts w:eastAsia="+mn-ea"/>
          <w:b/>
          <w:bCs/>
          <w:color w:val="000000"/>
          <w:kern w:val="24"/>
        </w:rPr>
        <w:t xml:space="preserve">(A) </w:t>
      </w:r>
      <w:r w:rsidR="00C41B86">
        <w:rPr>
          <w:rFonts w:eastAsia="+mn-ea"/>
          <w:color w:val="000000"/>
          <w:kern w:val="24"/>
        </w:rPr>
        <w:t xml:space="preserve">The plasma level of BECLIN-1 was measured by ELISA and plotted in a log scale as a dotted bar chart for each milestone. Each bar was annotated with sample size underneath. (B) MFI aggregate vs BECLIN-1 curve relationship shown. (C) pSer258ATG13 ELISA was performed and plotted in a log scale as a dotted bar chart for each milestone. Each bar was annotated with sample size underneath. (D) MFI RA vs pSer258ATG13 curve relationship shown for each responder group. Spearman coefficients for (E) BECLIN-1 and (F) pSer258ATG13 for each questionnaire. A, C: </w:t>
      </w:r>
      <w:r w:rsidR="004C2C6C" w:rsidRPr="004C2C6C">
        <w:rPr>
          <w:rFonts w:eastAsia="+mn-ea"/>
          <w:color w:val="000000"/>
          <w:kern w:val="24"/>
        </w:rPr>
        <w:t xml:space="preserve">Comparisons are from a (A) two-way ANOVA or (C) stacked mixed-effects model. </w:t>
      </w:r>
      <w:r w:rsidR="004C2C6C" w:rsidRPr="00C41B86">
        <w:rPr>
          <w:rFonts w:eastAsia="+mn-ea"/>
          <w:i/>
          <w:iCs/>
          <w:color w:val="000000"/>
          <w:kern w:val="24"/>
          <w:vertAlign w:val="superscript"/>
        </w:rPr>
        <w:t>****</w:t>
      </w:r>
      <w:r w:rsidR="004C2C6C" w:rsidRPr="00C41B86">
        <w:rPr>
          <w:rFonts w:eastAsia="+mn-ea"/>
          <w:color w:val="000000"/>
          <w:kern w:val="24"/>
        </w:rPr>
        <w:t>:</w:t>
      </w:r>
      <w:r w:rsidR="004C2C6C" w:rsidRPr="004C2C6C">
        <w:rPr>
          <w:rFonts w:eastAsia="+mn-ea"/>
          <w:i/>
          <w:iCs/>
          <w:color w:val="000000"/>
          <w:kern w:val="24"/>
        </w:rPr>
        <w:t xml:space="preserve"> </w:t>
      </w:r>
      <w:r w:rsidR="004C2C6C" w:rsidRPr="00C41B86">
        <w:rPr>
          <w:rFonts w:eastAsia="+mn-ea"/>
          <w:i/>
          <w:iCs/>
          <w:color w:val="000000"/>
          <w:kern w:val="24"/>
        </w:rPr>
        <w:t>p</w:t>
      </w:r>
      <w:r w:rsidR="004C2C6C" w:rsidRPr="004C2C6C">
        <w:rPr>
          <w:rFonts w:eastAsia="+mn-ea"/>
          <w:color w:val="000000"/>
          <w:kern w:val="24"/>
        </w:rPr>
        <w:t xml:space="preserve"> &lt; 0.0001, </w:t>
      </w:r>
      <w:r w:rsidR="004C2C6C" w:rsidRPr="00C41B86">
        <w:rPr>
          <w:rFonts w:eastAsia="+mn-ea"/>
          <w:color w:val="000000"/>
          <w:kern w:val="24"/>
          <w:vertAlign w:val="superscript"/>
        </w:rPr>
        <w:t>***</w:t>
      </w:r>
      <w:r w:rsidR="004C2C6C" w:rsidRPr="004C2C6C">
        <w:rPr>
          <w:rFonts w:eastAsia="+mn-ea"/>
          <w:color w:val="000000"/>
          <w:kern w:val="24"/>
        </w:rPr>
        <w:t xml:space="preserve">: </w:t>
      </w:r>
      <w:r w:rsidR="004C2C6C" w:rsidRPr="00C41B86">
        <w:rPr>
          <w:rFonts w:eastAsia="+mn-ea"/>
          <w:i/>
          <w:iCs/>
          <w:color w:val="000000"/>
          <w:kern w:val="24"/>
        </w:rPr>
        <w:t>p</w:t>
      </w:r>
      <w:r w:rsidR="004C2C6C" w:rsidRPr="004C2C6C">
        <w:rPr>
          <w:rFonts w:eastAsia="+mn-ea"/>
          <w:color w:val="000000"/>
          <w:kern w:val="24"/>
        </w:rPr>
        <w:t xml:space="preserve"> &lt; 0.001, </w:t>
      </w:r>
      <w:r w:rsidR="004C2C6C" w:rsidRPr="00C41B86">
        <w:rPr>
          <w:rFonts w:eastAsia="+mn-ea"/>
          <w:color w:val="000000"/>
          <w:kern w:val="24"/>
          <w:vertAlign w:val="superscript"/>
        </w:rPr>
        <w:t>**</w:t>
      </w:r>
      <w:r w:rsidR="004C2C6C" w:rsidRPr="004C2C6C">
        <w:rPr>
          <w:rFonts w:eastAsia="+mn-ea"/>
          <w:color w:val="000000"/>
          <w:kern w:val="24"/>
        </w:rPr>
        <w:t>:</w:t>
      </w:r>
      <w:r w:rsidR="004C2C6C" w:rsidRPr="00C41B86">
        <w:rPr>
          <w:rFonts w:eastAsia="+mn-ea"/>
          <w:i/>
          <w:iCs/>
          <w:color w:val="000000"/>
          <w:kern w:val="24"/>
        </w:rPr>
        <w:t xml:space="preserve"> p</w:t>
      </w:r>
      <w:r w:rsidR="004C2C6C" w:rsidRPr="004C2C6C">
        <w:rPr>
          <w:rFonts w:eastAsia="+mn-ea"/>
          <w:color w:val="000000"/>
          <w:kern w:val="24"/>
        </w:rPr>
        <w:t xml:space="preserve"> &lt; 0.01, </w:t>
      </w:r>
      <w:r w:rsidR="004C2C6C" w:rsidRPr="00C41B86">
        <w:rPr>
          <w:rFonts w:eastAsia="+mn-ea"/>
          <w:color w:val="000000"/>
          <w:kern w:val="24"/>
          <w:vertAlign w:val="superscript"/>
        </w:rPr>
        <w:t>*</w:t>
      </w:r>
      <w:r w:rsidR="004C2C6C" w:rsidRPr="004C2C6C">
        <w:rPr>
          <w:rFonts w:eastAsia="+mn-ea"/>
          <w:color w:val="000000"/>
          <w:kern w:val="24"/>
        </w:rPr>
        <w:t xml:space="preserve">: </w:t>
      </w:r>
      <w:r w:rsidR="004C2C6C" w:rsidRPr="00C41B86">
        <w:rPr>
          <w:rFonts w:eastAsia="+mn-ea"/>
          <w:i/>
          <w:iCs/>
          <w:color w:val="000000"/>
          <w:kern w:val="24"/>
        </w:rPr>
        <w:t>p</w:t>
      </w:r>
      <w:r w:rsidR="004C2C6C" w:rsidRPr="004C2C6C">
        <w:rPr>
          <w:rFonts w:eastAsia="+mn-ea"/>
          <w:color w:val="000000"/>
          <w:kern w:val="24"/>
        </w:rPr>
        <w:t xml:space="preserve"> &lt; 0.05. 95% CI unavailable because of insufficient number of Spearman pairs. Horizontal line = perfectly zero correlation between the groups.</w:t>
      </w:r>
    </w:p>
    <w:p w14:paraId="4C6E3A39" w14:textId="2D031170" w:rsidR="006D2B84" w:rsidRDefault="006D2B84" w:rsidP="006254F9">
      <w:pPr>
        <w:pStyle w:val="NormalWeb"/>
        <w:jc w:val="both"/>
        <w:rPr>
          <w:rFonts w:eastAsia="+mn-ea"/>
          <w:color w:val="000000"/>
          <w:kern w:val="24"/>
        </w:rPr>
      </w:pPr>
      <w:r w:rsidRPr="00326F26">
        <w:rPr>
          <w:rFonts w:eastAsia="+mn-ea"/>
          <w:b/>
          <w:bCs/>
          <w:color w:val="000000"/>
          <w:kern w:val="24"/>
        </w:rPr>
        <w:t>Supplementary Figure</w:t>
      </w:r>
      <w:r w:rsidR="008F5034" w:rsidRPr="00326F26">
        <w:rPr>
          <w:rFonts w:eastAsia="+mn-ea"/>
          <w:b/>
          <w:bCs/>
          <w:color w:val="000000"/>
          <w:kern w:val="24"/>
        </w:rPr>
        <w:t xml:space="preserve"> 5.</w:t>
      </w:r>
      <w:r w:rsidR="00651552" w:rsidRPr="00326F26">
        <w:rPr>
          <w:rFonts w:eastAsia="+mn-ea"/>
          <w:b/>
          <w:bCs/>
          <w:color w:val="000000"/>
          <w:kern w:val="24"/>
        </w:rPr>
        <w:t xml:space="preserve"> The effect of r</w:t>
      </w:r>
      <w:r w:rsidR="00E32DD5" w:rsidRPr="00326F26">
        <w:rPr>
          <w:rFonts w:eastAsia="+mn-ea"/>
          <w:b/>
          <w:bCs/>
          <w:color w:val="000000"/>
          <w:kern w:val="24"/>
        </w:rPr>
        <w:t>apamycin on blood cell count in ME/CFS subjects.</w:t>
      </w:r>
      <w:r w:rsidR="00E32DD5">
        <w:rPr>
          <w:rFonts w:eastAsia="+mn-ea"/>
          <w:color w:val="000000"/>
          <w:kern w:val="24"/>
        </w:rPr>
        <w:t xml:space="preserve"> </w:t>
      </w:r>
      <w:r w:rsidR="00E94E3D">
        <w:rPr>
          <w:rFonts w:eastAsia="+mn-ea"/>
          <w:color w:val="000000"/>
          <w:kern w:val="24"/>
        </w:rPr>
        <w:t>Quantification</w:t>
      </w:r>
      <w:r w:rsidR="00326F26">
        <w:rPr>
          <w:rFonts w:eastAsia="+mn-ea"/>
          <w:color w:val="000000"/>
          <w:kern w:val="24"/>
        </w:rPr>
        <w:t>s</w:t>
      </w:r>
      <w:r w:rsidR="00E94E3D">
        <w:rPr>
          <w:rFonts w:eastAsia="+mn-ea"/>
          <w:color w:val="000000"/>
          <w:kern w:val="24"/>
        </w:rPr>
        <w:t xml:space="preserve"> of </w:t>
      </w:r>
      <w:r w:rsidR="00E32DD5">
        <w:rPr>
          <w:rFonts w:eastAsia="+mn-ea"/>
          <w:color w:val="000000"/>
          <w:kern w:val="24"/>
        </w:rPr>
        <w:t xml:space="preserve">(A) WBC </w:t>
      </w:r>
      <w:r w:rsidR="00FA58F7">
        <w:rPr>
          <w:rFonts w:eastAsia="+mn-ea"/>
          <w:color w:val="000000"/>
          <w:kern w:val="24"/>
        </w:rPr>
        <w:t>(10</w:t>
      </w:r>
      <w:r w:rsidR="00FA58F7" w:rsidRPr="00FA58F7">
        <w:rPr>
          <w:rFonts w:eastAsia="+mn-ea"/>
          <w:color w:val="000000"/>
          <w:kern w:val="24"/>
          <w:vertAlign w:val="superscript"/>
        </w:rPr>
        <w:t>3</w:t>
      </w:r>
      <w:r w:rsidR="00FA58F7">
        <w:rPr>
          <w:rFonts w:eastAsia="+mn-ea"/>
          <w:color w:val="000000"/>
          <w:kern w:val="24"/>
        </w:rPr>
        <w:t>/µL), (B)</w:t>
      </w:r>
      <w:r w:rsidR="0064126B">
        <w:rPr>
          <w:rFonts w:eastAsia="+mn-ea"/>
          <w:color w:val="000000"/>
          <w:kern w:val="24"/>
        </w:rPr>
        <w:t xml:space="preserve"> RBC (10</w:t>
      </w:r>
      <w:r w:rsidR="0064126B">
        <w:rPr>
          <w:rFonts w:eastAsia="+mn-ea"/>
          <w:color w:val="000000"/>
          <w:kern w:val="24"/>
          <w:vertAlign w:val="superscript"/>
        </w:rPr>
        <w:t>6</w:t>
      </w:r>
      <w:r w:rsidR="0064126B">
        <w:rPr>
          <w:rFonts w:eastAsia="+mn-ea"/>
          <w:color w:val="000000"/>
          <w:kern w:val="24"/>
        </w:rPr>
        <w:t>/µL), (C)</w:t>
      </w:r>
      <w:r w:rsidR="00F33AFB">
        <w:rPr>
          <w:rFonts w:eastAsia="+mn-ea"/>
          <w:color w:val="000000"/>
          <w:kern w:val="24"/>
        </w:rPr>
        <w:t xml:space="preserve"> hemoglobin (g/dL), (D) hematocrit (%), (E)</w:t>
      </w:r>
      <w:r w:rsidR="0029404B">
        <w:rPr>
          <w:rFonts w:eastAsia="+mn-ea"/>
          <w:color w:val="000000"/>
          <w:kern w:val="24"/>
        </w:rPr>
        <w:t xml:space="preserve"> platelet</w:t>
      </w:r>
      <w:r w:rsidR="00E94E3D">
        <w:rPr>
          <w:rFonts w:eastAsia="+mn-ea"/>
          <w:color w:val="000000"/>
          <w:kern w:val="24"/>
        </w:rPr>
        <w:t xml:space="preserve"> </w:t>
      </w:r>
      <w:r w:rsidR="0029404B">
        <w:rPr>
          <w:rFonts w:eastAsia="+mn-ea"/>
          <w:color w:val="000000"/>
          <w:kern w:val="24"/>
        </w:rPr>
        <w:t>(10</w:t>
      </w:r>
      <w:r w:rsidR="0029404B" w:rsidRPr="00FA58F7">
        <w:rPr>
          <w:rFonts w:eastAsia="+mn-ea"/>
          <w:color w:val="000000"/>
          <w:kern w:val="24"/>
          <w:vertAlign w:val="superscript"/>
        </w:rPr>
        <w:t>3</w:t>
      </w:r>
      <w:r w:rsidR="0029404B">
        <w:rPr>
          <w:rFonts w:eastAsia="+mn-ea"/>
          <w:color w:val="000000"/>
          <w:kern w:val="24"/>
        </w:rPr>
        <w:t>/µL), and (F)</w:t>
      </w:r>
      <w:r w:rsidR="00E94E3D">
        <w:rPr>
          <w:rFonts w:eastAsia="+mn-ea"/>
          <w:color w:val="000000"/>
          <w:kern w:val="24"/>
        </w:rPr>
        <w:t xml:space="preserve"> hemoglobin A1C (%) were performed in all subjects </w:t>
      </w:r>
      <w:r w:rsidR="00326F26">
        <w:rPr>
          <w:rFonts w:eastAsia="+mn-ea"/>
          <w:color w:val="000000"/>
          <w:kern w:val="24"/>
        </w:rPr>
        <w:t>at BSL, T1-T3 stages. No significant change was observed among different groups in any of these measurement criteria.</w:t>
      </w:r>
    </w:p>
    <w:p w14:paraId="3161FB7E" w14:textId="080CEFDD" w:rsidR="00CA36F6" w:rsidRDefault="008F5034" w:rsidP="00CA36F6">
      <w:pPr>
        <w:pStyle w:val="NormalWeb"/>
        <w:jc w:val="both"/>
        <w:rPr>
          <w:rFonts w:eastAsia="+mn-ea"/>
          <w:color w:val="000000"/>
          <w:kern w:val="24"/>
        </w:rPr>
      </w:pPr>
      <w:r w:rsidRPr="00326F26">
        <w:rPr>
          <w:rFonts w:eastAsia="+mn-ea"/>
          <w:b/>
          <w:bCs/>
          <w:color w:val="000000"/>
          <w:kern w:val="24"/>
        </w:rPr>
        <w:lastRenderedPageBreak/>
        <w:t xml:space="preserve">Supplementary Figure 6. </w:t>
      </w:r>
      <w:r w:rsidR="00E32DD5" w:rsidRPr="00326F26">
        <w:rPr>
          <w:rFonts w:eastAsia="+mn-ea"/>
          <w:b/>
          <w:bCs/>
          <w:color w:val="000000"/>
          <w:kern w:val="24"/>
        </w:rPr>
        <w:t>The effect of rapamycin on the metabolic status of ME/CFS subjects</w:t>
      </w:r>
      <w:r w:rsidR="00E32DD5" w:rsidRPr="00326F26">
        <w:rPr>
          <w:rFonts w:eastAsia="+mn-ea"/>
          <w:color w:val="000000"/>
          <w:kern w:val="24"/>
        </w:rPr>
        <w:t>.</w:t>
      </w:r>
      <w:r w:rsidR="00326F26" w:rsidRPr="00326F26">
        <w:rPr>
          <w:rFonts w:eastAsia="+mn-ea"/>
          <w:color w:val="000000"/>
          <w:kern w:val="24"/>
        </w:rPr>
        <w:t xml:space="preserve"> </w:t>
      </w:r>
      <w:r w:rsidR="00F600D9">
        <w:rPr>
          <w:rFonts w:eastAsia="+mn-ea"/>
          <w:color w:val="000000"/>
          <w:kern w:val="24"/>
        </w:rPr>
        <w:t>Glucose and lip</w:t>
      </w:r>
      <w:r w:rsidR="00CA36F6">
        <w:rPr>
          <w:rFonts w:eastAsia="+mn-ea"/>
          <w:color w:val="000000"/>
          <w:kern w:val="24"/>
        </w:rPr>
        <w:t>i</w:t>
      </w:r>
      <w:r w:rsidR="00F600D9">
        <w:rPr>
          <w:rFonts w:eastAsia="+mn-ea"/>
          <w:color w:val="000000"/>
          <w:kern w:val="24"/>
        </w:rPr>
        <w:t>d metabolic</w:t>
      </w:r>
      <w:r w:rsidR="008F1123">
        <w:rPr>
          <w:rFonts w:eastAsia="+mn-ea"/>
          <w:color w:val="000000"/>
          <w:kern w:val="24"/>
        </w:rPr>
        <w:t xml:space="preserve"> status of the cohort was evaluated </w:t>
      </w:r>
      <w:r w:rsidR="00326F26" w:rsidRPr="00326F26">
        <w:rPr>
          <w:rFonts w:eastAsia="+mn-ea"/>
          <w:color w:val="000000"/>
          <w:kern w:val="24"/>
        </w:rPr>
        <w:t xml:space="preserve"> by measuring (A)</w:t>
      </w:r>
      <w:r w:rsidR="00755D37">
        <w:rPr>
          <w:rFonts w:eastAsia="+mn-ea"/>
          <w:color w:val="000000"/>
          <w:kern w:val="24"/>
        </w:rPr>
        <w:t xml:space="preserve"> glucose </w:t>
      </w:r>
      <w:r w:rsidR="008B1C38">
        <w:rPr>
          <w:rFonts w:eastAsia="+mn-ea"/>
          <w:color w:val="000000"/>
          <w:kern w:val="24"/>
        </w:rPr>
        <w:t>(</w:t>
      </w:r>
      <w:r w:rsidR="00755D37">
        <w:rPr>
          <w:rFonts w:eastAsia="+mn-ea"/>
          <w:color w:val="000000"/>
          <w:kern w:val="24"/>
        </w:rPr>
        <w:t>mg/dL, (B) creatine (mg/L), (C)</w:t>
      </w:r>
      <w:r w:rsidR="008B1C38">
        <w:rPr>
          <w:rFonts w:eastAsia="+mn-ea"/>
          <w:color w:val="000000"/>
          <w:kern w:val="24"/>
        </w:rPr>
        <w:t xml:space="preserve"> triglyceride (mg/dl), (D) total cholesterol (mg/dL), (E)</w:t>
      </w:r>
      <w:r w:rsidR="00F600D9">
        <w:rPr>
          <w:rFonts w:eastAsia="+mn-ea"/>
          <w:color w:val="000000"/>
          <w:kern w:val="24"/>
        </w:rPr>
        <w:t xml:space="preserve"> HDL (mg/dL), and (F) LDL (mg/dL)</w:t>
      </w:r>
      <w:r w:rsidR="00CA36F6">
        <w:rPr>
          <w:rFonts w:eastAsia="+mn-ea"/>
          <w:color w:val="000000"/>
          <w:kern w:val="24"/>
        </w:rPr>
        <w:t xml:space="preserve"> at different stages of rapamycin treatment.</w:t>
      </w:r>
      <w:r w:rsidR="00CA36F6" w:rsidRPr="00CA36F6">
        <w:rPr>
          <w:rFonts w:eastAsia="+mn-ea"/>
          <w:color w:val="000000"/>
          <w:kern w:val="24"/>
        </w:rPr>
        <w:t xml:space="preserve"> </w:t>
      </w:r>
      <w:r w:rsidR="00CA36F6">
        <w:rPr>
          <w:rFonts w:eastAsia="+mn-ea"/>
          <w:color w:val="000000"/>
          <w:kern w:val="24"/>
        </w:rPr>
        <w:t>No significant change was observed among different groups in any of these measurement criteria.</w:t>
      </w:r>
    </w:p>
    <w:p w14:paraId="7AF0C0F4" w14:textId="53B6EB2E" w:rsidR="00643A29" w:rsidRDefault="00643A29" w:rsidP="00CA36F6">
      <w:pPr>
        <w:pStyle w:val="NormalWeb"/>
        <w:jc w:val="both"/>
        <w:rPr>
          <w:rFonts w:eastAsia="+mn-ea"/>
          <w:color w:val="000000"/>
          <w:kern w:val="24"/>
        </w:rPr>
      </w:pPr>
      <w:r>
        <w:rPr>
          <w:rFonts w:eastAsia="+mn-ea"/>
          <w:b/>
          <w:bCs/>
          <w:color w:val="000000"/>
          <w:kern w:val="24"/>
        </w:rPr>
        <w:t>Supplementary Figure 7. Sample tree from the random forest machine learning model.</w:t>
      </w:r>
      <w:r>
        <w:rPr>
          <w:rFonts w:eastAsia="+mn-ea"/>
          <w:color w:val="000000"/>
          <w:kern w:val="24"/>
        </w:rPr>
        <w:t xml:space="preserve"> Data were imputed using KNN with 2 nearest neighbors. Hyperparameter-tuned (optimal) parameters were used with </w:t>
      </w:r>
      <w:proofErr w:type="spellStart"/>
      <w:r>
        <w:rPr>
          <w:rFonts w:eastAsia="+mn-ea"/>
          <w:color w:val="000000"/>
          <w:kern w:val="24"/>
        </w:rPr>
        <w:t>max_depth</w:t>
      </w:r>
      <w:proofErr w:type="spellEnd"/>
      <w:r>
        <w:rPr>
          <w:rFonts w:eastAsia="+mn-ea"/>
          <w:color w:val="000000"/>
          <w:kern w:val="24"/>
        </w:rPr>
        <w:t xml:space="preserve"> = 3, </w:t>
      </w:r>
      <w:proofErr w:type="spellStart"/>
      <w:r w:rsidR="00364F7D">
        <w:rPr>
          <w:rFonts w:eastAsia="+mn-ea"/>
          <w:color w:val="000000"/>
          <w:kern w:val="24"/>
        </w:rPr>
        <w:t>max_features</w:t>
      </w:r>
      <w:proofErr w:type="spellEnd"/>
      <w:r w:rsidR="00364F7D">
        <w:rPr>
          <w:rFonts w:eastAsia="+mn-ea"/>
          <w:color w:val="000000"/>
          <w:kern w:val="24"/>
        </w:rPr>
        <w:t xml:space="preserve"> = sqrt, </w:t>
      </w:r>
      <w:proofErr w:type="spellStart"/>
      <w:r w:rsidR="00364F7D">
        <w:rPr>
          <w:rFonts w:eastAsia="+mn-ea"/>
          <w:color w:val="000000"/>
          <w:kern w:val="24"/>
        </w:rPr>
        <w:t>min_samples_leaf</w:t>
      </w:r>
      <w:proofErr w:type="spellEnd"/>
      <w:r w:rsidR="00364F7D">
        <w:rPr>
          <w:rFonts w:eastAsia="+mn-ea"/>
          <w:color w:val="000000"/>
          <w:kern w:val="24"/>
        </w:rPr>
        <w:t xml:space="preserve"> = 1, </w:t>
      </w:r>
      <w:proofErr w:type="spellStart"/>
      <w:r w:rsidR="00364F7D">
        <w:rPr>
          <w:rFonts w:eastAsia="+mn-ea"/>
          <w:color w:val="000000"/>
          <w:kern w:val="24"/>
        </w:rPr>
        <w:t>min_samples_split</w:t>
      </w:r>
      <w:proofErr w:type="spellEnd"/>
      <w:r w:rsidR="00364F7D">
        <w:rPr>
          <w:rFonts w:eastAsia="+mn-ea"/>
          <w:color w:val="000000"/>
          <w:kern w:val="24"/>
        </w:rPr>
        <w:t xml:space="preserve"> = 2, and </w:t>
      </w:r>
      <w:proofErr w:type="spellStart"/>
      <w:r w:rsidR="00364F7D">
        <w:rPr>
          <w:rFonts w:eastAsia="+mn-ea"/>
          <w:color w:val="000000"/>
          <w:kern w:val="24"/>
        </w:rPr>
        <w:t>n_estimators</w:t>
      </w:r>
      <w:proofErr w:type="spellEnd"/>
      <w:r w:rsidR="00364F7D">
        <w:rPr>
          <w:rFonts w:eastAsia="+mn-ea"/>
          <w:color w:val="000000"/>
          <w:kern w:val="24"/>
        </w:rPr>
        <w:t xml:space="preserve"> = 200.</w:t>
      </w:r>
    </w:p>
    <w:p w14:paraId="7C51885D" w14:textId="2CCA7D2A" w:rsidR="00364F7D" w:rsidRDefault="00364F7D" w:rsidP="00CA36F6">
      <w:pPr>
        <w:pStyle w:val="NormalWeb"/>
        <w:jc w:val="both"/>
        <w:rPr>
          <w:rFonts w:eastAsia="+mn-ea"/>
          <w:color w:val="000000"/>
          <w:kern w:val="24"/>
        </w:rPr>
      </w:pPr>
      <w:r>
        <w:rPr>
          <w:rFonts w:eastAsia="+mn-ea"/>
          <w:b/>
          <w:bCs/>
          <w:color w:val="000000"/>
          <w:kern w:val="24"/>
        </w:rPr>
        <w:t>Supplementary Figure 8. Confusion matrix shows high fidelity and accuracy for the responder subset.</w:t>
      </w:r>
      <w:r>
        <w:rPr>
          <w:rFonts w:eastAsia="+mn-ea"/>
          <w:color w:val="000000"/>
          <w:kern w:val="24"/>
        </w:rPr>
        <w:t xml:space="preserve"> </w:t>
      </w:r>
    </w:p>
    <w:p w14:paraId="3555006B" w14:textId="5A466788" w:rsidR="00364F7D" w:rsidRPr="00364F7D" w:rsidRDefault="00364F7D" w:rsidP="00CA36F6">
      <w:pPr>
        <w:pStyle w:val="NormalWeb"/>
        <w:jc w:val="both"/>
        <w:rPr>
          <w:rFonts w:eastAsia="+mn-ea"/>
          <w:color w:val="000000"/>
          <w:kern w:val="24"/>
        </w:rPr>
      </w:pPr>
      <w:r>
        <w:rPr>
          <w:rFonts w:eastAsia="+mn-ea"/>
          <w:b/>
          <w:bCs/>
          <w:color w:val="000000"/>
          <w:kern w:val="24"/>
        </w:rPr>
        <w:t>Supplementary Figure 9. AUC receiver operator curve (ROC) of each responder subset.</w:t>
      </w:r>
      <w:r>
        <w:rPr>
          <w:rFonts w:eastAsia="+mn-ea"/>
          <w:color w:val="000000"/>
          <w:kern w:val="24"/>
        </w:rPr>
        <w:t xml:space="preserve"> </w:t>
      </w:r>
    </w:p>
    <w:p w14:paraId="55479F3E" w14:textId="16F9CBD2" w:rsidR="008F5034" w:rsidRPr="00326F26" w:rsidRDefault="008F5034" w:rsidP="006254F9">
      <w:pPr>
        <w:pStyle w:val="NormalWeb"/>
        <w:jc w:val="both"/>
        <w:rPr>
          <w:rFonts w:eastAsia="+mn-ea"/>
          <w:color w:val="000000"/>
          <w:kern w:val="24"/>
        </w:rPr>
      </w:pPr>
    </w:p>
    <w:p w14:paraId="21D3F6CF" w14:textId="4C644BDB" w:rsidR="00046E77" w:rsidRPr="006938A2" w:rsidRDefault="00CA36F6" w:rsidP="006254F9">
      <w:pPr>
        <w:pStyle w:val="NormalWeb"/>
        <w:jc w:val="both"/>
        <w:rPr>
          <w:rFonts w:eastAsia="+mn-ea"/>
          <w:color w:val="000000"/>
          <w:kern w:val="24"/>
        </w:rPr>
      </w:pPr>
      <w:r>
        <w:rPr>
          <w:rFonts w:eastAsia="+mn-ea"/>
          <w:noProof/>
          <w:color w:val="000000"/>
          <w:kern w:val="24"/>
          <w14:ligatures w14:val="standardContextual"/>
        </w:rPr>
        <w:lastRenderedPageBreak/>
        <w:drawing>
          <wp:inline distT="0" distB="0" distL="0" distR="0" wp14:anchorId="3EBEF9FC" wp14:editId="46A7D84A">
            <wp:extent cx="5943600" cy="7138670"/>
            <wp:effectExtent l="0" t="0" r="0" b="5080"/>
            <wp:docPr id="1594329549" name="Picture 3" descr="A screenshot of a medical repo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329549" name="Picture 3" descr="A screenshot of a medical report&#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7138670"/>
                    </a:xfrm>
                    <a:prstGeom prst="rect">
                      <a:avLst/>
                    </a:prstGeom>
                  </pic:spPr>
                </pic:pic>
              </a:graphicData>
            </a:graphic>
          </wp:inline>
        </w:drawing>
      </w:r>
    </w:p>
    <w:p w14:paraId="236BA10A" w14:textId="572A362F" w:rsidR="00FD1D11" w:rsidRPr="00CA36F6" w:rsidRDefault="00CA36F6" w:rsidP="00FD1D11">
      <w:pPr>
        <w:pStyle w:val="NormalWeb"/>
        <w:jc w:val="both"/>
        <w:rPr>
          <w:rFonts w:eastAsia="+mn-ea"/>
          <w:b/>
          <w:bCs/>
          <w:color w:val="000000"/>
          <w:kern w:val="24"/>
          <w:u w:val="single"/>
        </w:rPr>
      </w:pPr>
      <w:r w:rsidRPr="00CA36F6">
        <w:rPr>
          <w:rFonts w:eastAsia="+mn-ea"/>
          <w:b/>
          <w:bCs/>
          <w:color w:val="000000"/>
          <w:kern w:val="24"/>
          <w:u w:val="single"/>
        </w:rPr>
        <w:t>Supplementary Fig. 1.</w:t>
      </w:r>
    </w:p>
    <w:p w14:paraId="6052F078" w14:textId="77777777" w:rsidR="004E44CE" w:rsidRPr="004E44CE" w:rsidRDefault="004E44CE" w:rsidP="004E44CE">
      <w:pPr>
        <w:pStyle w:val="NormalWeb"/>
        <w:rPr>
          <w:rFonts w:ascii="Arial" w:eastAsia="+mn-ea" w:hAnsi="Arial" w:cs="Arial"/>
          <w:color w:val="000000"/>
          <w:kern w:val="24"/>
          <w:sz w:val="22"/>
          <w:szCs w:val="22"/>
        </w:rPr>
      </w:pPr>
    </w:p>
    <w:p w14:paraId="68E00A87" w14:textId="77777777" w:rsidR="004E44CE" w:rsidRPr="004E44CE" w:rsidRDefault="004E44CE" w:rsidP="004E44CE">
      <w:pPr>
        <w:pStyle w:val="NormalWeb"/>
        <w:rPr>
          <w:rFonts w:ascii="Arial" w:eastAsia="+mn-ea" w:hAnsi="Arial" w:cs="Arial"/>
          <w:color w:val="000000"/>
          <w:kern w:val="24"/>
          <w:sz w:val="22"/>
          <w:szCs w:val="22"/>
        </w:rPr>
      </w:pPr>
      <w:r w:rsidRPr="004E44CE">
        <w:rPr>
          <w:rFonts w:ascii="Arial" w:eastAsia="+mn-ea" w:hAnsi="Arial" w:cs="Arial"/>
          <w:color w:val="000000"/>
          <w:kern w:val="24"/>
          <w:sz w:val="22"/>
          <w:szCs w:val="22"/>
        </w:rPr>
        <w:t xml:space="preserve"> </w:t>
      </w:r>
    </w:p>
    <w:p w14:paraId="6DBD7EF8" w14:textId="01310F36" w:rsidR="004E44CE" w:rsidRPr="004E44CE" w:rsidRDefault="004653EA" w:rsidP="070B878F">
      <w:r>
        <w:lastRenderedPageBreak/>
        <w:br w:type="page"/>
      </w:r>
    </w:p>
    <w:p w14:paraId="7600BC33" w14:textId="74B7E79B" w:rsidR="004E44CE" w:rsidRPr="004E44CE" w:rsidRDefault="004653EA" w:rsidP="004E44CE">
      <w:pPr>
        <w:pStyle w:val="NormalWeb"/>
        <w:rPr>
          <w:rFonts w:ascii="Arial" w:eastAsia="+mn-ea" w:hAnsi="Arial" w:cs="Arial"/>
          <w:color w:val="000000"/>
          <w:kern w:val="24"/>
          <w:sz w:val="22"/>
          <w:szCs w:val="22"/>
        </w:rPr>
      </w:pPr>
      <w:r>
        <w:rPr>
          <w:noProof/>
        </w:rPr>
        <w:lastRenderedPageBreak/>
        <w:drawing>
          <wp:inline distT="0" distB="0" distL="0" distR="0" wp14:anchorId="38956233" wp14:editId="7D494153">
            <wp:extent cx="5211935" cy="5730667"/>
            <wp:effectExtent l="0" t="0" r="0" b="0"/>
            <wp:docPr id="18515170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a:ext>
                      </a:extLst>
                    </a:blip>
                    <a:srcRect/>
                    <a:stretch>
                      <a:fillRect/>
                    </a:stretch>
                  </pic:blipFill>
                  <pic:spPr bwMode="auto">
                    <a:xfrm>
                      <a:off x="0" y="0"/>
                      <a:ext cx="5211935" cy="5730667"/>
                    </a:xfrm>
                    <a:prstGeom prst="rect">
                      <a:avLst/>
                    </a:prstGeom>
                    <a:noFill/>
                  </pic:spPr>
                </pic:pic>
              </a:graphicData>
            </a:graphic>
          </wp:inline>
        </w:drawing>
      </w:r>
    </w:p>
    <w:p w14:paraId="212A84A9" w14:textId="3213619D" w:rsidR="00D64BF2" w:rsidRPr="00C20AC3" w:rsidRDefault="00E31175" w:rsidP="00C20AC3">
      <w:pPr>
        <w:spacing w:after="160" w:line="278" w:lineRule="auto"/>
        <w:rPr>
          <w:b/>
          <w:bCs/>
          <w:u w:val="single"/>
        </w:rPr>
      </w:pPr>
      <w:r w:rsidRPr="00C20AC3">
        <w:rPr>
          <w:b/>
          <w:bCs/>
          <w:u w:val="single"/>
        </w:rPr>
        <w:br w:type="page"/>
      </w:r>
      <w:r w:rsidR="00C20AC3">
        <w:rPr>
          <w:b/>
          <w:bCs/>
          <w:noProof/>
          <w:u w:val="single"/>
          <w14:ligatures w14:val="standardContextual"/>
        </w:rPr>
        <w:lastRenderedPageBreak/>
        <w:drawing>
          <wp:anchor distT="0" distB="0" distL="114300" distR="114300" simplePos="0" relativeHeight="251658240" behindDoc="0" locked="0" layoutInCell="1" allowOverlap="1" wp14:anchorId="0BC68838" wp14:editId="039F84DB">
            <wp:simplePos x="0" y="0"/>
            <wp:positionH relativeFrom="margin">
              <wp:align>left</wp:align>
            </wp:positionH>
            <wp:positionV relativeFrom="paragraph">
              <wp:posOffset>111125</wp:posOffset>
            </wp:positionV>
            <wp:extent cx="6010440" cy="4531807"/>
            <wp:effectExtent l="0" t="0" r="0" b="2540"/>
            <wp:wrapSquare wrapText="bothSides"/>
            <wp:docPr id="1488937261" name="Picture 5" descr="A diagram of a rabb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937261" name="Picture 5" descr="A diagram of a rabbit&#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010440" cy="4531807"/>
                    </a:xfrm>
                    <a:prstGeom prst="rect">
                      <a:avLst/>
                    </a:prstGeom>
                  </pic:spPr>
                </pic:pic>
              </a:graphicData>
            </a:graphic>
          </wp:anchor>
        </w:drawing>
      </w:r>
      <w:r w:rsidR="00C20AC3" w:rsidRPr="00C20AC3">
        <w:rPr>
          <w:b/>
          <w:bCs/>
          <w:u w:val="single"/>
        </w:rPr>
        <w:t>Supplementary Fig.</w:t>
      </w:r>
      <w:r w:rsidR="00C20AC3">
        <w:rPr>
          <w:b/>
          <w:bCs/>
          <w:u w:val="single"/>
        </w:rPr>
        <w:t xml:space="preserve"> </w:t>
      </w:r>
      <w:r w:rsidR="00C20AC3" w:rsidRPr="00C20AC3">
        <w:rPr>
          <w:b/>
          <w:bCs/>
          <w:u w:val="single"/>
        </w:rPr>
        <w:t xml:space="preserve"> </w:t>
      </w:r>
      <w:r w:rsidR="00C20AC3">
        <w:rPr>
          <w:b/>
          <w:bCs/>
          <w:u w:val="single"/>
        </w:rPr>
        <w:t>3</w:t>
      </w:r>
      <w:r w:rsidR="00C20AC3" w:rsidRPr="00C20AC3">
        <w:rPr>
          <w:b/>
          <w:bCs/>
          <w:u w:val="single"/>
        </w:rPr>
        <w:t>.</w:t>
      </w:r>
    </w:p>
    <w:p w14:paraId="572487A1" w14:textId="77777777" w:rsidR="00C20AC3" w:rsidRDefault="00C20AC3">
      <w:pPr>
        <w:spacing w:after="160" w:line="278" w:lineRule="auto"/>
        <w:rPr>
          <w:rFonts w:eastAsiaTheme="minorHAnsi"/>
          <w:kern w:val="2"/>
          <w:lang w:eastAsia="en-US"/>
          <w14:ligatures w14:val="standardContextual"/>
        </w:rPr>
      </w:pPr>
      <w:r>
        <w:rPr>
          <w:rFonts w:eastAsiaTheme="minorHAnsi"/>
          <w:kern w:val="2"/>
          <w:lang w:eastAsia="en-US"/>
          <w14:ligatures w14:val="standardContextual"/>
        </w:rPr>
        <w:br w:type="page"/>
      </w:r>
    </w:p>
    <w:p w14:paraId="6075C1F9" w14:textId="482D9ED1" w:rsidR="000E6C24" w:rsidRPr="000E6C24" w:rsidRDefault="002214CD" w:rsidP="00A60ADC">
      <w:r>
        <w:rPr>
          <w:noProof/>
          <w14:ligatures w14:val="standardContextual"/>
        </w:rPr>
        <w:lastRenderedPageBreak/>
        <w:drawing>
          <wp:inline distT="0" distB="0" distL="0" distR="0" wp14:anchorId="19329E35" wp14:editId="1DC039EE">
            <wp:extent cx="5943600" cy="7691755"/>
            <wp:effectExtent l="0" t="0" r="0" b="4445"/>
            <wp:docPr id="2979765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976597" name="Picture 29797659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3444B9C2" w14:textId="26B09CA2" w:rsidR="00DA12F2" w:rsidRDefault="00C20AC3" w:rsidP="00A60ADC">
      <w:pPr>
        <w:rPr>
          <w:b/>
          <w:bCs/>
          <w:u w:val="single"/>
        </w:rPr>
      </w:pPr>
      <w:r w:rsidRPr="00C20AC3">
        <w:rPr>
          <w:b/>
          <w:bCs/>
          <w:u w:val="single"/>
        </w:rPr>
        <w:t xml:space="preserve">Supplementary Fig. </w:t>
      </w:r>
      <w:r>
        <w:rPr>
          <w:b/>
          <w:bCs/>
          <w:u w:val="single"/>
        </w:rPr>
        <w:t xml:space="preserve"> 4</w:t>
      </w:r>
      <w:r w:rsidRPr="00C20AC3">
        <w:rPr>
          <w:b/>
          <w:bCs/>
          <w:u w:val="single"/>
        </w:rPr>
        <w:t>.</w:t>
      </w:r>
      <w:r w:rsidR="0089525F">
        <w:rPr>
          <w:rFonts w:eastAsiaTheme="minorHAnsi"/>
          <w:kern w:val="2"/>
          <w:lang w:eastAsia="en-US"/>
          <w14:ligatures w14:val="standardContextual"/>
        </w:rPr>
        <w:fldChar w:fldCharType="begin"/>
      </w:r>
      <w:r w:rsidR="0089525F" w:rsidRPr="0045393F">
        <w:instrText xml:space="preserve"> ADDIN EN.REFLIST </w:instrText>
      </w:r>
      <w:r w:rsidR="0089525F">
        <w:rPr>
          <w:rFonts w:eastAsiaTheme="minorHAnsi"/>
          <w:kern w:val="2"/>
          <w:lang w:eastAsia="en-US"/>
          <w14:ligatures w14:val="standardContextual"/>
        </w:rPr>
        <w:fldChar w:fldCharType="separate"/>
      </w:r>
      <w:r w:rsidR="0089525F">
        <w:fldChar w:fldCharType="end"/>
      </w:r>
    </w:p>
    <w:p w14:paraId="6D206600" w14:textId="77777777" w:rsidR="00C20AC3" w:rsidRPr="00C20AC3" w:rsidRDefault="00C20AC3" w:rsidP="00C20AC3"/>
    <w:p w14:paraId="3B7545B3" w14:textId="0199BEF3" w:rsidR="00C20AC3" w:rsidRDefault="00C20AC3" w:rsidP="00C20AC3">
      <w:pPr>
        <w:tabs>
          <w:tab w:val="left" w:pos="2680"/>
        </w:tabs>
      </w:pPr>
      <w:r>
        <w:tab/>
      </w:r>
    </w:p>
    <w:p w14:paraId="2924BE00" w14:textId="23B422BE" w:rsidR="00C20AC3" w:rsidRDefault="000E6C24" w:rsidP="00C20AC3">
      <w:pPr>
        <w:spacing w:after="160" w:line="278" w:lineRule="auto"/>
        <w:rPr>
          <w:b/>
          <w:bCs/>
          <w:u w:val="single"/>
        </w:rPr>
      </w:pPr>
      <w:r w:rsidRPr="000E6C24">
        <w:rPr>
          <w:noProof/>
          <w14:ligatures w14:val="standardContextual"/>
        </w:rPr>
        <w:lastRenderedPageBreak/>
        <w:drawing>
          <wp:inline distT="0" distB="0" distL="0" distR="0" wp14:anchorId="50A5A5E5" wp14:editId="1A685A4F">
            <wp:extent cx="5943600" cy="7691755"/>
            <wp:effectExtent l="0" t="0" r="0" b="4445"/>
            <wp:docPr id="354912092" name="Picture 2" descr="A group of blue and green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912092" name="Picture 2" descr="A group of blue and green graphs&#10;&#10;AI-generated content may be incorrect."/>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r w:rsidR="00C20AC3" w:rsidRPr="00C20AC3">
        <w:rPr>
          <w:b/>
          <w:bCs/>
          <w:u w:val="single"/>
        </w:rPr>
        <w:t>Supplementary Fig. 5.</w:t>
      </w:r>
    </w:p>
    <w:p w14:paraId="4BF14BCD" w14:textId="77777777" w:rsidR="00C20AC3" w:rsidRDefault="00C20AC3">
      <w:pPr>
        <w:spacing w:after="160" w:line="278" w:lineRule="auto"/>
        <w:rPr>
          <w:b/>
          <w:bCs/>
          <w:u w:val="single"/>
        </w:rPr>
      </w:pPr>
      <w:r>
        <w:rPr>
          <w:b/>
          <w:bCs/>
          <w:u w:val="single"/>
        </w:rPr>
        <w:br w:type="page"/>
      </w:r>
    </w:p>
    <w:p w14:paraId="158783FB" w14:textId="25153A24" w:rsidR="000E6C24" w:rsidRDefault="000E6C24" w:rsidP="00C20AC3">
      <w:pPr>
        <w:spacing w:after="160" w:line="278" w:lineRule="auto"/>
        <w:rPr>
          <w:b/>
          <w:bCs/>
          <w:u w:val="single"/>
        </w:rPr>
      </w:pPr>
      <w:r w:rsidRPr="000E6C24">
        <w:rPr>
          <w:noProof/>
          <w14:ligatures w14:val="standardContextual"/>
        </w:rPr>
        <w:lastRenderedPageBreak/>
        <w:drawing>
          <wp:inline distT="0" distB="0" distL="0" distR="0" wp14:anchorId="3A644B99" wp14:editId="58003118">
            <wp:extent cx="5943600" cy="7691755"/>
            <wp:effectExtent l="0" t="0" r="0" b="4445"/>
            <wp:docPr id="1091418156"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418156" name="Picture 1" descr="A screenshot of a graph&#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6B63073A" w14:textId="4C6B8948" w:rsidR="00F75A84" w:rsidRDefault="00C20AC3" w:rsidP="00C20AC3">
      <w:pPr>
        <w:spacing w:after="160" w:line="278" w:lineRule="auto"/>
        <w:rPr>
          <w:b/>
          <w:bCs/>
          <w:u w:val="single"/>
        </w:rPr>
      </w:pPr>
      <w:r w:rsidRPr="00C20AC3">
        <w:rPr>
          <w:b/>
          <w:bCs/>
          <w:u w:val="single"/>
        </w:rPr>
        <w:t xml:space="preserve">Supplementary Fig. </w:t>
      </w:r>
      <w:r>
        <w:rPr>
          <w:b/>
          <w:bCs/>
          <w:u w:val="single"/>
        </w:rPr>
        <w:t>6</w:t>
      </w:r>
      <w:r w:rsidRPr="00C20AC3">
        <w:rPr>
          <w:b/>
          <w:bCs/>
          <w:u w:val="single"/>
        </w:rPr>
        <w:t>.</w:t>
      </w:r>
    </w:p>
    <w:p w14:paraId="4135EA55" w14:textId="13771E97" w:rsidR="00C20AC3" w:rsidRDefault="00F75A84" w:rsidP="00C20AC3">
      <w:pPr>
        <w:spacing w:after="160" w:line="278" w:lineRule="auto"/>
        <w:rPr>
          <w:b/>
          <w:bCs/>
          <w:u w:val="single"/>
        </w:rPr>
      </w:pPr>
      <w:r>
        <w:rPr>
          <w:b/>
          <w:bCs/>
          <w:u w:val="single"/>
        </w:rPr>
        <w:br w:type="page"/>
      </w:r>
      <w:r w:rsidRPr="00F75A84">
        <w:rPr>
          <w:noProof/>
        </w:rPr>
        <w:lastRenderedPageBreak/>
        <w:drawing>
          <wp:inline distT="0" distB="0" distL="0" distR="0" wp14:anchorId="5BDD462B" wp14:editId="04FBF829">
            <wp:extent cx="5943600" cy="7060565"/>
            <wp:effectExtent l="0" t="0" r="0" b="635"/>
            <wp:docPr id="11499026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902694" name=""/>
                    <pic:cNvPicPr/>
                  </pic:nvPicPr>
                  <pic:blipFill>
                    <a:blip r:embed="rId22"/>
                    <a:stretch>
                      <a:fillRect/>
                    </a:stretch>
                  </pic:blipFill>
                  <pic:spPr>
                    <a:xfrm>
                      <a:off x="0" y="0"/>
                      <a:ext cx="5943600" cy="7060565"/>
                    </a:xfrm>
                    <a:prstGeom prst="rect">
                      <a:avLst/>
                    </a:prstGeom>
                  </pic:spPr>
                </pic:pic>
              </a:graphicData>
            </a:graphic>
          </wp:inline>
        </w:drawing>
      </w:r>
    </w:p>
    <w:p w14:paraId="34674464" w14:textId="16FBBC53" w:rsidR="00F75A84" w:rsidRDefault="00F75A84" w:rsidP="00C20AC3">
      <w:pPr>
        <w:spacing w:after="160" w:line="278" w:lineRule="auto"/>
      </w:pPr>
      <w:r>
        <w:rPr>
          <w:b/>
          <w:bCs/>
          <w:u w:val="single"/>
        </w:rPr>
        <w:t>Supplementary Fig. 7.</w:t>
      </w:r>
    </w:p>
    <w:p w14:paraId="58BFFB97" w14:textId="5823AB31" w:rsidR="00F75A84" w:rsidRDefault="00F75A84">
      <w:pPr>
        <w:spacing w:after="160" w:line="278" w:lineRule="auto"/>
      </w:pPr>
      <w:r>
        <w:br w:type="page"/>
      </w:r>
    </w:p>
    <w:p w14:paraId="365A9CF9" w14:textId="4D44C044" w:rsidR="00F75A84" w:rsidRDefault="00F75A84" w:rsidP="00C20AC3">
      <w:pPr>
        <w:spacing w:after="160" w:line="278" w:lineRule="auto"/>
      </w:pPr>
      <w:r w:rsidRPr="00F75A84">
        <w:rPr>
          <w:noProof/>
        </w:rPr>
        <w:lastRenderedPageBreak/>
        <w:drawing>
          <wp:inline distT="0" distB="0" distL="0" distR="0" wp14:anchorId="6B0FB038" wp14:editId="09B0D89F">
            <wp:extent cx="5943600" cy="4304665"/>
            <wp:effectExtent l="0" t="0" r="0" b="635"/>
            <wp:docPr id="6584397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439760" name=""/>
                    <pic:cNvPicPr/>
                  </pic:nvPicPr>
                  <pic:blipFill>
                    <a:blip r:embed="rId23"/>
                    <a:stretch>
                      <a:fillRect/>
                    </a:stretch>
                  </pic:blipFill>
                  <pic:spPr>
                    <a:xfrm>
                      <a:off x="0" y="0"/>
                      <a:ext cx="5943600" cy="4304665"/>
                    </a:xfrm>
                    <a:prstGeom prst="rect">
                      <a:avLst/>
                    </a:prstGeom>
                  </pic:spPr>
                </pic:pic>
              </a:graphicData>
            </a:graphic>
          </wp:inline>
        </w:drawing>
      </w:r>
    </w:p>
    <w:p w14:paraId="0CED4EB2" w14:textId="6BDB53DA" w:rsidR="00F75A84" w:rsidRDefault="00F75A84" w:rsidP="00C20AC3">
      <w:pPr>
        <w:spacing w:after="160" w:line="278" w:lineRule="auto"/>
      </w:pPr>
      <w:r>
        <w:rPr>
          <w:b/>
          <w:bCs/>
          <w:u w:val="single"/>
        </w:rPr>
        <w:t>Supplementary Fig. 8.</w:t>
      </w:r>
    </w:p>
    <w:p w14:paraId="1DCCDA47" w14:textId="06E6FBA3" w:rsidR="00F75A84" w:rsidRDefault="00F75A84">
      <w:pPr>
        <w:spacing w:after="160" w:line="278" w:lineRule="auto"/>
      </w:pPr>
      <w:r>
        <w:br w:type="page"/>
      </w:r>
    </w:p>
    <w:p w14:paraId="66504C51" w14:textId="6E657EFB" w:rsidR="00F75A84" w:rsidRDefault="00F75A84" w:rsidP="00C20AC3">
      <w:pPr>
        <w:spacing w:after="160" w:line="278" w:lineRule="auto"/>
      </w:pPr>
      <w:r w:rsidRPr="00F75A84">
        <w:rPr>
          <w:noProof/>
        </w:rPr>
        <w:lastRenderedPageBreak/>
        <w:drawing>
          <wp:inline distT="0" distB="0" distL="0" distR="0" wp14:anchorId="46C55B4B" wp14:editId="02DC4922">
            <wp:extent cx="5943600" cy="3651885"/>
            <wp:effectExtent l="0" t="0" r="0" b="5715"/>
            <wp:docPr id="17188100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810089" name=""/>
                    <pic:cNvPicPr/>
                  </pic:nvPicPr>
                  <pic:blipFill>
                    <a:blip r:embed="rId24"/>
                    <a:stretch>
                      <a:fillRect/>
                    </a:stretch>
                  </pic:blipFill>
                  <pic:spPr>
                    <a:xfrm>
                      <a:off x="0" y="0"/>
                      <a:ext cx="5943600" cy="3651885"/>
                    </a:xfrm>
                    <a:prstGeom prst="rect">
                      <a:avLst/>
                    </a:prstGeom>
                  </pic:spPr>
                </pic:pic>
              </a:graphicData>
            </a:graphic>
          </wp:inline>
        </w:drawing>
      </w:r>
    </w:p>
    <w:p w14:paraId="6EC78DDB" w14:textId="5172C284" w:rsidR="00F75A84" w:rsidRPr="00F75A84" w:rsidRDefault="00F75A84" w:rsidP="00C20AC3">
      <w:pPr>
        <w:spacing w:after="160" w:line="278" w:lineRule="auto"/>
      </w:pPr>
      <w:r>
        <w:rPr>
          <w:b/>
          <w:bCs/>
          <w:u w:val="single"/>
        </w:rPr>
        <w:t>Supplementary Fig. 9.</w:t>
      </w:r>
    </w:p>
    <w:sectPr w:rsidR="00F75A84" w:rsidRPr="00F75A84" w:rsidSect="00854716">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58FE1" w14:textId="77777777" w:rsidR="009352B0" w:rsidRDefault="009352B0" w:rsidP="003C1D2D">
      <w:r>
        <w:separator/>
      </w:r>
    </w:p>
  </w:endnote>
  <w:endnote w:type="continuationSeparator" w:id="0">
    <w:p w14:paraId="5F7B496C" w14:textId="77777777" w:rsidR="009352B0" w:rsidRDefault="009352B0" w:rsidP="003C1D2D">
      <w:r>
        <w:continuationSeparator/>
      </w:r>
    </w:p>
  </w:endnote>
  <w:endnote w:type="continuationNotice" w:id="1">
    <w:p w14:paraId="39133005" w14:textId="77777777" w:rsidR="009352B0" w:rsidRDefault="009352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mn-e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869EC" w14:textId="77777777" w:rsidR="0078622D" w:rsidRDefault="007862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760E6" w14:textId="77777777" w:rsidR="0078622D" w:rsidRDefault="007862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51BA4" w14:textId="77777777" w:rsidR="0078622D" w:rsidRDefault="007862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BA5FD7" w14:textId="77777777" w:rsidR="009352B0" w:rsidRDefault="009352B0" w:rsidP="003C1D2D">
      <w:r>
        <w:separator/>
      </w:r>
    </w:p>
  </w:footnote>
  <w:footnote w:type="continuationSeparator" w:id="0">
    <w:p w14:paraId="637EA0AE" w14:textId="77777777" w:rsidR="009352B0" w:rsidRDefault="009352B0" w:rsidP="003C1D2D">
      <w:r>
        <w:continuationSeparator/>
      </w:r>
    </w:p>
  </w:footnote>
  <w:footnote w:type="continuationNotice" w:id="1">
    <w:p w14:paraId="3E140D8B" w14:textId="77777777" w:rsidR="009352B0" w:rsidRDefault="009352B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75829" w14:textId="77777777" w:rsidR="0078622D" w:rsidRDefault="007862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EDB57" w14:textId="00DD5306" w:rsidR="0078622D" w:rsidRDefault="0078622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DAEACE" w14:textId="77777777" w:rsidR="0078622D" w:rsidRDefault="007862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0B3536"/>
    <w:multiLevelType w:val="hybridMultilevel"/>
    <w:tmpl w:val="C9EAD2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829787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ell&lt;/Style&gt;&lt;LeftDelim&gt;{&lt;/LeftDelim&gt;&lt;RightDelim&gt;}&lt;/RightDelim&gt;&lt;FontName&gt;Times New Roman&lt;/FontName&gt;&lt;FontSize&gt;12&lt;/FontSize&gt;&lt;ReflistTitle&gt;&lt;style face=&quot;bold&quot;&gt;References&lt;/style&gt;&lt;/ReflistTitle&gt;&lt;StartingRefnum&gt;1&lt;/StartingRefnum&gt;&lt;FirstLineIndent&gt;0&lt;/FirstLineIndent&gt;&lt;HangingIndent&gt;72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item db-id=&quot;afr95tpwz2zwasea9agvtdp40spv2xe90a9f&quot;&gt;R01&lt;record-ids&gt;&lt;item&gt;46&lt;/item&gt;&lt;item&gt;48&lt;/item&gt;&lt;item&gt;50&lt;/item&gt;&lt;item&gt;51&lt;/item&gt;&lt;item&gt;52&lt;/item&gt;&lt;item&gt;53&lt;/item&gt;&lt;item&gt;56&lt;/item&gt;&lt;item&gt;57&lt;/item&gt;&lt;item&gt;58&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record-ids&gt;&lt;/item&gt;&lt;/Libraries&gt;"/>
    <w:docVar w:name="EN.UseJSCitationFormat" w:val="False"/>
  </w:docVars>
  <w:rsids>
    <w:rsidRoot w:val="00D40CE2"/>
    <w:rsid w:val="00006FB5"/>
    <w:rsid w:val="00007214"/>
    <w:rsid w:val="00012AE3"/>
    <w:rsid w:val="00013FC3"/>
    <w:rsid w:val="0003020F"/>
    <w:rsid w:val="00033511"/>
    <w:rsid w:val="00040C52"/>
    <w:rsid w:val="00042A16"/>
    <w:rsid w:val="00042BA0"/>
    <w:rsid w:val="000438A9"/>
    <w:rsid w:val="00046E77"/>
    <w:rsid w:val="000476AF"/>
    <w:rsid w:val="000511B0"/>
    <w:rsid w:val="000671E9"/>
    <w:rsid w:val="000677F3"/>
    <w:rsid w:val="000758F1"/>
    <w:rsid w:val="00076E3A"/>
    <w:rsid w:val="000816F5"/>
    <w:rsid w:val="00092B80"/>
    <w:rsid w:val="000A28CD"/>
    <w:rsid w:val="000A4746"/>
    <w:rsid w:val="000A6EC2"/>
    <w:rsid w:val="000A7BEF"/>
    <w:rsid w:val="000B7F79"/>
    <w:rsid w:val="000C001A"/>
    <w:rsid w:val="000C06B3"/>
    <w:rsid w:val="000C1477"/>
    <w:rsid w:val="000C25D1"/>
    <w:rsid w:val="000C26A7"/>
    <w:rsid w:val="000C3AAA"/>
    <w:rsid w:val="000C6476"/>
    <w:rsid w:val="000C6B01"/>
    <w:rsid w:val="000C7840"/>
    <w:rsid w:val="000D1E0E"/>
    <w:rsid w:val="000E1EE0"/>
    <w:rsid w:val="000E6C24"/>
    <w:rsid w:val="000E7185"/>
    <w:rsid w:val="000F0816"/>
    <w:rsid w:val="000F3BD9"/>
    <w:rsid w:val="000F7DF0"/>
    <w:rsid w:val="00103E3B"/>
    <w:rsid w:val="001049B8"/>
    <w:rsid w:val="00105EF3"/>
    <w:rsid w:val="00111FB0"/>
    <w:rsid w:val="00112E73"/>
    <w:rsid w:val="00112F0F"/>
    <w:rsid w:val="00115DC2"/>
    <w:rsid w:val="00116FEA"/>
    <w:rsid w:val="00120AC3"/>
    <w:rsid w:val="00125978"/>
    <w:rsid w:val="00131997"/>
    <w:rsid w:val="001350D3"/>
    <w:rsid w:val="00135954"/>
    <w:rsid w:val="00136303"/>
    <w:rsid w:val="00137C1A"/>
    <w:rsid w:val="00142B6D"/>
    <w:rsid w:val="00143177"/>
    <w:rsid w:val="00143C7B"/>
    <w:rsid w:val="00143D85"/>
    <w:rsid w:val="00144619"/>
    <w:rsid w:val="00144C5C"/>
    <w:rsid w:val="00151611"/>
    <w:rsid w:val="001521EC"/>
    <w:rsid w:val="00156FD6"/>
    <w:rsid w:val="00162F7D"/>
    <w:rsid w:val="0016346B"/>
    <w:rsid w:val="00164C73"/>
    <w:rsid w:val="001708D4"/>
    <w:rsid w:val="00170EF1"/>
    <w:rsid w:val="00172C4E"/>
    <w:rsid w:val="001736B9"/>
    <w:rsid w:val="0017383F"/>
    <w:rsid w:val="00173BF8"/>
    <w:rsid w:val="00174675"/>
    <w:rsid w:val="0017774F"/>
    <w:rsid w:val="0018057D"/>
    <w:rsid w:val="0018549D"/>
    <w:rsid w:val="001940FD"/>
    <w:rsid w:val="001958C5"/>
    <w:rsid w:val="00196FE5"/>
    <w:rsid w:val="001A0EC3"/>
    <w:rsid w:val="001A2E87"/>
    <w:rsid w:val="001A5760"/>
    <w:rsid w:val="001A6474"/>
    <w:rsid w:val="001A65AF"/>
    <w:rsid w:val="001B096E"/>
    <w:rsid w:val="001B4FE4"/>
    <w:rsid w:val="001B7D02"/>
    <w:rsid w:val="001C7ABC"/>
    <w:rsid w:val="001D3607"/>
    <w:rsid w:val="001D50FD"/>
    <w:rsid w:val="001D7308"/>
    <w:rsid w:val="001E08D1"/>
    <w:rsid w:val="001E336D"/>
    <w:rsid w:val="001E638E"/>
    <w:rsid w:val="001E6943"/>
    <w:rsid w:val="001E6F2C"/>
    <w:rsid w:val="001E744D"/>
    <w:rsid w:val="001F0BFD"/>
    <w:rsid w:val="00200A14"/>
    <w:rsid w:val="00201F64"/>
    <w:rsid w:val="002035C7"/>
    <w:rsid w:val="00203EDF"/>
    <w:rsid w:val="002042BE"/>
    <w:rsid w:val="00204A5D"/>
    <w:rsid w:val="00207DCD"/>
    <w:rsid w:val="002103BF"/>
    <w:rsid w:val="00210679"/>
    <w:rsid w:val="002113CE"/>
    <w:rsid w:val="0021234B"/>
    <w:rsid w:val="002176C9"/>
    <w:rsid w:val="002214CD"/>
    <w:rsid w:val="00225726"/>
    <w:rsid w:val="00234EA8"/>
    <w:rsid w:val="002419D3"/>
    <w:rsid w:val="00242856"/>
    <w:rsid w:val="002433E6"/>
    <w:rsid w:val="00253DFE"/>
    <w:rsid w:val="00255371"/>
    <w:rsid w:val="002625D5"/>
    <w:rsid w:val="00273583"/>
    <w:rsid w:val="00276F40"/>
    <w:rsid w:val="002817D1"/>
    <w:rsid w:val="002854C9"/>
    <w:rsid w:val="00287E8A"/>
    <w:rsid w:val="0029404B"/>
    <w:rsid w:val="002968A4"/>
    <w:rsid w:val="002B0DC3"/>
    <w:rsid w:val="002B70CA"/>
    <w:rsid w:val="002C035F"/>
    <w:rsid w:val="002C264E"/>
    <w:rsid w:val="002C3798"/>
    <w:rsid w:val="002C4D81"/>
    <w:rsid w:val="002D4130"/>
    <w:rsid w:val="002D511E"/>
    <w:rsid w:val="002D71F9"/>
    <w:rsid w:val="002D74DD"/>
    <w:rsid w:val="002E1806"/>
    <w:rsid w:val="002E2610"/>
    <w:rsid w:val="002E7B23"/>
    <w:rsid w:val="002F5F4D"/>
    <w:rsid w:val="002F6541"/>
    <w:rsid w:val="003035A4"/>
    <w:rsid w:val="00304A30"/>
    <w:rsid w:val="00304FF8"/>
    <w:rsid w:val="00306681"/>
    <w:rsid w:val="00307E33"/>
    <w:rsid w:val="00310DDA"/>
    <w:rsid w:val="003110BF"/>
    <w:rsid w:val="0031115B"/>
    <w:rsid w:val="0031550F"/>
    <w:rsid w:val="00316210"/>
    <w:rsid w:val="00316D91"/>
    <w:rsid w:val="00326F26"/>
    <w:rsid w:val="003271E4"/>
    <w:rsid w:val="00330D5E"/>
    <w:rsid w:val="00331385"/>
    <w:rsid w:val="00341EF6"/>
    <w:rsid w:val="00342016"/>
    <w:rsid w:val="00351194"/>
    <w:rsid w:val="003537DE"/>
    <w:rsid w:val="00354145"/>
    <w:rsid w:val="00354863"/>
    <w:rsid w:val="00357A86"/>
    <w:rsid w:val="00362FD8"/>
    <w:rsid w:val="00364F7D"/>
    <w:rsid w:val="003653A7"/>
    <w:rsid w:val="00372671"/>
    <w:rsid w:val="00373626"/>
    <w:rsid w:val="003748FF"/>
    <w:rsid w:val="00375B5E"/>
    <w:rsid w:val="00376F5B"/>
    <w:rsid w:val="00391199"/>
    <w:rsid w:val="0039329F"/>
    <w:rsid w:val="00395A73"/>
    <w:rsid w:val="003968AE"/>
    <w:rsid w:val="003A1A26"/>
    <w:rsid w:val="003A49CB"/>
    <w:rsid w:val="003A4BD5"/>
    <w:rsid w:val="003A510E"/>
    <w:rsid w:val="003B2250"/>
    <w:rsid w:val="003B3748"/>
    <w:rsid w:val="003C1D2D"/>
    <w:rsid w:val="003C5F8D"/>
    <w:rsid w:val="003C6BC9"/>
    <w:rsid w:val="003D0BC0"/>
    <w:rsid w:val="003D259A"/>
    <w:rsid w:val="003D3353"/>
    <w:rsid w:val="003D3743"/>
    <w:rsid w:val="003D40C4"/>
    <w:rsid w:val="003E6071"/>
    <w:rsid w:val="003E7472"/>
    <w:rsid w:val="003E760D"/>
    <w:rsid w:val="003F1559"/>
    <w:rsid w:val="003F66E8"/>
    <w:rsid w:val="003F7F22"/>
    <w:rsid w:val="00400F7C"/>
    <w:rsid w:val="00402696"/>
    <w:rsid w:val="0040308D"/>
    <w:rsid w:val="004037A8"/>
    <w:rsid w:val="00404597"/>
    <w:rsid w:val="004108E2"/>
    <w:rsid w:val="00417521"/>
    <w:rsid w:val="004214C1"/>
    <w:rsid w:val="0042204F"/>
    <w:rsid w:val="00426A32"/>
    <w:rsid w:val="004274FC"/>
    <w:rsid w:val="00431F68"/>
    <w:rsid w:val="00442B25"/>
    <w:rsid w:val="00446C79"/>
    <w:rsid w:val="00453166"/>
    <w:rsid w:val="0045375F"/>
    <w:rsid w:val="0045393F"/>
    <w:rsid w:val="004565B9"/>
    <w:rsid w:val="00460B8A"/>
    <w:rsid w:val="00460EAF"/>
    <w:rsid w:val="004640E4"/>
    <w:rsid w:val="004653EA"/>
    <w:rsid w:val="0046667D"/>
    <w:rsid w:val="004707F3"/>
    <w:rsid w:val="004716BC"/>
    <w:rsid w:val="00476959"/>
    <w:rsid w:val="00477B52"/>
    <w:rsid w:val="00481E9B"/>
    <w:rsid w:val="00482740"/>
    <w:rsid w:val="0049227B"/>
    <w:rsid w:val="00493B49"/>
    <w:rsid w:val="004951E3"/>
    <w:rsid w:val="004978DB"/>
    <w:rsid w:val="004A0ED8"/>
    <w:rsid w:val="004A319E"/>
    <w:rsid w:val="004A3A01"/>
    <w:rsid w:val="004A470E"/>
    <w:rsid w:val="004A590B"/>
    <w:rsid w:val="004B36F5"/>
    <w:rsid w:val="004B601C"/>
    <w:rsid w:val="004C2C6C"/>
    <w:rsid w:val="004D358F"/>
    <w:rsid w:val="004E3CA0"/>
    <w:rsid w:val="004E3D80"/>
    <w:rsid w:val="004E3FE3"/>
    <w:rsid w:val="004E44CE"/>
    <w:rsid w:val="004E4AA5"/>
    <w:rsid w:val="004E6A79"/>
    <w:rsid w:val="004F0195"/>
    <w:rsid w:val="004F1C06"/>
    <w:rsid w:val="004F7C7B"/>
    <w:rsid w:val="005107B0"/>
    <w:rsid w:val="00510B61"/>
    <w:rsid w:val="00517180"/>
    <w:rsid w:val="0052222F"/>
    <w:rsid w:val="005266C4"/>
    <w:rsid w:val="00526C73"/>
    <w:rsid w:val="00531060"/>
    <w:rsid w:val="005321F0"/>
    <w:rsid w:val="00533C17"/>
    <w:rsid w:val="00543C9D"/>
    <w:rsid w:val="0054412D"/>
    <w:rsid w:val="00545F57"/>
    <w:rsid w:val="00550054"/>
    <w:rsid w:val="00555137"/>
    <w:rsid w:val="0055683E"/>
    <w:rsid w:val="00564AF6"/>
    <w:rsid w:val="00565B69"/>
    <w:rsid w:val="005709B6"/>
    <w:rsid w:val="00573B70"/>
    <w:rsid w:val="005765A6"/>
    <w:rsid w:val="00581374"/>
    <w:rsid w:val="0058196E"/>
    <w:rsid w:val="00584BA2"/>
    <w:rsid w:val="0058795A"/>
    <w:rsid w:val="005959E3"/>
    <w:rsid w:val="005A620D"/>
    <w:rsid w:val="005B70C8"/>
    <w:rsid w:val="005B78AD"/>
    <w:rsid w:val="005C2359"/>
    <w:rsid w:val="005C5128"/>
    <w:rsid w:val="005D1444"/>
    <w:rsid w:val="005D1A8A"/>
    <w:rsid w:val="005D2D97"/>
    <w:rsid w:val="005D398E"/>
    <w:rsid w:val="005D4E02"/>
    <w:rsid w:val="005E1643"/>
    <w:rsid w:val="005F14A0"/>
    <w:rsid w:val="005F1AD6"/>
    <w:rsid w:val="005F371E"/>
    <w:rsid w:val="005F57C7"/>
    <w:rsid w:val="005F5984"/>
    <w:rsid w:val="0060068D"/>
    <w:rsid w:val="00612FFB"/>
    <w:rsid w:val="006152CE"/>
    <w:rsid w:val="006159A4"/>
    <w:rsid w:val="00615B0A"/>
    <w:rsid w:val="00615BBD"/>
    <w:rsid w:val="006254F9"/>
    <w:rsid w:val="00627B5F"/>
    <w:rsid w:val="00632A51"/>
    <w:rsid w:val="0063338F"/>
    <w:rsid w:val="00637787"/>
    <w:rsid w:val="0064126B"/>
    <w:rsid w:val="00643A29"/>
    <w:rsid w:val="006457F0"/>
    <w:rsid w:val="00647178"/>
    <w:rsid w:val="00647861"/>
    <w:rsid w:val="00647BEF"/>
    <w:rsid w:val="006507B1"/>
    <w:rsid w:val="00651552"/>
    <w:rsid w:val="0065367B"/>
    <w:rsid w:val="006536A9"/>
    <w:rsid w:val="00653DF6"/>
    <w:rsid w:val="00657575"/>
    <w:rsid w:val="006627FE"/>
    <w:rsid w:val="006721AD"/>
    <w:rsid w:val="00680B47"/>
    <w:rsid w:val="00683AF7"/>
    <w:rsid w:val="00683CE0"/>
    <w:rsid w:val="00684CE3"/>
    <w:rsid w:val="00685BAA"/>
    <w:rsid w:val="006906F4"/>
    <w:rsid w:val="00691B63"/>
    <w:rsid w:val="00692FE2"/>
    <w:rsid w:val="0069359C"/>
    <w:rsid w:val="006938A2"/>
    <w:rsid w:val="00694C6D"/>
    <w:rsid w:val="006A3A90"/>
    <w:rsid w:val="006A6861"/>
    <w:rsid w:val="006B0469"/>
    <w:rsid w:val="006B1C2A"/>
    <w:rsid w:val="006C34FA"/>
    <w:rsid w:val="006C6200"/>
    <w:rsid w:val="006C6A5D"/>
    <w:rsid w:val="006D21D4"/>
    <w:rsid w:val="006D2B84"/>
    <w:rsid w:val="006D2EFF"/>
    <w:rsid w:val="006D3F86"/>
    <w:rsid w:val="006E2896"/>
    <w:rsid w:val="00707E53"/>
    <w:rsid w:val="00712529"/>
    <w:rsid w:val="0071261A"/>
    <w:rsid w:val="007151BA"/>
    <w:rsid w:val="00717490"/>
    <w:rsid w:val="00717B08"/>
    <w:rsid w:val="00717CD6"/>
    <w:rsid w:val="00720D7F"/>
    <w:rsid w:val="007218EE"/>
    <w:rsid w:val="00721B95"/>
    <w:rsid w:val="0073100E"/>
    <w:rsid w:val="00731587"/>
    <w:rsid w:val="00732170"/>
    <w:rsid w:val="00735EFB"/>
    <w:rsid w:val="0073729F"/>
    <w:rsid w:val="007500C7"/>
    <w:rsid w:val="007531A3"/>
    <w:rsid w:val="007558DC"/>
    <w:rsid w:val="00755D37"/>
    <w:rsid w:val="00771F40"/>
    <w:rsid w:val="00776A5C"/>
    <w:rsid w:val="00780F65"/>
    <w:rsid w:val="0078622D"/>
    <w:rsid w:val="00787E35"/>
    <w:rsid w:val="00790D9E"/>
    <w:rsid w:val="0079216D"/>
    <w:rsid w:val="007A098F"/>
    <w:rsid w:val="007A3457"/>
    <w:rsid w:val="007A5BE1"/>
    <w:rsid w:val="007A5C68"/>
    <w:rsid w:val="007B0023"/>
    <w:rsid w:val="007B709B"/>
    <w:rsid w:val="007B7ABC"/>
    <w:rsid w:val="007B7BFA"/>
    <w:rsid w:val="007C3C87"/>
    <w:rsid w:val="007C4078"/>
    <w:rsid w:val="007C7135"/>
    <w:rsid w:val="007C7E58"/>
    <w:rsid w:val="007D276F"/>
    <w:rsid w:val="007D38F9"/>
    <w:rsid w:val="007D6503"/>
    <w:rsid w:val="007E0AC4"/>
    <w:rsid w:val="007E0C2E"/>
    <w:rsid w:val="007E52B0"/>
    <w:rsid w:val="007E72B1"/>
    <w:rsid w:val="007E7530"/>
    <w:rsid w:val="007F1120"/>
    <w:rsid w:val="007F24E8"/>
    <w:rsid w:val="007F364C"/>
    <w:rsid w:val="007F45CA"/>
    <w:rsid w:val="007F5923"/>
    <w:rsid w:val="0080195C"/>
    <w:rsid w:val="00803547"/>
    <w:rsid w:val="00805C35"/>
    <w:rsid w:val="00807037"/>
    <w:rsid w:val="00813A65"/>
    <w:rsid w:val="008165CE"/>
    <w:rsid w:val="00817249"/>
    <w:rsid w:val="0083006C"/>
    <w:rsid w:val="00833418"/>
    <w:rsid w:val="00833E8E"/>
    <w:rsid w:val="0083681B"/>
    <w:rsid w:val="00837ACE"/>
    <w:rsid w:val="0084016C"/>
    <w:rsid w:val="00843ABB"/>
    <w:rsid w:val="00844EEA"/>
    <w:rsid w:val="00847B1E"/>
    <w:rsid w:val="0085399A"/>
    <w:rsid w:val="00854716"/>
    <w:rsid w:val="008631B0"/>
    <w:rsid w:val="0086709B"/>
    <w:rsid w:val="0088040C"/>
    <w:rsid w:val="00886E4C"/>
    <w:rsid w:val="0089525F"/>
    <w:rsid w:val="00897292"/>
    <w:rsid w:val="00897AAF"/>
    <w:rsid w:val="008A0A74"/>
    <w:rsid w:val="008A6348"/>
    <w:rsid w:val="008B07D5"/>
    <w:rsid w:val="008B1C38"/>
    <w:rsid w:val="008B1CC2"/>
    <w:rsid w:val="008B5DCE"/>
    <w:rsid w:val="008C1A1B"/>
    <w:rsid w:val="008C20EF"/>
    <w:rsid w:val="008C42B9"/>
    <w:rsid w:val="008C70FA"/>
    <w:rsid w:val="008C76D1"/>
    <w:rsid w:val="008D1A99"/>
    <w:rsid w:val="008D1D89"/>
    <w:rsid w:val="008D5FA8"/>
    <w:rsid w:val="008D79C5"/>
    <w:rsid w:val="008E26EB"/>
    <w:rsid w:val="008E5BB1"/>
    <w:rsid w:val="008F1123"/>
    <w:rsid w:val="008F2E79"/>
    <w:rsid w:val="008F5034"/>
    <w:rsid w:val="008F659C"/>
    <w:rsid w:val="00906941"/>
    <w:rsid w:val="00911674"/>
    <w:rsid w:val="00912600"/>
    <w:rsid w:val="0091591B"/>
    <w:rsid w:val="00915BDF"/>
    <w:rsid w:val="00916C12"/>
    <w:rsid w:val="00922752"/>
    <w:rsid w:val="00922BBA"/>
    <w:rsid w:val="00922DF4"/>
    <w:rsid w:val="009233A0"/>
    <w:rsid w:val="00924D09"/>
    <w:rsid w:val="0092686E"/>
    <w:rsid w:val="009352B0"/>
    <w:rsid w:val="009427B8"/>
    <w:rsid w:val="009535E2"/>
    <w:rsid w:val="009574B8"/>
    <w:rsid w:val="00960F36"/>
    <w:rsid w:val="00961261"/>
    <w:rsid w:val="00962A19"/>
    <w:rsid w:val="009671F1"/>
    <w:rsid w:val="00974AAC"/>
    <w:rsid w:val="009767CA"/>
    <w:rsid w:val="00986108"/>
    <w:rsid w:val="00990517"/>
    <w:rsid w:val="00992D5F"/>
    <w:rsid w:val="0099547F"/>
    <w:rsid w:val="009A03E2"/>
    <w:rsid w:val="009A3EE6"/>
    <w:rsid w:val="009A72ED"/>
    <w:rsid w:val="009B109E"/>
    <w:rsid w:val="009B498A"/>
    <w:rsid w:val="009C3674"/>
    <w:rsid w:val="009D73FD"/>
    <w:rsid w:val="009E1F99"/>
    <w:rsid w:val="009E3867"/>
    <w:rsid w:val="009E4A31"/>
    <w:rsid w:val="009E5ECC"/>
    <w:rsid w:val="009F0A14"/>
    <w:rsid w:val="009F165C"/>
    <w:rsid w:val="00A0026E"/>
    <w:rsid w:val="00A01E95"/>
    <w:rsid w:val="00A113F9"/>
    <w:rsid w:val="00A12672"/>
    <w:rsid w:val="00A13630"/>
    <w:rsid w:val="00A15FF8"/>
    <w:rsid w:val="00A16AB8"/>
    <w:rsid w:val="00A231DF"/>
    <w:rsid w:val="00A26748"/>
    <w:rsid w:val="00A27A6F"/>
    <w:rsid w:val="00A35EFE"/>
    <w:rsid w:val="00A4037A"/>
    <w:rsid w:val="00A40A46"/>
    <w:rsid w:val="00A42E27"/>
    <w:rsid w:val="00A47834"/>
    <w:rsid w:val="00A52852"/>
    <w:rsid w:val="00A564CD"/>
    <w:rsid w:val="00A60ADC"/>
    <w:rsid w:val="00A619C3"/>
    <w:rsid w:val="00A61F5A"/>
    <w:rsid w:val="00A62287"/>
    <w:rsid w:val="00A62DA3"/>
    <w:rsid w:val="00A63CCF"/>
    <w:rsid w:val="00A70DA9"/>
    <w:rsid w:val="00A7243D"/>
    <w:rsid w:val="00A734DE"/>
    <w:rsid w:val="00A75FCD"/>
    <w:rsid w:val="00A77435"/>
    <w:rsid w:val="00A77C55"/>
    <w:rsid w:val="00A8368B"/>
    <w:rsid w:val="00A8548D"/>
    <w:rsid w:val="00AA3370"/>
    <w:rsid w:val="00AA375B"/>
    <w:rsid w:val="00AB39DA"/>
    <w:rsid w:val="00AB4ABD"/>
    <w:rsid w:val="00AB610F"/>
    <w:rsid w:val="00AC1FED"/>
    <w:rsid w:val="00AC5A91"/>
    <w:rsid w:val="00AD1139"/>
    <w:rsid w:val="00AD23BB"/>
    <w:rsid w:val="00AD6198"/>
    <w:rsid w:val="00AE12E2"/>
    <w:rsid w:val="00AF0040"/>
    <w:rsid w:val="00B02E8B"/>
    <w:rsid w:val="00B069CE"/>
    <w:rsid w:val="00B1025C"/>
    <w:rsid w:val="00B10C2C"/>
    <w:rsid w:val="00B12D0E"/>
    <w:rsid w:val="00B14563"/>
    <w:rsid w:val="00B214C9"/>
    <w:rsid w:val="00B23BE2"/>
    <w:rsid w:val="00B27B45"/>
    <w:rsid w:val="00B30564"/>
    <w:rsid w:val="00B345C9"/>
    <w:rsid w:val="00B3595B"/>
    <w:rsid w:val="00B409D8"/>
    <w:rsid w:val="00B45F8E"/>
    <w:rsid w:val="00B47406"/>
    <w:rsid w:val="00B5512A"/>
    <w:rsid w:val="00B55317"/>
    <w:rsid w:val="00B55643"/>
    <w:rsid w:val="00B561DC"/>
    <w:rsid w:val="00B570F2"/>
    <w:rsid w:val="00B60B91"/>
    <w:rsid w:val="00B777D4"/>
    <w:rsid w:val="00B777F0"/>
    <w:rsid w:val="00B8782C"/>
    <w:rsid w:val="00B91780"/>
    <w:rsid w:val="00B9343C"/>
    <w:rsid w:val="00B95FB6"/>
    <w:rsid w:val="00B960C4"/>
    <w:rsid w:val="00BA1330"/>
    <w:rsid w:val="00BA6AD6"/>
    <w:rsid w:val="00BA71F2"/>
    <w:rsid w:val="00BB0A11"/>
    <w:rsid w:val="00BB5449"/>
    <w:rsid w:val="00BB7380"/>
    <w:rsid w:val="00BC3AD8"/>
    <w:rsid w:val="00BC43E2"/>
    <w:rsid w:val="00BC4849"/>
    <w:rsid w:val="00BC4C6A"/>
    <w:rsid w:val="00BC51F4"/>
    <w:rsid w:val="00BC653A"/>
    <w:rsid w:val="00BD1921"/>
    <w:rsid w:val="00BD254E"/>
    <w:rsid w:val="00BD7CF8"/>
    <w:rsid w:val="00BE3C0E"/>
    <w:rsid w:val="00BF7C96"/>
    <w:rsid w:val="00C025D8"/>
    <w:rsid w:val="00C02F75"/>
    <w:rsid w:val="00C03A2D"/>
    <w:rsid w:val="00C03B00"/>
    <w:rsid w:val="00C05387"/>
    <w:rsid w:val="00C115CD"/>
    <w:rsid w:val="00C12CA4"/>
    <w:rsid w:val="00C145D9"/>
    <w:rsid w:val="00C156EC"/>
    <w:rsid w:val="00C20AC3"/>
    <w:rsid w:val="00C27370"/>
    <w:rsid w:val="00C3397B"/>
    <w:rsid w:val="00C34C44"/>
    <w:rsid w:val="00C36434"/>
    <w:rsid w:val="00C37490"/>
    <w:rsid w:val="00C41B86"/>
    <w:rsid w:val="00C43D05"/>
    <w:rsid w:val="00C55B5C"/>
    <w:rsid w:val="00C66D42"/>
    <w:rsid w:val="00C705DB"/>
    <w:rsid w:val="00C7093F"/>
    <w:rsid w:val="00C719D0"/>
    <w:rsid w:val="00C722FE"/>
    <w:rsid w:val="00C72711"/>
    <w:rsid w:val="00C8371E"/>
    <w:rsid w:val="00C8376B"/>
    <w:rsid w:val="00C85107"/>
    <w:rsid w:val="00C8575D"/>
    <w:rsid w:val="00C86B47"/>
    <w:rsid w:val="00C90874"/>
    <w:rsid w:val="00CA1BE0"/>
    <w:rsid w:val="00CA1C10"/>
    <w:rsid w:val="00CA36F6"/>
    <w:rsid w:val="00CA63E3"/>
    <w:rsid w:val="00CC05AB"/>
    <w:rsid w:val="00CC3A58"/>
    <w:rsid w:val="00CC4E19"/>
    <w:rsid w:val="00CC6FC2"/>
    <w:rsid w:val="00CD04CA"/>
    <w:rsid w:val="00CD07F7"/>
    <w:rsid w:val="00CD1845"/>
    <w:rsid w:val="00CD2C65"/>
    <w:rsid w:val="00CD41F2"/>
    <w:rsid w:val="00CE38CD"/>
    <w:rsid w:val="00CE78DC"/>
    <w:rsid w:val="00CF0CE0"/>
    <w:rsid w:val="00CF5755"/>
    <w:rsid w:val="00CF6C00"/>
    <w:rsid w:val="00D05188"/>
    <w:rsid w:val="00D20ED7"/>
    <w:rsid w:val="00D22217"/>
    <w:rsid w:val="00D23B9A"/>
    <w:rsid w:val="00D23C4B"/>
    <w:rsid w:val="00D25451"/>
    <w:rsid w:val="00D31676"/>
    <w:rsid w:val="00D40CE2"/>
    <w:rsid w:val="00D4180C"/>
    <w:rsid w:val="00D43303"/>
    <w:rsid w:val="00D43A94"/>
    <w:rsid w:val="00D43B95"/>
    <w:rsid w:val="00D45379"/>
    <w:rsid w:val="00D45AE3"/>
    <w:rsid w:val="00D5085D"/>
    <w:rsid w:val="00D51499"/>
    <w:rsid w:val="00D61A2D"/>
    <w:rsid w:val="00D64BF2"/>
    <w:rsid w:val="00D671A9"/>
    <w:rsid w:val="00D6754A"/>
    <w:rsid w:val="00D71D67"/>
    <w:rsid w:val="00D87A29"/>
    <w:rsid w:val="00D9141A"/>
    <w:rsid w:val="00D92E33"/>
    <w:rsid w:val="00D963B2"/>
    <w:rsid w:val="00D9791A"/>
    <w:rsid w:val="00DA12F2"/>
    <w:rsid w:val="00DB248A"/>
    <w:rsid w:val="00DB346E"/>
    <w:rsid w:val="00DB51D9"/>
    <w:rsid w:val="00DB7929"/>
    <w:rsid w:val="00DC1CE5"/>
    <w:rsid w:val="00DC49DA"/>
    <w:rsid w:val="00DC4CA0"/>
    <w:rsid w:val="00DC613A"/>
    <w:rsid w:val="00DC6473"/>
    <w:rsid w:val="00DD5885"/>
    <w:rsid w:val="00DD7235"/>
    <w:rsid w:val="00DD76FB"/>
    <w:rsid w:val="00DE0F0D"/>
    <w:rsid w:val="00DE2D87"/>
    <w:rsid w:val="00DE3246"/>
    <w:rsid w:val="00DE341E"/>
    <w:rsid w:val="00DE4644"/>
    <w:rsid w:val="00DE4FD0"/>
    <w:rsid w:val="00DF3BF4"/>
    <w:rsid w:val="00DF70DA"/>
    <w:rsid w:val="00E06AF3"/>
    <w:rsid w:val="00E07E4F"/>
    <w:rsid w:val="00E12B44"/>
    <w:rsid w:val="00E15DB2"/>
    <w:rsid w:val="00E27E67"/>
    <w:rsid w:val="00E30E40"/>
    <w:rsid w:val="00E31175"/>
    <w:rsid w:val="00E32020"/>
    <w:rsid w:val="00E32DD5"/>
    <w:rsid w:val="00E36AFB"/>
    <w:rsid w:val="00E37B53"/>
    <w:rsid w:val="00E462FA"/>
    <w:rsid w:val="00E50765"/>
    <w:rsid w:val="00E52606"/>
    <w:rsid w:val="00E55294"/>
    <w:rsid w:val="00E627A5"/>
    <w:rsid w:val="00E70246"/>
    <w:rsid w:val="00E71700"/>
    <w:rsid w:val="00E76C1A"/>
    <w:rsid w:val="00E82DB3"/>
    <w:rsid w:val="00E82EC4"/>
    <w:rsid w:val="00E8629F"/>
    <w:rsid w:val="00E93194"/>
    <w:rsid w:val="00E94E3D"/>
    <w:rsid w:val="00E950FB"/>
    <w:rsid w:val="00EA0270"/>
    <w:rsid w:val="00EA4179"/>
    <w:rsid w:val="00EB103E"/>
    <w:rsid w:val="00EB1234"/>
    <w:rsid w:val="00EB1FF8"/>
    <w:rsid w:val="00EB2BC0"/>
    <w:rsid w:val="00EB5C4A"/>
    <w:rsid w:val="00EB604F"/>
    <w:rsid w:val="00EC0DF8"/>
    <w:rsid w:val="00EC1F88"/>
    <w:rsid w:val="00EC34DD"/>
    <w:rsid w:val="00EC60ED"/>
    <w:rsid w:val="00ED31FA"/>
    <w:rsid w:val="00ED42AE"/>
    <w:rsid w:val="00ED590B"/>
    <w:rsid w:val="00EE2A2F"/>
    <w:rsid w:val="00EE3172"/>
    <w:rsid w:val="00EE6CB9"/>
    <w:rsid w:val="00EF3699"/>
    <w:rsid w:val="00EF406D"/>
    <w:rsid w:val="00EF55BD"/>
    <w:rsid w:val="00EF65A7"/>
    <w:rsid w:val="00F02900"/>
    <w:rsid w:val="00F030EA"/>
    <w:rsid w:val="00F034B9"/>
    <w:rsid w:val="00F04197"/>
    <w:rsid w:val="00F05BC6"/>
    <w:rsid w:val="00F21B72"/>
    <w:rsid w:val="00F22094"/>
    <w:rsid w:val="00F27FB9"/>
    <w:rsid w:val="00F33AFB"/>
    <w:rsid w:val="00F35409"/>
    <w:rsid w:val="00F36046"/>
    <w:rsid w:val="00F40E2D"/>
    <w:rsid w:val="00F428CC"/>
    <w:rsid w:val="00F43E27"/>
    <w:rsid w:val="00F52C23"/>
    <w:rsid w:val="00F52CB9"/>
    <w:rsid w:val="00F56A7B"/>
    <w:rsid w:val="00F575A6"/>
    <w:rsid w:val="00F600D9"/>
    <w:rsid w:val="00F62382"/>
    <w:rsid w:val="00F635E6"/>
    <w:rsid w:val="00F63774"/>
    <w:rsid w:val="00F64EFB"/>
    <w:rsid w:val="00F6632C"/>
    <w:rsid w:val="00F7227F"/>
    <w:rsid w:val="00F74692"/>
    <w:rsid w:val="00F75A84"/>
    <w:rsid w:val="00F81EE1"/>
    <w:rsid w:val="00F83225"/>
    <w:rsid w:val="00F83E1E"/>
    <w:rsid w:val="00F856A4"/>
    <w:rsid w:val="00F8602E"/>
    <w:rsid w:val="00F924E1"/>
    <w:rsid w:val="00F928BD"/>
    <w:rsid w:val="00F937D2"/>
    <w:rsid w:val="00FA58F7"/>
    <w:rsid w:val="00FB0540"/>
    <w:rsid w:val="00FB07FF"/>
    <w:rsid w:val="00FB1CE3"/>
    <w:rsid w:val="00FB4C41"/>
    <w:rsid w:val="00FC0613"/>
    <w:rsid w:val="00FC2D4F"/>
    <w:rsid w:val="00FC2E6F"/>
    <w:rsid w:val="00FC4A36"/>
    <w:rsid w:val="00FD0342"/>
    <w:rsid w:val="00FD11ED"/>
    <w:rsid w:val="00FD1D11"/>
    <w:rsid w:val="00FD548C"/>
    <w:rsid w:val="00FD7B20"/>
    <w:rsid w:val="00FE2B04"/>
    <w:rsid w:val="00FF1143"/>
    <w:rsid w:val="00FF1568"/>
    <w:rsid w:val="00FF1EAA"/>
    <w:rsid w:val="00FF3E52"/>
    <w:rsid w:val="070B878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28852C8"/>
  <w15:chartTrackingRefBased/>
  <w15:docId w15:val="{005076E9-7C4F-47E6-8092-880DD6E1B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2D97"/>
    <w:pPr>
      <w:spacing w:after="0" w:line="240" w:lineRule="auto"/>
    </w:pPr>
    <w:rPr>
      <w:rFonts w:ascii="Times New Roman" w:eastAsia="Times New Roman" w:hAnsi="Times New Roman" w:cs="Times New Roman"/>
      <w:kern w:val="0"/>
      <w:lang w:eastAsia="zh-TW"/>
      <w14:ligatures w14:val="none"/>
    </w:rPr>
  </w:style>
  <w:style w:type="paragraph" w:styleId="Heading1">
    <w:name w:val="heading 1"/>
    <w:basedOn w:val="Normal"/>
    <w:next w:val="Normal"/>
    <w:link w:val="Heading1Char"/>
    <w:uiPriority w:val="9"/>
    <w:qFormat/>
    <w:rsid w:val="00D40CE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D40CE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D40CE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D40CE2"/>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D40CE2"/>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D40CE2"/>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D40CE2"/>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D40CE2"/>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D40CE2"/>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0C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0C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0C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0C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0C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0C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0C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0C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0CE2"/>
    <w:rPr>
      <w:rFonts w:eastAsiaTheme="majorEastAsia" w:cstheme="majorBidi"/>
      <w:color w:val="272727" w:themeColor="text1" w:themeTint="D8"/>
    </w:rPr>
  </w:style>
  <w:style w:type="paragraph" w:styleId="Title">
    <w:name w:val="Title"/>
    <w:basedOn w:val="Normal"/>
    <w:next w:val="Normal"/>
    <w:link w:val="TitleChar"/>
    <w:uiPriority w:val="10"/>
    <w:qFormat/>
    <w:rsid w:val="00D40CE2"/>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D40C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0CE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D40C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0CE2"/>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D40CE2"/>
    <w:rPr>
      <w:i/>
      <w:iCs/>
      <w:color w:val="404040" w:themeColor="text1" w:themeTint="BF"/>
    </w:rPr>
  </w:style>
  <w:style w:type="paragraph" w:styleId="ListParagraph">
    <w:name w:val="List Paragraph"/>
    <w:basedOn w:val="Normal"/>
    <w:uiPriority w:val="34"/>
    <w:qFormat/>
    <w:rsid w:val="00D40CE2"/>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D40CE2"/>
    <w:rPr>
      <w:i/>
      <w:iCs/>
      <w:color w:val="0F4761" w:themeColor="accent1" w:themeShade="BF"/>
    </w:rPr>
  </w:style>
  <w:style w:type="paragraph" w:styleId="IntenseQuote">
    <w:name w:val="Intense Quote"/>
    <w:basedOn w:val="Normal"/>
    <w:next w:val="Normal"/>
    <w:link w:val="IntenseQuoteChar"/>
    <w:uiPriority w:val="30"/>
    <w:qFormat/>
    <w:rsid w:val="00D40CE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D40CE2"/>
    <w:rPr>
      <w:i/>
      <w:iCs/>
      <w:color w:val="0F4761" w:themeColor="accent1" w:themeShade="BF"/>
    </w:rPr>
  </w:style>
  <w:style w:type="character" w:styleId="IntenseReference">
    <w:name w:val="Intense Reference"/>
    <w:basedOn w:val="DefaultParagraphFont"/>
    <w:uiPriority w:val="32"/>
    <w:qFormat/>
    <w:rsid w:val="00D40CE2"/>
    <w:rPr>
      <w:b/>
      <w:bCs/>
      <w:smallCaps/>
      <w:color w:val="0F4761" w:themeColor="accent1" w:themeShade="BF"/>
      <w:spacing w:val="5"/>
    </w:rPr>
  </w:style>
  <w:style w:type="character" w:styleId="Hyperlink">
    <w:name w:val="Hyperlink"/>
    <w:basedOn w:val="DefaultParagraphFont"/>
    <w:uiPriority w:val="99"/>
    <w:unhideWhenUsed/>
    <w:rsid w:val="00357A86"/>
    <w:rPr>
      <w:color w:val="467886" w:themeColor="hyperlink"/>
      <w:u w:val="single"/>
    </w:rPr>
  </w:style>
  <w:style w:type="character" w:styleId="UnresolvedMention">
    <w:name w:val="Unresolved Mention"/>
    <w:basedOn w:val="DefaultParagraphFont"/>
    <w:uiPriority w:val="99"/>
    <w:semiHidden/>
    <w:unhideWhenUsed/>
    <w:rsid w:val="00357A86"/>
    <w:rPr>
      <w:color w:val="605E5C"/>
      <w:shd w:val="clear" w:color="auto" w:fill="E1DFDD"/>
    </w:rPr>
  </w:style>
  <w:style w:type="table" w:styleId="TableGrid">
    <w:name w:val="Table Grid"/>
    <w:basedOn w:val="TableNormal"/>
    <w:uiPriority w:val="39"/>
    <w:rsid w:val="00FC06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1Light">
    <w:name w:val="List Table 1 Light"/>
    <w:basedOn w:val="TableNormal"/>
    <w:uiPriority w:val="46"/>
    <w:rsid w:val="0079216D"/>
    <w:pPr>
      <w:spacing w:after="0" w:line="240" w:lineRule="auto"/>
    </w:pPr>
    <w:rPr>
      <w:rFonts w:eastAsiaTheme="minorEastAsia"/>
      <w:lang w:eastAsia="zh-TW"/>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
    <w:name w:val="List Table 2"/>
    <w:basedOn w:val="TableNormal"/>
    <w:uiPriority w:val="47"/>
    <w:rsid w:val="00FD0342"/>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
    <w:name w:val="Grid Table 2"/>
    <w:basedOn w:val="TableNormal"/>
    <w:uiPriority w:val="47"/>
    <w:rsid w:val="00FD0342"/>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3">
    <w:name w:val="Grid Table 3"/>
    <w:basedOn w:val="TableNormal"/>
    <w:uiPriority w:val="48"/>
    <w:rsid w:val="00FD034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PlainTable2">
    <w:name w:val="Plain Table 2"/>
    <w:basedOn w:val="TableNormal"/>
    <w:uiPriority w:val="42"/>
    <w:rsid w:val="00FD034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CommentReference">
    <w:name w:val="annotation reference"/>
    <w:basedOn w:val="DefaultParagraphFont"/>
    <w:uiPriority w:val="99"/>
    <w:semiHidden/>
    <w:unhideWhenUsed/>
    <w:rsid w:val="007500C7"/>
    <w:rPr>
      <w:sz w:val="16"/>
      <w:szCs w:val="16"/>
    </w:rPr>
  </w:style>
  <w:style w:type="paragraph" w:styleId="CommentText">
    <w:name w:val="annotation text"/>
    <w:basedOn w:val="Normal"/>
    <w:link w:val="CommentTextChar"/>
    <w:uiPriority w:val="99"/>
    <w:semiHidden/>
    <w:unhideWhenUsed/>
    <w:rsid w:val="007500C7"/>
    <w:pPr>
      <w:spacing w:after="160"/>
    </w:pPr>
    <w:rPr>
      <w:rFonts w:asciiTheme="minorHAnsi" w:eastAsiaTheme="minorHAnsi" w:hAnsiTheme="minorHAnsi" w:cstheme="minorBidi"/>
      <w:kern w:val="2"/>
      <w:sz w:val="20"/>
      <w:szCs w:val="20"/>
      <w:lang w:eastAsia="en-US"/>
      <w14:ligatures w14:val="standardContextual"/>
    </w:rPr>
  </w:style>
  <w:style w:type="character" w:customStyle="1" w:styleId="CommentTextChar">
    <w:name w:val="Comment Text Char"/>
    <w:basedOn w:val="DefaultParagraphFont"/>
    <w:link w:val="CommentText"/>
    <w:uiPriority w:val="99"/>
    <w:semiHidden/>
    <w:rsid w:val="007500C7"/>
    <w:rPr>
      <w:sz w:val="20"/>
      <w:szCs w:val="20"/>
    </w:rPr>
  </w:style>
  <w:style w:type="paragraph" w:styleId="CommentSubject">
    <w:name w:val="annotation subject"/>
    <w:basedOn w:val="CommentText"/>
    <w:next w:val="CommentText"/>
    <w:link w:val="CommentSubjectChar"/>
    <w:uiPriority w:val="99"/>
    <w:semiHidden/>
    <w:unhideWhenUsed/>
    <w:rsid w:val="007500C7"/>
    <w:rPr>
      <w:b/>
      <w:bCs/>
    </w:rPr>
  </w:style>
  <w:style w:type="character" w:customStyle="1" w:styleId="CommentSubjectChar">
    <w:name w:val="Comment Subject Char"/>
    <w:basedOn w:val="CommentTextChar"/>
    <w:link w:val="CommentSubject"/>
    <w:uiPriority w:val="99"/>
    <w:semiHidden/>
    <w:rsid w:val="007500C7"/>
    <w:rPr>
      <w:b/>
      <w:bCs/>
      <w:sz w:val="20"/>
      <w:szCs w:val="20"/>
    </w:rPr>
  </w:style>
  <w:style w:type="paragraph" w:customStyle="1" w:styleId="EndNoteBibliographyTitle">
    <w:name w:val="EndNote Bibliography Title"/>
    <w:basedOn w:val="Normal"/>
    <w:link w:val="EndNoteBibliographyTitleChar"/>
    <w:rsid w:val="0089525F"/>
    <w:pPr>
      <w:spacing w:line="278" w:lineRule="auto"/>
      <w:jc w:val="center"/>
    </w:pPr>
    <w:rPr>
      <w:rFonts w:eastAsiaTheme="minorHAnsi"/>
      <w:kern w:val="2"/>
      <w:lang w:eastAsia="en-US"/>
      <w14:ligatures w14:val="standardContextual"/>
    </w:rPr>
  </w:style>
  <w:style w:type="character" w:customStyle="1" w:styleId="EndNoteBibliographyTitleChar">
    <w:name w:val="EndNote Bibliography Title Char"/>
    <w:basedOn w:val="DefaultParagraphFont"/>
    <w:link w:val="EndNoteBibliographyTitle"/>
    <w:rsid w:val="0089525F"/>
    <w:rPr>
      <w:rFonts w:ascii="Times New Roman" w:hAnsi="Times New Roman" w:cs="Times New Roman"/>
    </w:rPr>
  </w:style>
  <w:style w:type="paragraph" w:customStyle="1" w:styleId="EndNoteBibliography">
    <w:name w:val="EndNote Bibliography"/>
    <w:basedOn w:val="Normal"/>
    <w:link w:val="EndNoteBibliographyChar"/>
    <w:rsid w:val="0089525F"/>
    <w:pPr>
      <w:spacing w:after="160" w:line="360" w:lineRule="auto"/>
    </w:pPr>
    <w:rPr>
      <w:rFonts w:eastAsiaTheme="minorHAnsi"/>
      <w:kern w:val="2"/>
      <w:lang w:eastAsia="en-US"/>
      <w14:ligatures w14:val="standardContextual"/>
    </w:rPr>
  </w:style>
  <w:style w:type="character" w:customStyle="1" w:styleId="EndNoteBibliographyChar">
    <w:name w:val="EndNote Bibliography Char"/>
    <w:basedOn w:val="DefaultParagraphFont"/>
    <w:link w:val="EndNoteBibliography"/>
    <w:rsid w:val="0089525F"/>
    <w:rPr>
      <w:rFonts w:ascii="Times New Roman" w:hAnsi="Times New Roman" w:cs="Times New Roman"/>
    </w:rPr>
  </w:style>
  <w:style w:type="table" w:styleId="ListTable1Light-Accent1">
    <w:name w:val="List Table 1 Light Accent 1"/>
    <w:basedOn w:val="TableNormal"/>
    <w:uiPriority w:val="46"/>
    <w:rsid w:val="00A52852"/>
    <w:pPr>
      <w:spacing w:after="0" w:line="240" w:lineRule="auto"/>
    </w:pPr>
    <w:tblPr>
      <w:tblStyleRowBandSize w:val="1"/>
      <w:tblStyleColBandSize w:val="1"/>
    </w:tblPr>
    <w:tblStylePr w:type="firstRow">
      <w:rPr>
        <w:b/>
        <w:bCs/>
      </w:rPr>
      <w:tblPr/>
      <w:tcPr>
        <w:tcBorders>
          <w:bottom w:val="single" w:sz="4" w:space="0" w:color="45B0E1" w:themeColor="accent1" w:themeTint="99"/>
        </w:tcBorders>
      </w:tcPr>
    </w:tblStylePr>
    <w:tblStylePr w:type="lastRow">
      <w:rPr>
        <w:b/>
        <w:bCs/>
      </w:rPr>
      <w:tblPr/>
      <w:tcPr>
        <w:tcBorders>
          <w:top w:val="sing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styleId="NormalWeb">
    <w:name w:val="Normal (Web)"/>
    <w:basedOn w:val="Normal"/>
    <w:uiPriority w:val="99"/>
    <w:semiHidden/>
    <w:unhideWhenUsed/>
    <w:rsid w:val="004E44CE"/>
    <w:pPr>
      <w:spacing w:before="100" w:beforeAutospacing="1" w:after="100" w:afterAutospacing="1"/>
    </w:pPr>
    <w:rPr>
      <w:lang w:eastAsia="en-US"/>
    </w:rPr>
  </w:style>
  <w:style w:type="paragraph" w:styleId="Header">
    <w:name w:val="header"/>
    <w:basedOn w:val="Normal"/>
    <w:link w:val="HeaderChar"/>
    <w:uiPriority w:val="99"/>
    <w:unhideWhenUsed/>
    <w:rsid w:val="003C1D2D"/>
    <w:pPr>
      <w:tabs>
        <w:tab w:val="center" w:pos="4680"/>
        <w:tab w:val="right" w:pos="9360"/>
      </w:tabs>
    </w:pPr>
  </w:style>
  <w:style w:type="character" w:customStyle="1" w:styleId="HeaderChar">
    <w:name w:val="Header Char"/>
    <w:basedOn w:val="DefaultParagraphFont"/>
    <w:link w:val="Header"/>
    <w:uiPriority w:val="99"/>
    <w:rsid w:val="003C1D2D"/>
    <w:rPr>
      <w:rFonts w:ascii="Times New Roman" w:eastAsia="Times New Roman" w:hAnsi="Times New Roman" w:cs="Times New Roman"/>
      <w:kern w:val="0"/>
      <w:lang w:eastAsia="zh-TW"/>
      <w14:ligatures w14:val="none"/>
    </w:rPr>
  </w:style>
  <w:style w:type="paragraph" w:styleId="Footer">
    <w:name w:val="footer"/>
    <w:basedOn w:val="Normal"/>
    <w:link w:val="FooterChar"/>
    <w:uiPriority w:val="99"/>
    <w:unhideWhenUsed/>
    <w:rsid w:val="003C1D2D"/>
    <w:pPr>
      <w:tabs>
        <w:tab w:val="center" w:pos="4680"/>
        <w:tab w:val="right" w:pos="9360"/>
      </w:tabs>
    </w:pPr>
  </w:style>
  <w:style w:type="character" w:customStyle="1" w:styleId="FooterChar">
    <w:name w:val="Footer Char"/>
    <w:basedOn w:val="DefaultParagraphFont"/>
    <w:link w:val="Footer"/>
    <w:uiPriority w:val="99"/>
    <w:rsid w:val="003C1D2D"/>
    <w:rPr>
      <w:rFonts w:ascii="Times New Roman" w:eastAsia="Times New Roman" w:hAnsi="Times New Roman" w:cs="Times New Roman"/>
      <w:kern w:val="0"/>
      <w:lang w:eastAsia="zh-TW"/>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149">
      <w:bodyDiv w:val="1"/>
      <w:marLeft w:val="0"/>
      <w:marRight w:val="0"/>
      <w:marTop w:val="0"/>
      <w:marBottom w:val="0"/>
      <w:divBdr>
        <w:top w:val="none" w:sz="0" w:space="0" w:color="auto"/>
        <w:left w:val="none" w:sz="0" w:space="0" w:color="auto"/>
        <w:bottom w:val="none" w:sz="0" w:space="0" w:color="auto"/>
        <w:right w:val="none" w:sz="0" w:space="0" w:color="auto"/>
      </w:divBdr>
    </w:div>
    <w:div w:id="161895041">
      <w:bodyDiv w:val="1"/>
      <w:marLeft w:val="0"/>
      <w:marRight w:val="0"/>
      <w:marTop w:val="0"/>
      <w:marBottom w:val="0"/>
      <w:divBdr>
        <w:top w:val="none" w:sz="0" w:space="0" w:color="auto"/>
        <w:left w:val="none" w:sz="0" w:space="0" w:color="auto"/>
        <w:bottom w:val="none" w:sz="0" w:space="0" w:color="auto"/>
        <w:right w:val="none" w:sz="0" w:space="0" w:color="auto"/>
      </w:divBdr>
    </w:div>
    <w:div w:id="198785831">
      <w:bodyDiv w:val="1"/>
      <w:marLeft w:val="0"/>
      <w:marRight w:val="0"/>
      <w:marTop w:val="0"/>
      <w:marBottom w:val="0"/>
      <w:divBdr>
        <w:top w:val="none" w:sz="0" w:space="0" w:color="auto"/>
        <w:left w:val="none" w:sz="0" w:space="0" w:color="auto"/>
        <w:bottom w:val="none" w:sz="0" w:space="0" w:color="auto"/>
        <w:right w:val="none" w:sz="0" w:space="0" w:color="auto"/>
      </w:divBdr>
    </w:div>
    <w:div w:id="267472106">
      <w:bodyDiv w:val="1"/>
      <w:marLeft w:val="0"/>
      <w:marRight w:val="0"/>
      <w:marTop w:val="0"/>
      <w:marBottom w:val="0"/>
      <w:divBdr>
        <w:top w:val="none" w:sz="0" w:space="0" w:color="auto"/>
        <w:left w:val="none" w:sz="0" w:space="0" w:color="auto"/>
        <w:bottom w:val="none" w:sz="0" w:space="0" w:color="auto"/>
        <w:right w:val="none" w:sz="0" w:space="0" w:color="auto"/>
      </w:divBdr>
    </w:div>
    <w:div w:id="331878669">
      <w:bodyDiv w:val="1"/>
      <w:marLeft w:val="0"/>
      <w:marRight w:val="0"/>
      <w:marTop w:val="0"/>
      <w:marBottom w:val="0"/>
      <w:divBdr>
        <w:top w:val="none" w:sz="0" w:space="0" w:color="auto"/>
        <w:left w:val="none" w:sz="0" w:space="0" w:color="auto"/>
        <w:bottom w:val="none" w:sz="0" w:space="0" w:color="auto"/>
        <w:right w:val="none" w:sz="0" w:space="0" w:color="auto"/>
      </w:divBdr>
    </w:div>
    <w:div w:id="376395378">
      <w:bodyDiv w:val="1"/>
      <w:marLeft w:val="0"/>
      <w:marRight w:val="0"/>
      <w:marTop w:val="0"/>
      <w:marBottom w:val="0"/>
      <w:divBdr>
        <w:top w:val="none" w:sz="0" w:space="0" w:color="auto"/>
        <w:left w:val="none" w:sz="0" w:space="0" w:color="auto"/>
        <w:bottom w:val="none" w:sz="0" w:space="0" w:color="auto"/>
        <w:right w:val="none" w:sz="0" w:space="0" w:color="auto"/>
      </w:divBdr>
    </w:div>
    <w:div w:id="646519024">
      <w:bodyDiv w:val="1"/>
      <w:marLeft w:val="0"/>
      <w:marRight w:val="0"/>
      <w:marTop w:val="0"/>
      <w:marBottom w:val="0"/>
      <w:divBdr>
        <w:top w:val="none" w:sz="0" w:space="0" w:color="auto"/>
        <w:left w:val="none" w:sz="0" w:space="0" w:color="auto"/>
        <w:bottom w:val="none" w:sz="0" w:space="0" w:color="auto"/>
        <w:right w:val="none" w:sz="0" w:space="0" w:color="auto"/>
      </w:divBdr>
    </w:div>
    <w:div w:id="689602158">
      <w:bodyDiv w:val="1"/>
      <w:marLeft w:val="0"/>
      <w:marRight w:val="0"/>
      <w:marTop w:val="0"/>
      <w:marBottom w:val="0"/>
      <w:divBdr>
        <w:top w:val="none" w:sz="0" w:space="0" w:color="auto"/>
        <w:left w:val="none" w:sz="0" w:space="0" w:color="auto"/>
        <w:bottom w:val="none" w:sz="0" w:space="0" w:color="auto"/>
        <w:right w:val="none" w:sz="0" w:space="0" w:color="auto"/>
      </w:divBdr>
      <w:divsChild>
        <w:div w:id="503858225">
          <w:blockQuote w:val="1"/>
          <w:marLeft w:val="0"/>
          <w:marRight w:val="0"/>
          <w:marTop w:val="0"/>
          <w:marBottom w:val="360"/>
          <w:divBdr>
            <w:top w:val="none" w:sz="0" w:space="0" w:color="auto"/>
            <w:left w:val="single" w:sz="36" w:space="15" w:color="EEEEEE"/>
            <w:bottom w:val="none" w:sz="0" w:space="0" w:color="auto"/>
            <w:right w:val="none" w:sz="0" w:space="0" w:color="auto"/>
          </w:divBdr>
        </w:div>
      </w:divsChild>
    </w:div>
    <w:div w:id="816536961">
      <w:bodyDiv w:val="1"/>
      <w:marLeft w:val="0"/>
      <w:marRight w:val="0"/>
      <w:marTop w:val="0"/>
      <w:marBottom w:val="0"/>
      <w:divBdr>
        <w:top w:val="none" w:sz="0" w:space="0" w:color="auto"/>
        <w:left w:val="none" w:sz="0" w:space="0" w:color="auto"/>
        <w:bottom w:val="none" w:sz="0" w:space="0" w:color="auto"/>
        <w:right w:val="none" w:sz="0" w:space="0" w:color="auto"/>
      </w:divBdr>
    </w:div>
    <w:div w:id="1101756007">
      <w:bodyDiv w:val="1"/>
      <w:marLeft w:val="0"/>
      <w:marRight w:val="0"/>
      <w:marTop w:val="0"/>
      <w:marBottom w:val="0"/>
      <w:divBdr>
        <w:top w:val="none" w:sz="0" w:space="0" w:color="auto"/>
        <w:left w:val="none" w:sz="0" w:space="0" w:color="auto"/>
        <w:bottom w:val="none" w:sz="0" w:space="0" w:color="auto"/>
        <w:right w:val="none" w:sz="0" w:space="0" w:color="auto"/>
      </w:divBdr>
      <w:divsChild>
        <w:div w:id="432940863">
          <w:marLeft w:val="0"/>
          <w:marRight w:val="0"/>
          <w:marTop w:val="0"/>
          <w:marBottom w:val="0"/>
          <w:divBdr>
            <w:top w:val="none" w:sz="0" w:space="0" w:color="auto"/>
            <w:left w:val="none" w:sz="0" w:space="0" w:color="auto"/>
            <w:bottom w:val="none" w:sz="0" w:space="0" w:color="auto"/>
            <w:right w:val="none" w:sz="0" w:space="0" w:color="auto"/>
          </w:divBdr>
        </w:div>
      </w:divsChild>
    </w:div>
    <w:div w:id="1125658481">
      <w:bodyDiv w:val="1"/>
      <w:marLeft w:val="0"/>
      <w:marRight w:val="0"/>
      <w:marTop w:val="0"/>
      <w:marBottom w:val="0"/>
      <w:divBdr>
        <w:top w:val="none" w:sz="0" w:space="0" w:color="auto"/>
        <w:left w:val="none" w:sz="0" w:space="0" w:color="auto"/>
        <w:bottom w:val="none" w:sz="0" w:space="0" w:color="auto"/>
        <w:right w:val="none" w:sz="0" w:space="0" w:color="auto"/>
      </w:divBdr>
    </w:div>
    <w:div w:id="1565601162">
      <w:bodyDiv w:val="1"/>
      <w:marLeft w:val="0"/>
      <w:marRight w:val="0"/>
      <w:marTop w:val="0"/>
      <w:marBottom w:val="0"/>
      <w:divBdr>
        <w:top w:val="none" w:sz="0" w:space="0" w:color="auto"/>
        <w:left w:val="none" w:sz="0" w:space="0" w:color="auto"/>
        <w:bottom w:val="none" w:sz="0" w:space="0" w:color="auto"/>
        <w:right w:val="none" w:sz="0" w:space="0" w:color="auto"/>
      </w:divBdr>
    </w:div>
    <w:div w:id="1591693867">
      <w:bodyDiv w:val="1"/>
      <w:marLeft w:val="0"/>
      <w:marRight w:val="0"/>
      <w:marTop w:val="0"/>
      <w:marBottom w:val="0"/>
      <w:divBdr>
        <w:top w:val="none" w:sz="0" w:space="0" w:color="auto"/>
        <w:left w:val="none" w:sz="0" w:space="0" w:color="auto"/>
        <w:bottom w:val="none" w:sz="0" w:space="0" w:color="auto"/>
        <w:right w:val="none" w:sz="0" w:space="0" w:color="auto"/>
      </w:divBdr>
    </w:div>
    <w:div w:id="1714503872">
      <w:bodyDiv w:val="1"/>
      <w:marLeft w:val="0"/>
      <w:marRight w:val="0"/>
      <w:marTop w:val="0"/>
      <w:marBottom w:val="0"/>
      <w:divBdr>
        <w:top w:val="none" w:sz="0" w:space="0" w:color="auto"/>
        <w:left w:val="none" w:sz="0" w:space="0" w:color="auto"/>
        <w:bottom w:val="none" w:sz="0" w:space="0" w:color="auto"/>
        <w:right w:val="none" w:sz="0" w:space="0" w:color="auto"/>
      </w:divBdr>
    </w:div>
    <w:div w:id="1826629345">
      <w:bodyDiv w:val="1"/>
      <w:marLeft w:val="0"/>
      <w:marRight w:val="0"/>
      <w:marTop w:val="0"/>
      <w:marBottom w:val="0"/>
      <w:divBdr>
        <w:top w:val="none" w:sz="0" w:space="0" w:color="auto"/>
        <w:left w:val="none" w:sz="0" w:space="0" w:color="auto"/>
        <w:bottom w:val="none" w:sz="0" w:space="0" w:color="auto"/>
        <w:right w:val="none" w:sz="0" w:space="0" w:color="auto"/>
      </w:divBdr>
    </w:div>
    <w:div w:id="1887528640">
      <w:bodyDiv w:val="1"/>
      <w:marLeft w:val="0"/>
      <w:marRight w:val="0"/>
      <w:marTop w:val="0"/>
      <w:marBottom w:val="0"/>
      <w:divBdr>
        <w:top w:val="none" w:sz="0" w:space="0" w:color="auto"/>
        <w:left w:val="none" w:sz="0" w:space="0" w:color="auto"/>
        <w:bottom w:val="none" w:sz="0" w:space="0" w:color="auto"/>
        <w:right w:val="none" w:sz="0" w:space="0" w:color="auto"/>
      </w:divBdr>
    </w:div>
    <w:div w:id="2046245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3.ti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6.tiff"/><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2.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tiff"/><Relationship Id="rId20" Type="http://schemas.openxmlformats.org/officeDocument/2006/relationships/image" Target="media/image5.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9.png"/><Relationship Id="rId5" Type="http://schemas.openxmlformats.org/officeDocument/2006/relationships/webSettings" Target="webSettings.xml"/><Relationship Id="rId15" Type="http://schemas.openxmlformats.org/officeDocument/2006/relationships/hyperlink" Target="mailto:aroy@simmaron.com" TargetMode="External"/><Relationship Id="rId23" Type="http://schemas.openxmlformats.org/officeDocument/2006/relationships/image" Target="media/image8.png"/><Relationship Id="rId10" Type="http://schemas.openxmlformats.org/officeDocument/2006/relationships/footer" Target="footer1.xml"/><Relationship Id="rId19" Type="http://schemas.openxmlformats.org/officeDocument/2006/relationships/image" Target="media/image4.tiff"/><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ggottschalk@simmaron.com" TargetMode="External"/><Relationship Id="rId2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7FE7E3-8793-4098-A202-770D7E987E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911</Words>
  <Characters>5196</Characters>
  <Application>Microsoft Office Word</Application>
  <DocSecurity>0</DocSecurity>
  <Lines>43</Lines>
  <Paragraphs>12</Paragraphs>
  <ScaleCrop>false</ScaleCrop>
  <Company/>
  <LinksUpToDate>false</LinksUpToDate>
  <CharactersWithSpaces>6095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Avik Roy</dc:creator>
  <cp:keywords/>
  <dc:description/>
  <cp:lastModifiedBy>Avik Roy</cp:lastModifiedBy>
  <cp:revision>2</cp:revision>
  <cp:lastPrinted>2025-04-09T14:04:00Z</cp:lastPrinted>
  <dcterms:created xsi:type="dcterms:W3CDTF">2025-05-05T15:31:00Z</dcterms:created>
  <dcterms:modified xsi:type="dcterms:W3CDTF">2025-05-05T15:31:00Z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9e72f86240aeac49bdc1e5f8d9d2205b9de60028eedbfc7f99296b3064fc66ff</vt:lpwstr>
  </property>
</Properties>
</file>