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BB786" w14:textId="62AC12BF" w:rsidR="00D010E4" w:rsidRPr="006E24EB" w:rsidRDefault="002025A8">
      <w:pPr>
        <w:rPr>
          <w:rFonts w:ascii="Calibri" w:hAnsi="Calibri" w:cs="Calibri"/>
        </w:rPr>
      </w:pPr>
      <w:r w:rsidRPr="006E24EB">
        <w:rPr>
          <w:rFonts w:ascii="Calibri" w:hAnsi="Calibri" w:cs="Calibri"/>
          <w:b/>
          <w:bCs/>
        </w:rPr>
        <w:t xml:space="preserve">Table 1. </w:t>
      </w:r>
      <w:r w:rsidRPr="006E24EB">
        <w:rPr>
          <w:rFonts w:ascii="Calibri" w:hAnsi="Calibri" w:cs="Calibri"/>
        </w:rPr>
        <w:t xml:space="preserve">Patient characteristics in the two cohorts (2013-2016 and 2018-2022). GCS – Glasgow Coma Scale, EDH – Epidural Hematoma, SDH – Subdural Hematoma, TSAH – Traumatic Subarachnoid </w:t>
      </w:r>
      <w:proofErr w:type="spellStart"/>
      <w:r w:rsidRPr="006E24EB">
        <w:rPr>
          <w:rFonts w:ascii="Calibri" w:hAnsi="Calibri" w:cs="Calibri"/>
        </w:rPr>
        <w:t>Hemorrhage</w:t>
      </w:r>
      <w:proofErr w:type="spellEnd"/>
      <w:r w:rsidRPr="006E24EB">
        <w:rPr>
          <w:rFonts w:ascii="Calibri" w:hAnsi="Calibri" w:cs="Calibri"/>
        </w:rPr>
        <w:t>,</w:t>
      </w:r>
      <w:r w:rsidR="001B19B2">
        <w:rPr>
          <w:rFonts w:ascii="Calibri" w:hAnsi="Calibri" w:cs="Calibri"/>
        </w:rPr>
        <w:t xml:space="preserve"> </w:t>
      </w:r>
      <w:proofErr w:type="spellStart"/>
      <w:r w:rsidR="001B19B2">
        <w:rPr>
          <w:rFonts w:ascii="Calibri" w:hAnsi="Calibri" w:cs="Calibri"/>
        </w:rPr>
        <w:t>tICH</w:t>
      </w:r>
      <w:proofErr w:type="spellEnd"/>
      <w:r w:rsidR="001B19B2">
        <w:rPr>
          <w:rFonts w:ascii="Calibri" w:hAnsi="Calibri" w:cs="Calibri"/>
        </w:rPr>
        <w:t xml:space="preserve"> – Traumatic Intracerebral </w:t>
      </w:r>
      <w:proofErr w:type="spellStart"/>
      <w:r w:rsidR="001B19B2">
        <w:rPr>
          <w:rFonts w:ascii="Calibri" w:hAnsi="Calibri" w:cs="Calibri"/>
        </w:rPr>
        <w:t>Hemorrhage</w:t>
      </w:r>
      <w:proofErr w:type="spellEnd"/>
      <w:r w:rsidR="001B19B2">
        <w:rPr>
          <w:rFonts w:ascii="Calibri" w:hAnsi="Calibri" w:cs="Calibri"/>
        </w:rPr>
        <w:t>,</w:t>
      </w:r>
      <w:r w:rsidRPr="006E24EB">
        <w:rPr>
          <w:rFonts w:ascii="Calibri" w:hAnsi="Calibri" w:cs="Calibri"/>
        </w:rPr>
        <w:t xml:space="preserve"> ICP – Intracranial Pressure, CPP – Cerebral </w:t>
      </w:r>
      <w:r w:rsidR="006E24EB">
        <w:rPr>
          <w:rFonts w:ascii="Calibri" w:hAnsi="Calibri" w:cs="Calibri"/>
        </w:rPr>
        <w:t>P</w:t>
      </w:r>
      <w:r w:rsidRPr="006E24EB">
        <w:rPr>
          <w:rFonts w:ascii="Calibri" w:hAnsi="Calibri" w:cs="Calibri"/>
        </w:rPr>
        <w:t xml:space="preserve">erfusion </w:t>
      </w:r>
      <w:r w:rsidR="006E24EB">
        <w:rPr>
          <w:rFonts w:ascii="Calibri" w:hAnsi="Calibri" w:cs="Calibri"/>
        </w:rPr>
        <w:t>P</w:t>
      </w:r>
      <w:r w:rsidRPr="006E24EB">
        <w:rPr>
          <w:rFonts w:ascii="Calibri" w:hAnsi="Calibri" w:cs="Calibri"/>
        </w:rPr>
        <w:t>ressure, MAP – Mean Arterial Pressure</w:t>
      </w:r>
      <w:r w:rsidR="00944F07">
        <w:rPr>
          <w:rFonts w:ascii="Calibri" w:hAnsi="Calibri" w:cs="Calibri"/>
        </w:rPr>
        <w:t>, IQR – Interquartile range</w:t>
      </w:r>
      <w:r w:rsidR="0038438A">
        <w:rPr>
          <w:rFonts w:ascii="Calibri" w:hAnsi="Calibri" w:cs="Calibri"/>
        </w:rPr>
        <w:t xml:space="preserve">. </w:t>
      </w:r>
    </w:p>
    <w:p w14:paraId="7CC1649C" w14:textId="6866D4B8" w:rsidR="00D010E4" w:rsidRPr="006E24EB" w:rsidRDefault="00D010E4">
      <w:pPr>
        <w:rPr>
          <w:rFonts w:ascii="Calibri" w:hAnsi="Calibri" w:cs="Calibri"/>
        </w:rPr>
      </w:pPr>
      <w:r w:rsidRPr="006E24EB">
        <w:rPr>
          <w:rFonts w:ascii="Calibri" w:hAnsi="Calibri" w:cs="Calibri"/>
          <w:b/>
          <w:bCs/>
        </w:rPr>
        <w:t>Fig 1.</w:t>
      </w:r>
      <w:r w:rsidR="006E24EB" w:rsidRPr="006E24EB">
        <w:rPr>
          <w:rFonts w:ascii="Calibri" w:hAnsi="Calibri" w:cs="Calibri"/>
          <w:b/>
          <w:bCs/>
        </w:rPr>
        <w:t xml:space="preserve"> </w:t>
      </w:r>
      <w:r w:rsidR="006E24EB">
        <w:rPr>
          <w:rFonts w:ascii="Calibri" w:hAnsi="Calibri" w:cs="Calibri"/>
          <w:b/>
          <w:bCs/>
        </w:rPr>
        <w:t xml:space="preserve"> </w:t>
      </w:r>
      <w:r w:rsidR="006E24EB">
        <w:rPr>
          <w:rFonts w:ascii="Calibri" w:hAnsi="Calibri" w:cs="Calibri"/>
        </w:rPr>
        <w:t>ICP values</w:t>
      </w:r>
      <w:r w:rsidR="00405297">
        <w:rPr>
          <w:rFonts w:ascii="Calibri" w:hAnsi="Calibri" w:cs="Calibri"/>
        </w:rPr>
        <w:t xml:space="preserve"> from intraventricular catheters with closed drainage</w:t>
      </w:r>
      <w:r w:rsidR="006E24EB">
        <w:rPr>
          <w:rFonts w:ascii="Calibri" w:hAnsi="Calibri" w:cs="Calibri"/>
        </w:rPr>
        <w:t xml:space="preserve"> in patients treated 2013-2016 (pr</w:t>
      </w:r>
      <w:r w:rsidR="005A7FD6">
        <w:rPr>
          <w:rFonts w:ascii="Calibri" w:hAnsi="Calibri" w:cs="Calibri"/>
        </w:rPr>
        <w:t>e, 3369 values</w:t>
      </w:r>
      <w:r w:rsidR="006E24EB">
        <w:rPr>
          <w:rFonts w:ascii="Calibri" w:hAnsi="Calibri" w:cs="Calibri"/>
        </w:rPr>
        <w:t>) and 2018-2022 (post</w:t>
      </w:r>
      <w:r w:rsidR="005A7FD6">
        <w:rPr>
          <w:rFonts w:ascii="Calibri" w:hAnsi="Calibri" w:cs="Calibri"/>
        </w:rPr>
        <w:t>, 3025 values</w:t>
      </w:r>
      <w:r w:rsidR="006E24EB">
        <w:rPr>
          <w:rFonts w:ascii="Calibri" w:hAnsi="Calibri" w:cs="Calibri"/>
        </w:rPr>
        <w:t>).</w:t>
      </w:r>
      <w:r w:rsidR="00405297">
        <w:rPr>
          <w:rFonts w:ascii="Calibri" w:hAnsi="Calibri" w:cs="Calibri"/>
        </w:rPr>
        <w:t xml:space="preserve"> ICP was collected hourly for a maximum of 7 days.</w:t>
      </w:r>
      <w:r w:rsidR="006E24EB">
        <w:rPr>
          <w:rFonts w:ascii="Calibri" w:hAnsi="Calibri" w:cs="Calibri"/>
        </w:rPr>
        <w:t xml:space="preserve"> Median ICP was significantly lower in </w:t>
      </w:r>
      <w:r w:rsidR="00AA5D7C">
        <w:rPr>
          <w:rFonts w:ascii="Calibri" w:hAnsi="Calibri" w:cs="Calibri"/>
        </w:rPr>
        <w:t>patients</w:t>
      </w:r>
      <w:r w:rsidR="006E24EB">
        <w:rPr>
          <w:rFonts w:ascii="Calibri" w:hAnsi="Calibri" w:cs="Calibri"/>
        </w:rPr>
        <w:t xml:space="preserve"> </w:t>
      </w:r>
      <w:r w:rsidR="00AA5D7C">
        <w:rPr>
          <w:rFonts w:ascii="Calibri" w:hAnsi="Calibri" w:cs="Calibri"/>
        </w:rPr>
        <w:t>treated</w:t>
      </w:r>
      <w:r w:rsidR="006E24EB">
        <w:rPr>
          <w:rFonts w:ascii="Calibri" w:hAnsi="Calibri" w:cs="Calibri"/>
        </w:rPr>
        <w:t xml:space="preserve"> 2013-2016 (Median 9 vs 12 mmHg). ICP – Intracranial Pressure</w:t>
      </w:r>
      <w:r w:rsidR="000E7195">
        <w:rPr>
          <w:rFonts w:ascii="Calibri" w:hAnsi="Calibri" w:cs="Calibri"/>
        </w:rPr>
        <w:t>. Data is shown as medians, interquartile range (IQR) and range</w:t>
      </w:r>
    </w:p>
    <w:p w14:paraId="4E99F97F" w14:textId="549A0D36" w:rsidR="00D010E4" w:rsidRPr="006E24EB" w:rsidRDefault="00D010E4">
      <w:pPr>
        <w:rPr>
          <w:rFonts w:ascii="Calibri" w:hAnsi="Calibri" w:cs="Calibri"/>
        </w:rPr>
      </w:pPr>
      <w:r w:rsidRPr="006E24EB">
        <w:rPr>
          <w:rFonts w:ascii="Calibri" w:hAnsi="Calibri" w:cs="Calibri"/>
          <w:b/>
          <w:bCs/>
        </w:rPr>
        <w:t>Fig 2.</w:t>
      </w:r>
      <w:r w:rsidR="006E24EB">
        <w:rPr>
          <w:rFonts w:ascii="Calibri" w:hAnsi="Calibri" w:cs="Calibri"/>
          <w:b/>
          <w:bCs/>
        </w:rPr>
        <w:t xml:space="preserve"> </w:t>
      </w:r>
      <w:r w:rsidR="00405297">
        <w:rPr>
          <w:rFonts w:ascii="Calibri" w:hAnsi="Calibri" w:cs="Calibri"/>
          <w:b/>
          <w:bCs/>
        </w:rPr>
        <w:t xml:space="preserve">A: </w:t>
      </w:r>
      <w:r w:rsidR="006E24EB">
        <w:rPr>
          <w:rFonts w:ascii="Calibri" w:hAnsi="Calibri" w:cs="Calibri"/>
        </w:rPr>
        <w:t>CPP values in patients treated 2013-2016 (pr</w:t>
      </w:r>
      <w:r w:rsidR="005A7FD6">
        <w:rPr>
          <w:rFonts w:ascii="Calibri" w:hAnsi="Calibri" w:cs="Calibri"/>
        </w:rPr>
        <w:t>e, 6721 values</w:t>
      </w:r>
      <w:r w:rsidR="006E24EB">
        <w:rPr>
          <w:rFonts w:ascii="Calibri" w:hAnsi="Calibri" w:cs="Calibri"/>
        </w:rPr>
        <w:t>) and 2018-2022 (post</w:t>
      </w:r>
      <w:r w:rsidR="005A7FD6">
        <w:rPr>
          <w:rFonts w:ascii="Calibri" w:hAnsi="Calibri" w:cs="Calibri"/>
        </w:rPr>
        <w:t>, 5639 values</w:t>
      </w:r>
      <w:r w:rsidR="006E24EB">
        <w:rPr>
          <w:rFonts w:ascii="Calibri" w:hAnsi="Calibri" w:cs="Calibri"/>
        </w:rPr>
        <w:t>).</w:t>
      </w:r>
      <w:r w:rsidR="006A217F">
        <w:rPr>
          <w:rFonts w:ascii="Calibri" w:hAnsi="Calibri" w:cs="Calibri"/>
        </w:rPr>
        <w:t xml:space="preserve"> Median CPP was 67 mmHg in both groups</w:t>
      </w:r>
      <w:r w:rsidR="006E24EB">
        <w:rPr>
          <w:rFonts w:ascii="Calibri" w:hAnsi="Calibri" w:cs="Calibri"/>
        </w:rPr>
        <w:t xml:space="preserve">. </w:t>
      </w:r>
      <w:r w:rsidR="00405297">
        <w:rPr>
          <w:rFonts w:ascii="Calibri" w:hAnsi="Calibri" w:cs="Calibri"/>
        </w:rPr>
        <w:t xml:space="preserve"> </w:t>
      </w:r>
      <w:r w:rsidR="00405297" w:rsidRPr="009C37DB">
        <w:rPr>
          <w:rFonts w:ascii="Calibri" w:hAnsi="Calibri" w:cs="Calibri"/>
          <w:b/>
          <w:bCs/>
        </w:rPr>
        <w:t>B:</w:t>
      </w:r>
      <w:r w:rsidR="00405297">
        <w:rPr>
          <w:rFonts w:ascii="Calibri" w:hAnsi="Calibri" w:cs="Calibri"/>
        </w:rPr>
        <w:t xml:space="preserve"> Subgroup analysis of patients with intraventricular ICP mea</w:t>
      </w:r>
      <w:r w:rsidR="001B19B2">
        <w:rPr>
          <w:rFonts w:ascii="Calibri" w:hAnsi="Calibri" w:cs="Calibri"/>
        </w:rPr>
        <w:t>surement</w:t>
      </w:r>
      <w:r w:rsidR="00405297">
        <w:rPr>
          <w:rFonts w:ascii="Calibri" w:hAnsi="Calibri" w:cs="Calibri"/>
        </w:rPr>
        <w:t xml:space="preserve"> alone</w:t>
      </w:r>
      <w:r w:rsidR="00C30CB8">
        <w:rPr>
          <w:rFonts w:ascii="Calibri" w:hAnsi="Calibri" w:cs="Calibri"/>
        </w:rPr>
        <w:t xml:space="preserve"> (21 patients 2013-2016 and 5 patients 2018-2022)</w:t>
      </w:r>
      <w:r w:rsidR="00405297">
        <w:rPr>
          <w:rFonts w:ascii="Calibri" w:hAnsi="Calibri" w:cs="Calibri"/>
        </w:rPr>
        <w:t>. Median CPP was 69 prior and 65.5 post change</w:t>
      </w:r>
      <w:r w:rsidR="001B19B2">
        <w:rPr>
          <w:rFonts w:ascii="Calibri" w:hAnsi="Calibri" w:cs="Calibri"/>
        </w:rPr>
        <w:t xml:space="preserve"> of reference point position</w:t>
      </w:r>
      <w:r w:rsidR="00C30CB8">
        <w:rPr>
          <w:rFonts w:ascii="Calibri" w:hAnsi="Calibri" w:cs="Calibri"/>
        </w:rPr>
        <w:t xml:space="preserve"> (p &lt; 0.0001)</w:t>
      </w:r>
      <w:r w:rsidR="00405297">
        <w:rPr>
          <w:rFonts w:ascii="Calibri" w:hAnsi="Calibri" w:cs="Calibri"/>
        </w:rPr>
        <w:t>. CPP – Cerebral Perfusion Pressure</w:t>
      </w:r>
      <w:r w:rsidR="000E7195">
        <w:rPr>
          <w:rFonts w:ascii="Calibri" w:hAnsi="Calibri" w:cs="Calibri"/>
        </w:rPr>
        <w:t xml:space="preserve">. </w:t>
      </w:r>
      <w:r w:rsidR="000E7195">
        <w:rPr>
          <w:rFonts w:ascii="Calibri" w:hAnsi="Calibri" w:cs="Calibri"/>
        </w:rPr>
        <w:t>Data is shown as medians, interquartile range (IQR) and range</w:t>
      </w:r>
    </w:p>
    <w:p w14:paraId="32899B06" w14:textId="32B4872F" w:rsidR="00D010E4" w:rsidRPr="006E24EB" w:rsidRDefault="00D010E4">
      <w:pPr>
        <w:rPr>
          <w:rFonts w:ascii="Calibri" w:hAnsi="Calibri" w:cs="Calibri"/>
          <w:b/>
          <w:bCs/>
        </w:rPr>
      </w:pPr>
      <w:r w:rsidRPr="006E24EB">
        <w:rPr>
          <w:rFonts w:ascii="Calibri" w:hAnsi="Calibri" w:cs="Calibri"/>
          <w:b/>
          <w:bCs/>
        </w:rPr>
        <w:t>Fig 3.</w:t>
      </w:r>
      <w:r w:rsidR="006E24EB">
        <w:rPr>
          <w:rFonts w:ascii="Calibri" w:hAnsi="Calibri" w:cs="Calibri"/>
          <w:b/>
          <w:bCs/>
        </w:rPr>
        <w:t xml:space="preserve"> </w:t>
      </w:r>
      <w:r w:rsidR="006E24EB">
        <w:rPr>
          <w:rFonts w:ascii="Calibri" w:hAnsi="Calibri" w:cs="Calibri"/>
        </w:rPr>
        <w:t>MAP values in patients treated 2013-2016 (pr</w:t>
      </w:r>
      <w:r w:rsidR="005A7FD6">
        <w:rPr>
          <w:rFonts w:ascii="Calibri" w:hAnsi="Calibri" w:cs="Calibri"/>
        </w:rPr>
        <w:t>e</w:t>
      </w:r>
      <w:r w:rsidR="006E24EB">
        <w:rPr>
          <w:rFonts w:ascii="Calibri" w:hAnsi="Calibri" w:cs="Calibri"/>
        </w:rPr>
        <w:t xml:space="preserve">) and 2018-2022 (post). No </w:t>
      </w:r>
      <w:r w:rsidR="00AA5D7C">
        <w:rPr>
          <w:rFonts w:ascii="Calibri" w:hAnsi="Calibri" w:cs="Calibri"/>
        </w:rPr>
        <w:t>statistically</w:t>
      </w:r>
      <w:r w:rsidR="006E24EB">
        <w:rPr>
          <w:rFonts w:ascii="Calibri" w:hAnsi="Calibri" w:cs="Calibri"/>
        </w:rPr>
        <w:t xml:space="preserve"> significant </w:t>
      </w:r>
      <w:r w:rsidR="00AA5D7C">
        <w:rPr>
          <w:rFonts w:ascii="Calibri" w:hAnsi="Calibri" w:cs="Calibri"/>
        </w:rPr>
        <w:t>difference</w:t>
      </w:r>
      <w:r w:rsidR="006E24EB">
        <w:rPr>
          <w:rFonts w:ascii="Calibri" w:hAnsi="Calibri" w:cs="Calibri"/>
        </w:rPr>
        <w:t xml:space="preserve"> was found. MAP – Mean Arterial Pressure</w:t>
      </w:r>
      <w:r w:rsidR="000E7195">
        <w:rPr>
          <w:rFonts w:ascii="Calibri" w:hAnsi="Calibri" w:cs="Calibri"/>
        </w:rPr>
        <w:t xml:space="preserve">. </w:t>
      </w:r>
      <w:r w:rsidR="000E7195">
        <w:rPr>
          <w:rFonts w:ascii="Calibri" w:hAnsi="Calibri" w:cs="Calibri"/>
        </w:rPr>
        <w:t>Data is shown as medians, interquartile range (IQR) and range</w:t>
      </w:r>
    </w:p>
    <w:p w14:paraId="7B151846" w14:textId="52B2DE14" w:rsidR="00E27C78" w:rsidRPr="006E24EB" w:rsidRDefault="00D010E4">
      <w:pPr>
        <w:rPr>
          <w:rFonts w:ascii="Calibri" w:hAnsi="Calibri" w:cs="Calibri"/>
          <w:b/>
          <w:bCs/>
        </w:rPr>
      </w:pPr>
      <w:r w:rsidRPr="006E24EB">
        <w:rPr>
          <w:rFonts w:ascii="Calibri" w:hAnsi="Calibri" w:cs="Calibri"/>
          <w:b/>
          <w:bCs/>
        </w:rPr>
        <w:t>Fig 4.</w:t>
      </w:r>
      <w:r w:rsidR="00875FB3">
        <w:rPr>
          <w:rFonts w:ascii="Calibri" w:hAnsi="Calibri" w:cs="Calibri"/>
          <w:b/>
          <w:bCs/>
        </w:rPr>
        <w:t xml:space="preserve"> </w:t>
      </w:r>
      <w:r w:rsidR="00875FB3">
        <w:rPr>
          <w:rFonts w:ascii="Calibri" w:hAnsi="Calibri" w:cs="Calibri"/>
        </w:rPr>
        <w:t>Total doses of metoprolol (A) and clonidine (B)</w:t>
      </w:r>
      <w:r w:rsidR="00405297">
        <w:rPr>
          <w:rFonts w:ascii="Calibri" w:hAnsi="Calibri" w:cs="Calibri"/>
        </w:rPr>
        <w:t xml:space="preserve"> during the entire NC</w:t>
      </w:r>
      <w:r w:rsidR="00B520C2">
        <w:rPr>
          <w:rFonts w:ascii="Calibri" w:hAnsi="Calibri" w:cs="Calibri"/>
        </w:rPr>
        <w:t>C unit</w:t>
      </w:r>
      <w:r w:rsidR="00405297">
        <w:rPr>
          <w:rFonts w:ascii="Calibri" w:hAnsi="Calibri" w:cs="Calibri"/>
        </w:rPr>
        <w:t xml:space="preserve"> </w:t>
      </w:r>
      <w:r w:rsidR="00B520C2">
        <w:rPr>
          <w:rFonts w:ascii="Calibri" w:hAnsi="Calibri" w:cs="Calibri"/>
        </w:rPr>
        <w:t>stay</w:t>
      </w:r>
      <w:r w:rsidR="00875FB3">
        <w:rPr>
          <w:rFonts w:ascii="Calibri" w:hAnsi="Calibri" w:cs="Calibri"/>
        </w:rPr>
        <w:t xml:space="preserve"> in patients treated 2013-2016 (</w:t>
      </w:r>
      <w:r w:rsidR="00C30CB8">
        <w:rPr>
          <w:rFonts w:ascii="Calibri" w:hAnsi="Calibri" w:cs="Calibri"/>
        </w:rPr>
        <w:t>A:</w:t>
      </w:r>
      <w:r w:rsidR="00E64D79">
        <w:rPr>
          <w:rFonts w:ascii="Calibri" w:hAnsi="Calibri" w:cs="Calibri"/>
        </w:rPr>
        <w:t xml:space="preserve"> </w:t>
      </w:r>
      <w:r w:rsidR="009333D2">
        <w:rPr>
          <w:rFonts w:ascii="Calibri" w:hAnsi="Calibri" w:cs="Calibri"/>
        </w:rPr>
        <w:t>24</w:t>
      </w:r>
      <w:r w:rsidR="00E64D79">
        <w:rPr>
          <w:rFonts w:ascii="Calibri" w:hAnsi="Calibri" w:cs="Calibri"/>
        </w:rPr>
        <w:t xml:space="preserve"> </w:t>
      </w:r>
      <w:r w:rsidR="00C30CB8">
        <w:rPr>
          <w:rFonts w:ascii="Calibri" w:hAnsi="Calibri" w:cs="Calibri"/>
        </w:rPr>
        <w:t>patients, B:</w:t>
      </w:r>
      <w:r w:rsidR="00E64D79">
        <w:rPr>
          <w:rFonts w:ascii="Calibri" w:hAnsi="Calibri" w:cs="Calibri"/>
        </w:rPr>
        <w:t xml:space="preserve"> 31 </w:t>
      </w:r>
      <w:r w:rsidR="00C30CB8">
        <w:rPr>
          <w:rFonts w:ascii="Calibri" w:hAnsi="Calibri" w:cs="Calibri"/>
        </w:rPr>
        <w:t>patients</w:t>
      </w:r>
      <w:r w:rsidR="00875FB3">
        <w:rPr>
          <w:rFonts w:ascii="Calibri" w:hAnsi="Calibri" w:cs="Calibri"/>
        </w:rPr>
        <w:t xml:space="preserve">) and 2018-2022 </w:t>
      </w:r>
      <w:r w:rsidR="00C30CB8">
        <w:rPr>
          <w:rFonts w:ascii="Calibri" w:hAnsi="Calibri" w:cs="Calibri"/>
        </w:rPr>
        <w:t>(A:</w:t>
      </w:r>
      <w:r w:rsidR="009333D2">
        <w:rPr>
          <w:rFonts w:ascii="Calibri" w:hAnsi="Calibri" w:cs="Calibri"/>
        </w:rPr>
        <w:t xml:space="preserve"> 7 </w:t>
      </w:r>
      <w:r w:rsidR="00C30CB8">
        <w:rPr>
          <w:rFonts w:ascii="Calibri" w:hAnsi="Calibri" w:cs="Calibri"/>
        </w:rPr>
        <w:t>patients, B:</w:t>
      </w:r>
      <w:r w:rsidR="00E64D79">
        <w:rPr>
          <w:rFonts w:ascii="Calibri" w:hAnsi="Calibri" w:cs="Calibri"/>
        </w:rPr>
        <w:t xml:space="preserve"> 26 </w:t>
      </w:r>
      <w:r w:rsidR="00C30CB8">
        <w:rPr>
          <w:rFonts w:ascii="Calibri" w:hAnsi="Calibri" w:cs="Calibri"/>
        </w:rPr>
        <w:t>patients</w:t>
      </w:r>
      <w:r w:rsidR="009C37DB">
        <w:rPr>
          <w:rFonts w:ascii="Calibri" w:hAnsi="Calibri" w:cs="Calibri"/>
        </w:rPr>
        <w:t>)</w:t>
      </w:r>
      <w:r w:rsidR="00875FB3">
        <w:rPr>
          <w:rFonts w:ascii="Calibri" w:hAnsi="Calibri" w:cs="Calibri"/>
        </w:rPr>
        <w:t xml:space="preserve">. </w:t>
      </w:r>
      <w:r w:rsidR="0038438A">
        <w:rPr>
          <w:rFonts w:ascii="Calibri" w:hAnsi="Calibri" w:cs="Calibri"/>
        </w:rPr>
        <w:t>While n</w:t>
      </w:r>
      <w:r w:rsidR="00875FB3">
        <w:rPr>
          <w:rFonts w:ascii="Calibri" w:hAnsi="Calibri" w:cs="Calibri"/>
        </w:rPr>
        <w:t xml:space="preserve">o significant differences in clonidine treatment </w:t>
      </w:r>
      <w:r w:rsidR="00405297">
        <w:rPr>
          <w:rFonts w:ascii="Calibri" w:hAnsi="Calibri" w:cs="Calibri"/>
        </w:rPr>
        <w:t>were</w:t>
      </w:r>
      <w:r w:rsidR="00875FB3">
        <w:rPr>
          <w:rFonts w:ascii="Calibri" w:hAnsi="Calibri" w:cs="Calibri"/>
        </w:rPr>
        <w:t xml:space="preserve"> found</w:t>
      </w:r>
      <w:r w:rsidR="0038438A">
        <w:rPr>
          <w:rFonts w:ascii="Calibri" w:hAnsi="Calibri" w:cs="Calibri"/>
        </w:rPr>
        <w:t>, the</w:t>
      </w:r>
      <w:r w:rsidR="00944F07">
        <w:rPr>
          <w:rFonts w:ascii="Calibri" w:hAnsi="Calibri" w:cs="Calibri"/>
        </w:rPr>
        <w:t xml:space="preserve"> </w:t>
      </w:r>
      <w:r w:rsidR="00875FB3">
        <w:rPr>
          <w:rFonts w:ascii="Calibri" w:hAnsi="Calibri" w:cs="Calibri"/>
        </w:rPr>
        <w:t>use of metoprolol was significantly lower in patients treated</w:t>
      </w:r>
      <w:r w:rsidR="0038438A">
        <w:rPr>
          <w:rFonts w:ascii="Calibri" w:hAnsi="Calibri" w:cs="Calibri"/>
        </w:rPr>
        <w:t xml:space="preserve"> after change of arterial blood pressure transducer position</w:t>
      </w:r>
      <w:r w:rsidR="00875FB3">
        <w:rPr>
          <w:rFonts w:ascii="Calibri" w:hAnsi="Calibri" w:cs="Calibri"/>
        </w:rPr>
        <w:t xml:space="preserve"> 2018-2022. </w:t>
      </w:r>
      <w:r w:rsidR="000E7195">
        <w:rPr>
          <w:rFonts w:ascii="Calibri" w:hAnsi="Calibri" w:cs="Calibri"/>
        </w:rPr>
        <w:t>Data is shown as medians, interquartile range (IQR) and range</w:t>
      </w:r>
    </w:p>
    <w:p w14:paraId="2420C5D0" w14:textId="32FE9476" w:rsidR="00D010E4" w:rsidRPr="008F731B" w:rsidRDefault="00D010E4" w:rsidP="008F731B">
      <w:pPr>
        <w:jc w:val="both"/>
        <w:rPr>
          <w:rFonts w:ascii="Calibri" w:hAnsi="Calibri" w:cs="Calibri"/>
        </w:rPr>
      </w:pPr>
      <w:r w:rsidRPr="006E24EB">
        <w:rPr>
          <w:rFonts w:ascii="Calibri" w:hAnsi="Calibri" w:cs="Calibri"/>
          <w:b/>
          <w:bCs/>
        </w:rPr>
        <w:t xml:space="preserve">Fig 5. </w:t>
      </w:r>
      <w:r w:rsidR="008F731B">
        <w:rPr>
          <w:rFonts w:ascii="Calibri" w:hAnsi="Calibri" w:cs="Calibri"/>
        </w:rPr>
        <w:t>Total doses of norepinephrine</w:t>
      </w:r>
      <w:r w:rsidR="00405297">
        <w:rPr>
          <w:rFonts w:ascii="Calibri" w:hAnsi="Calibri" w:cs="Calibri"/>
        </w:rPr>
        <w:t xml:space="preserve"> during the entire N</w:t>
      </w:r>
      <w:r w:rsidR="00B520C2">
        <w:rPr>
          <w:rFonts w:ascii="Calibri" w:hAnsi="Calibri" w:cs="Calibri"/>
        </w:rPr>
        <w:t>CC</w:t>
      </w:r>
      <w:r w:rsidR="00405297">
        <w:rPr>
          <w:rFonts w:ascii="Calibri" w:hAnsi="Calibri" w:cs="Calibri"/>
        </w:rPr>
        <w:t xml:space="preserve"> </w:t>
      </w:r>
      <w:r w:rsidR="00B520C2">
        <w:rPr>
          <w:rFonts w:ascii="Calibri" w:hAnsi="Calibri" w:cs="Calibri"/>
        </w:rPr>
        <w:t>unit stay</w:t>
      </w:r>
      <w:r w:rsidR="008F731B">
        <w:rPr>
          <w:rFonts w:ascii="Calibri" w:hAnsi="Calibri" w:cs="Calibri"/>
        </w:rPr>
        <w:t xml:space="preserve"> in patients treated 2013-2016</w:t>
      </w:r>
      <w:r w:rsidR="009333D2">
        <w:rPr>
          <w:rFonts w:ascii="Calibri" w:hAnsi="Calibri" w:cs="Calibri"/>
        </w:rPr>
        <w:t xml:space="preserve"> (20</w:t>
      </w:r>
      <w:r w:rsidR="009C37DB">
        <w:rPr>
          <w:rFonts w:ascii="Calibri" w:hAnsi="Calibri" w:cs="Calibri"/>
        </w:rPr>
        <w:t xml:space="preserve"> </w:t>
      </w:r>
      <w:r w:rsidR="009333D2">
        <w:rPr>
          <w:rFonts w:ascii="Calibri" w:hAnsi="Calibri" w:cs="Calibri"/>
        </w:rPr>
        <w:t>patients)</w:t>
      </w:r>
      <w:r w:rsidR="009C37DB">
        <w:rPr>
          <w:rFonts w:ascii="Calibri" w:hAnsi="Calibri" w:cs="Calibri"/>
        </w:rPr>
        <w:t xml:space="preserve"> </w:t>
      </w:r>
      <w:r w:rsidR="008F731B">
        <w:rPr>
          <w:rFonts w:ascii="Calibri" w:hAnsi="Calibri" w:cs="Calibri"/>
        </w:rPr>
        <w:t>and</w:t>
      </w:r>
      <w:r w:rsidR="009C37DB">
        <w:rPr>
          <w:rFonts w:ascii="Calibri" w:hAnsi="Calibri" w:cs="Calibri"/>
        </w:rPr>
        <w:t xml:space="preserve"> </w:t>
      </w:r>
      <w:r w:rsidR="008F731B">
        <w:rPr>
          <w:rFonts w:ascii="Calibri" w:hAnsi="Calibri" w:cs="Calibri"/>
        </w:rPr>
        <w:t>2018-2022</w:t>
      </w:r>
      <w:r w:rsidR="009333D2">
        <w:rPr>
          <w:rFonts w:ascii="Calibri" w:hAnsi="Calibri" w:cs="Calibri"/>
        </w:rPr>
        <w:t xml:space="preserve"> (50 patients)</w:t>
      </w:r>
      <w:r w:rsidR="008F731B">
        <w:rPr>
          <w:rFonts w:ascii="Calibri" w:hAnsi="Calibri" w:cs="Calibri"/>
        </w:rPr>
        <w:t xml:space="preserve">. </w:t>
      </w:r>
      <w:r w:rsidR="000D30B7">
        <w:rPr>
          <w:rFonts w:ascii="Calibri" w:hAnsi="Calibri" w:cs="Calibri"/>
        </w:rPr>
        <w:t>A</w:t>
      </w:r>
      <w:r w:rsidR="005A7FD6">
        <w:rPr>
          <w:rFonts w:ascii="Calibri" w:hAnsi="Calibri" w:cs="Calibri"/>
        </w:rPr>
        <w:t xml:space="preserve"> </w:t>
      </w:r>
      <w:r w:rsidR="000D30B7">
        <w:rPr>
          <w:rFonts w:ascii="Calibri" w:hAnsi="Calibri" w:cs="Calibri"/>
        </w:rPr>
        <w:t xml:space="preserve">statistically significant increase </w:t>
      </w:r>
      <w:r w:rsidR="008F731B">
        <w:rPr>
          <w:rFonts w:ascii="Calibri" w:hAnsi="Calibri" w:cs="Calibri"/>
        </w:rPr>
        <w:t>in total doses of norepinephrine 2018-2022</w:t>
      </w:r>
      <w:r w:rsidR="000D30B7">
        <w:rPr>
          <w:rFonts w:ascii="Calibri" w:hAnsi="Calibri" w:cs="Calibri"/>
        </w:rPr>
        <w:t xml:space="preserve"> is noted</w:t>
      </w:r>
      <w:r w:rsidR="008F731B">
        <w:rPr>
          <w:rFonts w:ascii="Calibri" w:hAnsi="Calibri" w:cs="Calibri"/>
        </w:rPr>
        <w:t xml:space="preserve">. </w:t>
      </w:r>
      <w:r w:rsidR="000E7195">
        <w:rPr>
          <w:rFonts w:ascii="Calibri" w:hAnsi="Calibri" w:cs="Calibri"/>
        </w:rPr>
        <w:t>Data is shown as medians, interquartile range (IQR) and range</w:t>
      </w:r>
    </w:p>
    <w:p w14:paraId="5242E3B4" w14:textId="23E505EB" w:rsidR="0083145A" w:rsidRPr="006E24EB" w:rsidRDefault="002025A8">
      <w:pPr>
        <w:rPr>
          <w:rFonts w:ascii="Calibri" w:hAnsi="Calibri" w:cs="Calibri"/>
        </w:rPr>
      </w:pPr>
      <w:r w:rsidRPr="006E24EB">
        <w:rPr>
          <w:rFonts w:ascii="Calibri" w:hAnsi="Calibri" w:cs="Calibri"/>
        </w:rPr>
        <w:t xml:space="preserve">  </w:t>
      </w:r>
    </w:p>
    <w:sectPr w:rsidR="0083145A" w:rsidRPr="006E24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61F"/>
    <w:rsid w:val="00064D30"/>
    <w:rsid w:val="000D30B7"/>
    <w:rsid w:val="000E7195"/>
    <w:rsid w:val="001632A0"/>
    <w:rsid w:val="001B19B2"/>
    <w:rsid w:val="002025A8"/>
    <w:rsid w:val="0025361F"/>
    <w:rsid w:val="00332E0E"/>
    <w:rsid w:val="0038438A"/>
    <w:rsid w:val="003E31F9"/>
    <w:rsid w:val="00405297"/>
    <w:rsid w:val="005465C5"/>
    <w:rsid w:val="005A0F51"/>
    <w:rsid w:val="005A7FD6"/>
    <w:rsid w:val="0064743A"/>
    <w:rsid w:val="006A217F"/>
    <w:rsid w:val="006E24EB"/>
    <w:rsid w:val="0083145A"/>
    <w:rsid w:val="00875FB3"/>
    <w:rsid w:val="008F731B"/>
    <w:rsid w:val="009333D2"/>
    <w:rsid w:val="00944F07"/>
    <w:rsid w:val="009C37DB"/>
    <w:rsid w:val="00A652AD"/>
    <w:rsid w:val="00AA5D7C"/>
    <w:rsid w:val="00B520C2"/>
    <w:rsid w:val="00C30CB8"/>
    <w:rsid w:val="00D010E4"/>
    <w:rsid w:val="00E22574"/>
    <w:rsid w:val="00E27C78"/>
    <w:rsid w:val="00E64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98334"/>
  <w15:chartTrackingRefBased/>
  <w15:docId w15:val="{AC2F199B-429C-4CD7-BAB4-EC4935304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Kommentarsreferens">
    <w:name w:val="annotation reference"/>
    <w:basedOn w:val="Standardstycketeckensnitt"/>
    <w:uiPriority w:val="99"/>
    <w:semiHidden/>
    <w:unhideWhenUsed/>
    <w:rsid w:val="0038438A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38438A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38438A"/>
    <w:rPr>
      <w:sz w:val="20"/>
      <w:szCs w:val="20"/>
      <w:lang w:val="en-GB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38438A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38438A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38438A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505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Réen Linus</dc:creator>
  <cp:keywords/>
  <dc:description/>
  <cp:lastModifiedBy>Réen Linus</cp:lastModifiedBy>
  <cp:revision>12</cp:revision>
  <dcterms:created xsi:type="dcterms:W3CDTF">2025-02-17T18:21:00Z</dcterms:created>
  <dcterms:modified xsi:type="dcterms:W3CDTF">2025-02-25T11:25:00Z</dcterms:modified>
</cp:coreProperties>
</file>