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FB223" w14:textId="77777777" w:rsidR="007725C5" w:rsidRPr="00890589" w:rsidRDefault="007725C5" w:rsidP="007725C5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r w:rsidRPr="00890589">
        <w:rPr>
          <w:rFonts w:asciiTheme="majorBidi" w:hAnsiTheme="majorBidi" w:cstheme="majorBidi"/>
          <w:b/>
          <w:bCs/>
          <w:sz w:val="24"/>
          <w:szCs w:val="24"/>
        </w:rPr>
        <w:t>Table 1:</w:t>
      </w:r>
      <w:r w:rsidRPr="00890589">
        <w:rPr>
          <w:rFonts w:asciiTheme="majorBidi" w:hAnsiTheme="majorBidi" w:cstheme="majorBidi"/>
          <w:sz w:val="24"/>
          <w:szCs w:val="24"/>
        </w:rPr>
        <w:t xml:space="preserve"> Baseline characteristics</w:t>
      </w:r>
    </w:p>
    <w:tbl>
      <w:tblPr>
        <w:tblStyle w:val="TableGrid"/>
        <w:tblW w:w="0" w:type="auto"/>
        <w:tblInd w:w="-815" w:type="dxa"/>
        <w:tblLook w:val="04A0" w:firstRow="1" w:lastRow="0" w:firstColumn="1" w:lastColumn="0" w:noHBand="0" w:noVBand="1"/>
      </w:tblPr>
      <w:tblGrid>
        <w:gridCol w:w="4860"/>
        <w:gridCol w:w="2430"/>
      </w:tblGrid>
      <w:tr w:rsidR="007725C5" w:rsidRPr="00890589" w14:paraId="4A773708" w14:textId="77777777" w:rsidTr="00784496">
        <w:tc>
          <w:tcPr>
            <w:tcW w:w="4860" w:type="dxa"/>
          </w:tcPr>
          <w:p w14:paraId="7441E1B9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Number</w:t>
            </w:r>
          </w:p>
        </w:tc>
        <w:tc>
          <w:tcPr>
            <w:tcW w:w="2430" w:type="dxa"/>
          </w:tcPr>
          <w:p w14:paraId="1E7D5D76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365</w:t>
            </w:r>
          </w:p>
        </w:tc>
      </w:tr>
      <w:tr w:rsidR="007725C5" w:rsidRPr="00890589" w14:paraId="4066B3F3" w14:textId="77777777" w:rsidTr="00784496">
        <w:tc>
          <w:tcPr>
            <w:tcW w:w="4860" w:type="dxa"/>
          </w:tcPr>
          <w:p w14:paraId="5A870C77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 xml:space="preserve">Age, mean </w:t>
            </w:r>
            <w:r w:rsidRPr="00890589">
              <w:rPr>
                <w:rFonts w:asciiTheme="majorBidi" w:hAnsiTheme="majorBidi" w:cstheme="majorBidi"/>
                <w:sz w:val="24"/>
                <w:szCs w:val="24"/>
              </w:rPr>
              <w:sym w:font="Symbol" w:char="F0B1"/>
            </w:r>
            <w:r w:rsidRPr="00890589">
              <w:rPr>
                <w:rFonts w:asciiTheme="majorBidi" w:hAnsiTheme="majorBidi" w:cstheme="majorBidi"/>
                <w:sz w:val="24"/>
                <w:szCs w:val="24"/>
              </w:rPr>
              <w:t xml:space="preserve"> SD</w:t>
            </w:r>
          </w:p>
        </w:tc>
        <w:tc>
          <w:tcPr>
            <w:tcW w:w="2430" w:type="dxa"/>
          </w:tcPr>
          <w:p w14:paraId="09F613EA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68.3 ± 14</w:t>
            </w:r>
          </w:p>
        </w:tc>
      </w:tr>
      <w:tr w:rsidR="007725C5" w:rsidRPr="00890589" w14:paraId="0D32D6E4" w14:textId="77777777" w:rsidTr="00784496">
        <w:tc>
          <w:tcPr>
            <w:tcW w:w="4860" w:type="dxa"/>
          </w:tcPr>
          <w:p w14:paraId="3F12571B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Gender, N (%)</w:t>
            </w:r>
          </w:p>
          <w:p w14:paraId="3DA47AE1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Male</w:t>
            </w:r>
          </w:p>
          <w:p w14:paraId="6A0ADBEF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Female</w:t>
            </w:r>
          </w:p>
        </w:tc>
        <w:tc>
          <w:tcPr>
            <w:tcW w:w="2430" w:type="dxa"/>
          </w:tcPr>
          <w:p w14:paraId="3DA443A1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1C34F3A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197 (54)</w:t>
            </w:r>
          </w:p>
          <w:p w14:paraId="1CC358D0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168 (46)</w:t>
            </w:r>
          </w:p>
        </w:tc>
      </w:tr>
      <w:tr w:rsidR="007725C5" w:rsidRPr="00890589" w14:paraId="1B38CE5F" w14:textId="77777777" w:rsidTr="00784496">
        <w:tc>
          <w:tcPr>
            <w:tcW w:w="4860" w:type="dxa"/>
          </w:tcPr>
          <w:p w14:paraId="726AAC90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Smoking status, N (%)</w:t>
            </w:r>
          </w:p>
          <w:p w14:paraId="016AF1F3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  <w:p w14:paraId="7ED09E76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  <w:p w14:paraId="245C14FF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Former</w:t>
            </w:r>
          </w:p>
        </w:tc>
        <w:tc>
          <w:tcPr>
            <w:tcW w:w="2430" w:type="dxa"/>
          </w:tcPr>
          <w:p w14:paraId="7B9E50E0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391A434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82 (22.7%)</w:t>
            </w:r>
          </w:p>
          <w:p w14:paraId="05551811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229 (63.4%)</w:t>
            </w:r>
          </w:p>
          <w:p w14:paraId="2C88E7FE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50 (13.9)</w:t>
            </w:r>
          </w:p>
        </w:tc>
      </w:tr>
      <w:tr w:rsidR="007725C5" w:rsidRPr="00890589" w14:paraId="1EDADAFF" w14:textId="77777777" w:rsidTr="00784496">
        <w:tc>
          <w:tcPr>
            <w:tcW w:w="4860" w:type="dxa"/>
          </w:tcPr>
          <w:p w14:paraId="6D51D6D8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Obesity, N (%)</w:t>
            </w:r>
          </w:p>
        </w:tc>
        <w:tc>
          <w:tcPr>
            <w:tcW w:w="2430" w:type="dxa"/>
          </w:tcPr>
          <w:p w14:paraId="77AC0F7B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65 (17.8)</w:t>
            </w:r>
          </w:p>
        </w:tc>
      </w:tr>
      <w:tr w:rsidR="007725C5" w:rsidRPr="00890589" w14:paraId="01DF9446" w14:textId="77777777" w:rsidTr="00784496">
        <w:tc>
          <w:tcPr>
            <w:tcW w:w="4860" w:type="dxa"/>
          </w:tcPr>
          <w:p w14:paraId="4D101F1C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Atrial fibrillation, N (%)</w:t>
            </w:r>
          </w:p>
        </w:tc>
        <w:tc>
          <w:tcPr>
            <w:tcW w:w="2430" w:type="dxa"/>
          </w:tcPr>
          <w:p w14:paraId="7E865108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19 (5.2)</w:t>
            </w:r>
          </w:p>
        </w:tc>
      </w:tr>
      <w:tr w:rsidR="007725C5" w:rsidRPr="00890589" w14:paraId="40E23D14" w14:textId="77777777" w:rsidTr="00784496">
        <w:tc>
          <w:tcPr>
            <w:tcW w:w="4860" w:type="dxa"/>
          </w:tcPr>
          <w:p w14:paraId="7947F859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Renal failure, N (%)</w:t>
            </w:r>
          </w:p>
        </w:tc>
        <w:tc>
          <w:tcPr>
            <w:tcW w:w="2430" w:type="dxa"/>
          </w:tcPr>
          <w:p w14:paraId="590F7401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14 (3.8)</w:t>
            </w:r>
          </w:p>
        </w:tc>
      </w:tr>
      <w:tr w:rsidR="007725C5" w:rsidRPr="00890589" w14:paraId="54B493EF" w14:textId="77777777" w:rsidTr="00784496">
        <w:tc>
          <w:tcPr>
            <w:tcW w:w="4860" w:type="dxa"/>
          </w:tcPr>
          <w:p w14:paraId="424E05A0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Congestive heart failure, N (%)</w:t>
            </w:r>
          </w:p>
        </w:tc>
        <w:tc>
          <w:tcPr>
            <w:tcW w:w="2430" w:type="dxa"/>
          </w:tcPr>
          <w:p w14:paraId="463AB167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28 (7.7)</w:t>
            </w:r>
          </w:p>
        </w:tc>
      </w:tr>
      <w:tr w:rsidR="007725C5" w:rsidRPr="00890589" w14:paraId="1D40049B" w14:textId="77777777" w:rsidTr="00784496">
        <w:tc>
          <w:tcPr>
            <w:tcW w:w="4860" w:type="dxa"/>
          </w:tcPr>
          <w:p w14:paraId="2E9C17A9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Ischemic heart disease, N (%)</w:t>
            </w:r>
          </w:p>
        </w:tc>
        <w:tc>
          <w:tcPr>
            <w:tcW w:w="2430" w:type="dxa"/>
          </w:tcPr>
          <w:p w14:paraId="35446E16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43 (11.8)</w:t>
            </w:r>
          </w:p>
        </w:tc>
      </w:tr>
      <w:tr w:rsidR="007725C5" w:rsidRPr="00890589" w14:paraId="6C520FE6" w14:textId="77777777" w:rsidTr="00784496">
        <w:tc>
          <w:tcPr>
            <w:tcW w:w="4860" w:type="dxa"/>
          </w:tcPr>
          <w:p w14:paraId="3BFD7424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Hypertension, N (%)</w:t>
            </w:r>
          </w:p>
        </w:tc>
        <w:tc>
          <w:tcPr>
            <w:tcW w:w="2430" w:type="dxa"/>
          </w:tcPr>
          <w:p w14:paraId="055D6E03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143 (39.2)</w:t>
            </w:r>
          </w:p>
        </w:tc>
      </w:tr>
      <w:tr w:rsidR="007725C5" w:rsidRPr="00890589" w14:paraId="443E0009" w14:textId="77777777" w:rsidTr="00784496">
        <w:tc>
          <w:tcPr>
            <w:tcW w:w="4860" w:type="dxa"/>
          </w:tcPr>
          <w:p w14:paraId="2338EE35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Diabetes mellitus, N (%)</w:t>
            </w:r>
          </w:p>
        </w:tc>
        <w:tc>
          <w:tcPr>
            <w:tcW w:w="2430" w:type="dxa"/>
          </w:tcPr>
          <w:p w14:paraId="5A172046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101 (27.7)</w:t>
            </w:r>
          </w:p>
        </w:tc>
      </w:tr>
      <w:tr w:rsidR="007725C5" w:rsidRPr="00890589" w14:paraId="20509FAC" w14:textId="77777777" w:rsidTr="00784496">
        <w:tc>
          <w:tcPr>
            <w:tcW w:w="4860" w:type="dxa"/>
          </w:tcPr>
          <w:p w14:paraId="1994349C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Obstructive lung disease, N (%)</w:t>
            </w:r>
          </w:p>
        </w:tc>
        <w:tc>
          <w:tcPr>
            <w:tcW w:w="2430" w:type="dxa"/>
          </w:tcPr>
          <w:p w14:paraId="65B30841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30 (8.2)</w:t>
            </w:r>
          </w:p>
        </w:tc>
      </w:tr>
      <w:tr w:rsidR="007725C5" w:rsidRPr="00890589" w14:paraId="621D100E" w14:textId="77777777" w:rsidTr="00784496">
        <w:tc>
          <w:tcPr>
            <w:tcW w:w="4860" w:type="dxa"/>
          </w:tcPr>
          <w:p w14:paraId="500A5F34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Cirrhosis, N (%)</w:t>
            </w:r>
          </w:p>
        </w:tc>
        <w:tc>
          <w:tcPr>
            <w:tcW w:w="2430" w:type="dxa"/>
          </w:tcPr>
          <w:p w14:paraId="38F31FF0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3 (0.8)</w:t>
            </w:r>
          </w:p>
        </w:tc>
      </w:tr>
      <w:tr w:rsidR="007725C5" w:rsidRPr="00890589" w14:paraId="1F5C7CFE" w14:textId="77777777" w:rsidTr="00784496">
        <w:tc>
          <w:tcPr>
            <w:tcW w:w="4860" w:type="dxa"/>
          </w:tcPr>
          <w:p w14:paraId="0FFDC913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Hyperlipidemia, N (%)</w:t>
            </w:r>
          </w:p>
        </w:tc>
        <w:tc>
          <w:tcPr>
            <w:tcW w:w="2430" w:type="dxa"/>
          </w:tcPr>
          <w:p w14:paraId="1617852B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82 (22.5)</w:t>
            </w:r>
          </w:p>
        </w:tc>
      </w:tr>
      <w:tr w:rsidR="007725C5" w:rsidRPr="00890589" w14:paraId="5F3F348B" w14:textId="77777777" w:rsidTr="00784496">
        <w:tc>
          <w:tcPr>
            <w:tcW w:w="4860" w:type="dxa"/>
          </w:tcPr>
          <w:p w14:paraId="3A33E2DB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Cause of FC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-SE</w:t>
            </w:r>
            <w:r w:rsidRPr="008905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MS insertion, N (%)</w:t>
            </w:r>
          </w:p>
          <w:p w14:paraId="7392C971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Pancreatic adenocarcinoma</w:t>
            </w:r>
          </w:p>
          <w:p w14:paraId="6146E4BE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Cholangiocarcinoma</w:t>
            </w:r>
          </w:p>
          <w:p w14:paraId="77C22E0D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Benign stricture</w:t>
            </w:r>
          </w:p>
          <w:p w14:paraId="6F6DB18A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External compression</w:t>
            </w:r>
          </w:p>
          <w:p w14:paraId="5E40EF0C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Ampullary/gallbladder/hepatic cancer</w:t>
            </w:r>
          </w:p>
          <w:p w14:paraId="7C1F7932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Not reported</w:t>
            </w:r>
          </w:p>
        </w:tc>
        <w:tc>
          <w:tcPr>
            <w:tcW w:w="2430" w:type="dxa"/>
          </w:tcPr>
          <w:p w14:paraId="5E796B33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3125D10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170 (46.6)</w:t>
            </w:r>
          </w:p>
          <w:p w14:paraId="22893157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48 (13.1)</w:t>
            </w:r>
          </w:p>
          <w:p w14:paraId="04369A45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106 (29)</w:t>
            </w:r>
          </w:p>
          <w:p w14:paraId="3DC8FD5E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30 (8.2)</w:t>
            </w:r>
          </w:p>
          <w:p w14:paraId="62ACD0BE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7 (1.9)</w:t>
            </w:r>
          </w:p>
          <w:p w14:paraId="1AD101CF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4 (1.1)</w:t>
            </w:r>
          </w:p>
        </w:tc>
      </w:tr>
      <w:tr w:rsidR="007725C5" w:rsidRPr="00890589" w14:paraId="43BFE385" w14:textId="77777777" w:rsidTr="00784496">
        <w:tc>
          <w:tcPr>
            <w:tcW w:w="4860" w:type="dxa"/>
          </w:tcPr>
          <w:p w14:paraId="16CFAA3D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Chemotherapy, N (%)</w:t>
            </w:r>
          </w:p>
        </w:tc>
        <w:tc>
          <w:tcPr>
            <w:tcW w:w="2430" w:type="dxa"/>
          </w:tcPr>
          <w:p w14:paraId="37C2B5A9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164 (45.9)</w:t>
            </w:r>
          </w:p>
        </w:tc>
      </w:tr>
      <w:tr w:rsidR="007725C5" w:rsidRPr="00890589" w14:paraId="6EDEF5C6" w14:textId="77777777" w:rsidTr="00784496">
        <w:tc>
          <w:tcPr>
            <w:tcW w:w="4860" w:type="dxa"/>
          </w:tcPr>
          <w:p w14:paraId="338837F7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>Follow-up since stent insertion</w:t>
            </w:r>
          </w:p>
        </w:tc>
        <w:tc>
          <w:tcPr>
            <w:tcW w:w="2430" w:type="dxa"/>
          </w:tcPr>
          <w:p w14:paraId="0BD7BF9F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 xml:space="preserve">186.4 </w:t>
            </w:r>
            <w:r w:rsidRPr="00890589">
              <w:rPr>
                <w:rFonts w:asciiTheme="majorBidi" w:hAnsiTheme="majorBidi" w:cstheme="majorBidi"/>
                <w:sz w:val="24"/>
                <w:szCs w:val="24"/>
              </w:rPr>
              <w:sym w:font="Symbol" w:char="F0B1"/>
            </w:r>
            <w:r w:rsidRPr="00890589">
              <w:rPr>
                <w:rFonts w:asciiTheme="majorBidi" w:hAnsiTheme="majorBidi" w:cstheme="majorBidi"/>
                <w:sz w:val="24"/>
                <w:szCs w:val="24"/>
              </w:rPr>
              <w:t xml:space="preserve"> 266.5</w:t>
            </w:r>
          </w:p>
        </w:tc>
      </w:tr>
      <w:tr w:rsidR="007725C5" w:rsidRPr="00890589" w14:paraId="0FB6B619" w14:textId="77777777" w:rsidTr="00784496">
        <w:tc>
          <w:tcPr>
            <w:tcW w:w="4860" w:type="dxa"/>
          </w:tcPr>
          <w:p w14:paraId="7A87A3EA" w14:textId="77777777" w:rsidR="007725C5" w:rsidRPr="00EE055C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EE055C">
              <w:rPr>
                <w:rFonts w:asciiTheme="majorBidi" w:hAnsiTheme="majorBidi" w:cstheme="majorBidi"/>
                <w:sz w:val="24"/>
                <w:szCs w:val="24"/>
              </w:rPr>
              <w:t>Interval time between stent insertion and cholecystitis</w:t>
            </w:r>
          </w:p>
        </w:tc>
        <w:tc>
          <w:tcPr>
            <w:tcW w:w="2430" w:type="dxa"/>
          </w:tcPr>
          <w:p w14:paraId="40A832EE" w14:textId="77777777" w:rsidR="007725C5" w:rsidRPr="00890589" w:rsidRDefault="007725C5" w:rsidP="0078449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90589">
              <w:rPr>
                <w:rFonts w:asciiTheme="majorBidi" w:hAnsiTheme="majorBidi" w:cstheme="majorBidi"/>
                <w:sz w:val="24"/>
                <w:szCs w:val="24"/>
              </w:rPr>
              <w:t xml:space="preserve">53.1 </w:t>
            </w:r>
            <w:r w:rsidRPr="00890589">
              <w:rPr>
                <w:rFonts w:asciiTheme="majorBidi" w:hAnsiTheme="majorBidi" w:cstheme="majorBidi"/>
                <w:sz w:val="24"/>
                <w:szCs w:val="24"/>
              </w:rPr>
              <w:sym w:font="Symbol" w:char="F0B1"/>
            </w:r>
            <w:r w:rsidRPr="00890589">
              <w:rPr>
                <w:rFonts w:asciiTheme="majorBidi" w:hAnsiTheme="majorBidi" w:cstheme="majorBidi"/>
                <w:sz w:val="24"/>
                <w:szCs w:val="24"/>
              </w:rPr>
              <w:t xml:space="preserve"> 78.9</w:t>
            </w:r>
          </w:p>
        </w:tc>
      </w:tr>
    </w:tbl>
    <w:p w14:paraId="6F748431" w14:textId="77777777" w:rsidR="007725C5" w:rsidRDefault="007725C5" w:rsidP="007725C5">
      <w:pPr>
        <w:pStyle w:val="EndNoteBibliography"/>
        <w:jc w:val="left"/>
        <w:rPr>
          <w:noProof/>
        </w:rPr>
      </w:pPr>
    </w:p>
    <w:p w14:paraId="640044F5" w14:textId="77777777" w:rsidR="007725C5" w:rsidRDefault="007725C5" w:rsidP="007725C5">
      <w:pPr>
        <w:pStyle w:val="EndNoteBibliography"/>
        <w:jc w:val="left"/>
        <w:rPr>
          <w:noProof/>
        </w:rPr>
      </w:pPr>
    </w:p>
    <w:p w14:paraId="79626043" w14:textId="77777777" w:rsidR="007725C5" w:rsidRDefault="007725C5" w:rsidP="007725C5">
      <w:pPr>
        <w:pStyle w:val="EndNoteBibliography"/>
        <w:jc w:val="left"/>
        <w:rPr>
          <w:noProof/>
        </w:rPr>
      </w:pPr>
    </w:p>
    <w:sectPr w:rsidR="007725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5C5"/>
    <w:rsid w:val="002E281E"/>
    <w:rsid w:val="003201BB"/>
    <w:rsid w:val="007725C5"/>
    <w:rsid w:val="00865217"/>
    <w:rsid w:val="008D5759"/>
    <w:rsid w:val="00A1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BA4F9"/>
  <w15:chartTrackingRefBased/>
  <w15:docId w15:val="{67613959-CCD6-4F67-BA78-CD951FB16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5C5"/>
    <w:pPr>
      <w:spacing w:line="259" w:lineRule="auto"/>
    </w:pPr>
    <w:rPr>
      <w:sz w:val="22"/>
      <w:szCs w:val="22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25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25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25C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25C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25C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25C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25C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25C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25C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2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2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2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2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2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2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2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2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2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2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772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25C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772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25C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772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25C5"/>
    <w:pPr>
      <w:spacing w:line="278" w:lineRule="auto"/>
      <w:ind w:left="720"/>
      <w:contextualSpacing/>
    </w:pPr>
    <w:rPr>
      <w:sz w:val="24"/>
      <w:szCs w:val="24"/>
      <w:lang w:bidi="ar-SA"/>
    </w:rPr>
  </w:style>
  <w:style w:type="character" w:styleId="IntenseEmphasis">
    <w:name w:val="Intense Emphasis"/>
    <w:basedOn w:val="DefaultParagraphFont"/>
    <w:uiPriority w:val="21"/>
    <w:qFormat/>
    <w:rsid w:val="00772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2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2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25C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725C5"/>
    <w:pPr>
      <w:spacing w:after="0" w:line="240" w:lineRule="auto"/>
    </w:pPr>
    <w:rPr>
      <w:sz w:val="22"/>
      <w:szCs w:val="22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7725C5"/>
    <w:pPr>
      <w:spacing w:line="240" w:lineRule="auto"/>
      <w:jc w:val="center"/>
    </w:pPr>
    <w:rPr>
      <w:rFonts w:ascii="Aptos" w:hAnsi="Aptos"/>
    </w:rPr>
  </w:style>
  <w:style w:type="character" w:customStyle="1" w:styleId="EndNoteBibliographyChar">
    <w:name w:val="EndNote Bibliography Char"/>
    <w:basedOn w:val="DefaultParagraphFont"/>
    <w:link w:val="EndNoteBibliography"/>
    <w:rsid w:val="007725C5"/>
    <w:rPr>
      <w:rFonts w:ascii="Aptos" w:hAnsi="Aptos"/>
      <w:sz w:val="22"/>
      <w:szCs w:val="22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2025-07-31T09:29:00Z</dcterms:created>
  <dcterms:modified xsi:type="dcterms:W3CDTF">2025-07-31T09:43:00Z</dcterms:modified>
</cp:coreProperties>
</file>