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EC5F1" w14:textId="77777777" w:rsidR="00F01D74" w:rsidRDefault="00F01D74">
      <w:pPr>
        <w:pStyle w:val="Title"/>
        <w:sectPr w:rsidR="00F01D74">
          <w:headerReference w:type="default" r:id="rId7"/>
          <w:footerReference w:type="default" r:id="rId8"/>
          <w:pgSz w:w="12240" w:h="15840"/>
          <w:pgMar w:top="1440" w:right="720" w:bottom="1440" w:left="1080" w:header="720" w:footer="720" w:gutter="0"/>
          <w:pgNumType w:start="1"/>
          <w:cols w:space="720"/>
        </w:sectPr>
      </w:pPr>
      <w:bookmarkStart w:id="0" w:name="_qkiddgvh1br3" w:colFirst="0" w:colLast="0"/>
      <w:bookmarkEnd w:id="0"/>
    </w:p>
    <w:p w14:paraId="663C73C8" w14:textId="77777777" w:rsidR="00F01D74" w:rsidRDefault="00F01D74">
      <w:pPr>
        <w:pStyle w:val="Title"/>
        <w:sectPr w:rsidR="00F01D74">
          <w:type w:val="continuous"/>
          <w:pgSz w:w="12240" w:h="15840"/>
          <w:pgMar w:top="1440" w:right="720" w:bottom="1440" w:left="1080" w:header="720" w:footer="720" w:gutter="0"/>
          <w:cols w:space="720" w:equalWidth="0">
            <w:col w:w="10440" w:space="0"/>
          </w:cols>
        </w:sectPr>
      </w:pPr>
      <w:bookmarkStart w:id="1" w:name="_kmcw4v87m3j9" w:colFirst="0" w:colLast="0"/>
      <w:bookmarkEnd w:id="1"/>
    </w:p>
    <w:p w14:paraId="1DF12BBC" w14:textId="77777777" w:rsidR="00F01D74" w:rsidRDefault="00000000">
      <w:pPr>
        <w:spacing w:after="80"/>
        <w:rPr>
          <w:sz w:val="20"/>
          <w:szCs w:val="20"/>
        </w:rPr>
      </w:pPr>
      <w:bookmarkStart w:id="2" w:name="_un79kqz2jq51" w:colFirst="0" w:colLast="0"/>
      <w:bookmarkEnd w:id="2"/>
      <w:r>
        <w:rPr>
          <w:noProof/>
          <w:sz w:val="20"/>
          <w:szCs w:val="20"/>
        </w:rPr>
        <w:drawing>
          <wp:inline distT="114300" distB="114300" distL="114300" distR="114300" wp14:anchorId="35AFD831" wp14:editId="3605AB70">
            <wp:extent cx="6629400" cy="38735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6629400" cy="3873500"/>
                    </a:xfrm>
                    <a:prstGeom prst="rect">
                      <a:avLst/>
                    </a:prstGeom>
                    <a:ln/>
                  </pic:spPr>
                </pic:pic>
              </a:graphicData>
            </a:graphic>
          </wp:inline>
        </w:drawing>
      </w:r>
    </w:p>
    <w:p w14:paraId="4827837E" w14:textId="77777777" w:rsidR="00F01D74" w:rsidRDefault="00000000">
      <w:pPr>
        <w:spacing w:after="80"/>
        <w:rPr>
          <w:sz w:val="20"/>
          <w:szCs w:val="20"/>
        </w:rPr>
      </w:pPr>
      <w:r>
        <w:rPr>
          <w:b/>
        </w:rPr>
        <w:t>Extended Data Fig. 1</w:t>
      </w:r>
      <w:r>
        <w:rPr>
          <w:sz w:val="20"/>
          <w:szCs w:val="20"/>
        </w:rPr>
        <w:t xml:space="preserve">: </w:t>
      </w:r>
      <w:r>
        <w:rPr>
          <w:b/>
          <w:sz w:val="20"/>
          <w:szCs w:val="20"/>
        </w:rPr>
        <w:t>MetaboT System Architecture</w:t>
      </w:r>
      <w:r>
        <w:rPr>
          <w:sz w:val="20"/>
          <w:szCs w:val="20"/>
        </w:rPr>
        <w:t>. The diagram illustrates the comprehensive structure of the multi-agent framework. Purple nodes denote the core agents—Entry, Validator, Supervisor (highlighted in light pink), Knowledge Graph, SPARQL Query Runner, and Interpreter—while green nodes represent supporting tools (e.g., FileAnalyzer, ChemicalResolver, GraphSparqlQAChain). Light blue nodes indicate external resources. Additionally, a New Agent node (from the Supervisor) with a dashed edge demonstrates possible modular expansion. Directional arrows trace the flow of information from the user’s natural-language query through the processing pipeline to the final SPARQL-derived response.</w:t>
      </w:r>
    </w:p>
    <w:p w14:paraId="3485CB6A" w14:textId="77777777" w:rsidR="00F01D74" w:rsidRDefault="00000000">
      <w:pPr>
        <w:jc w:val="center"/>
      </w:pPr>
      <w:bookmarkStart w:id="3" w:name="_yorfc4yd5dm1" w:colFirst="0" w:colLast="0"/>
      <w:bookmarkEnd w:id="3"/>
      <w:r>
        <w:rPr>
          <w:noProof/>
        </w:rPr>
        <w:lastRenderedPageBreak/>
        <w:drawing>
          <wp:inline distT="114300" distB="114300" distL="114300" distR="114300" wp14:anchorId="128EC726" wp14:editId="0A7AC005">
            <wp:extent cx="3778631" cy="84306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778631" cy="8430625"/>
                    </a:xfrm>
                    <a:prstGeom prst="rect">
                      <a:avLst/>
                    </a:prstGeom>
                    <a:ln/>
                  </pic:spPr>
                </pic:pic>
              </a:graphicData>
            </a:graphic>
          </wp:inline>
        </w:drawing>
      </w:r>
    </w:p>
    <w:p w14:paraId="0BD962A0" w14:textId="77777777" w:rsidR="00F01D74" w:rsidRDefault="00F01D74"/>
    <w:p w14:paraId="2DA941AF" w14:textId="77777777" w:rsidR="00F01D74" w:rsidRDefault="00000000">
      <w:pPr>
        <w:spacing w:after="80"/>
        <w:rPr>
          <w:sz w:val="18"/>
          <w:szCs w:val="18"/>
        </w:rPr>
      </w:pPr>
      <w:r>
        <w:rPr>
          <w:b/>
          <w:sz w:val="18"/>
          <w:szCs w:val="18"/>
        </w:rPr>
        <w:t>Extended Data Fig. 2</w:t>
      </w:r>
      <w:r>
        <w:rPr>
          <w:sz w:val="18"/>
          <w:szCs w:val="18"/>
        </w:rPr>
        <w:t xml:space="preserve">: </w:t>
      </w:r>
      <w:r>
        <w:rPr>
          <w:b/>
          <w:sz w:val="18"/>
          <w:szCs w:val="18"/>
        </w:rPr>
        <w:t xml:space="preserve">Agent Interaction Workflow with Decision Points. </w:t>
      </w:r>
      <w:r>
        <w:rPr>
          <w:sz w:val="18"/>
          <w:szCs w:val="18"/>
        </w:rPr>
        <w:t>The diagram depicts the sequential decision-making process within MetaboT. A user query initiates the workflow at the Entry Agent, which classifies the question as either a new question (routed to the Validator Agent) or a follow‐up (directly to the Supervisor Agent). Valid questions proceed from the Validator to the Supervisor Agent, where an initial entity analysis determines whether to invoke entity resolution via the KG Agent or bypass it for direct SPARQL query generation. The SPARQL Agent (i.e., the SPARQL Query Runner Agent described in the main text) generates and executes the SPARQL query as needed, then passes its output back to the Supervisor Agent. Finally, the SPARQL Agent’s outputs are processed by the Interpreter Agent, which produces the final response. This structured, directed graph ensures that each agent’s output becomes the input for subsequent processes, enabling adaptive routing based on query content and intermediate outcomes.</w:t>
      </w:r>
    </w:p>
    <w:p w14:paraId="6DDCE47D"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40" w:lineRule="auto"/>
        <w:rPr>
          <w:b/>
          <w:color w:val="0D0D0D"/>
        </w:rPr>
      </w:pPr>
      <w:r>
        <w:rPr>
          <w:b/>
          <w:color w:val="0D0D0D"/>
        </w:rPr>
        <w:t>Supplementary Table 1: Evaluation results.</w:t>
      </w:r>
    </w:p>
    <w:tbl>
      <w:tblPr>
        <w:tblStyle w:val="a"/>
        <w:tblW w:w="9360" w:type="dxa"/>
        <w:tblBorders>
          <w:top w:val="nil"/>
          <w:left w:val="nil"/>
          <w:bottom w:val="nil"/>
          <w:right w:val="nil"/>
          <w:insideH w:val="nil"/>
          <w:insideV w:val="nil"/>
        </w:tblBorders>
        <w:tblLayout w:type="fixed"/>
        <w:tblLook w:val="0600" w:firstRow="0" w:lastRow="0" w:firstColumn="0" w:lastColumn="0" w:noHBand="1" w:noVBand="1"/>
      </w:tblPr>
      <w:tblGrid>
        <w:gridCol w:w="1521"/>
        <w:gridCol w:w="1066"/>
        <w:gridCol w:w="1210"/>
        <w:gridCol w:w="1026"/>
        <w:gridCol w:w="1090"/>
        <w:gridCol w:w="1210"/>
        <w:gridCol w:w="963"/>
        <w:gridCol w:w="1274"/>
      </w:tblGrid>
      <w:tr w:rsidR="00F01D74" w14:paraId="52689623" w14:textId="77777777">
        <w:trPr>
          <w:trHeight w:val="1230"/>
        </w:trPr>
        <w:tc>
          <w:tcPr>
            <w:tcW w:w="1520" w:type="dxa"/>
            <w:vMerge w:val="restart"/>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E36795C"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jc w:val="center"/>
              <w:rPr>
                <w:b/>
              </w:rPr>
            </w:pPr>
            <w:r>
              <w:rPr>
                <w:b/>
              </w:rPr>
              <w:t>System</w:t>
            </w:r>
          </w:p>
        </w:tc>
        <w:tc>
          <w:tcPr>
            <w:tcW w:w="1066" w:type="dxa"/>
            <w:vMerge w:val="restart"/>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ADA921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jc w:val="center"/>
              <w:rPr>
                <w:b/>
              </w:rPr>
            </w:pPr>
            <w:r>
              <w:rPr>
                <w:b/>
              </w:rPr>
              <w:t>Overall Accuracy (49 questions) (%)</w:t>
            </w:r>
          </w:p>
        </w:tc>
        <w:tc>
          <w:tcPr>
            <w:tcW w:w="2235" w:type="dxa"/>
            <w:gridSpan w:val="2"/>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E245E9E"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jc w:val="center"/>
            </w:pPr>
            <w:r>
              <w:rPr>
                <w:b/>
              </w:rPr>
              <w:t xml:space="preserve">Low Complexity </w:t>
            </w:r>
            <w:r>
              <w:t>(11 questions)</w:t>
            </w:r>
          </w:p>
        </w:tc>
        <w:tc>
          <w:tcPr>
            <w:tcW w:w="2299" w:type="dxa"/>
            <w:gridSpan w:val="2"/>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644EA571"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jc w:val="center"/>
            </w:pPr>
            <w:r>
              <w:rPr>
                <w:b/>
              </w:rPr>
              <w:t xml:space="preserve">Medium Complexity </w:t>
            </w:r>
            <w:r>
              <w:t>(19 questions)</w:t>
            </w:r>
          </w:p>
        </w:tc>
        <w:tc>
          <w:tcPr>
            <w:tcW w:w="2236" w:type="dxa"/>
            <w:gridSpan w:val="2"/>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382DDC48"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jc w:val="center"/>
            </w:pPr>
            <w:r>
              <w:rPr>
                <w:b/>
              </w:rPr>
              <w:t xml:space="preserve">High Complexity </w:t>
            </w:r>
            <w:r>
              <w:t>(19 questions)</w:t>
            </w:r>
          </w:p>
        </w:tc>
      </w:tr>
      <w:tr w:rsidR="00F01D74" w14:paraId="5B5DD471" w14:textId="77777777">
        <w:trPr>
          <w:trHeight w:val="1725"/>
        </w:trPr>
        <w:tc>
          <w:tcPr>
            <w:tcW w:w="1520"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154B0B5" w14:textId="77777777" w:rsidR="00F01D74" w:rsidRDefault="00F01D74">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40" w:lineRule="auto"/>
              <w:rPr>
                <w:color w:val="0D0D0D"/>
              </w:rPr>
            </w:pPr>
          </w:p>
        </w:tc>
        <w:tc>
          <w:tcPr>
            <w:tcW w:w="1066" w:type="dxa"/>
            <w:vMerge/>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790BCA1F" w14:textId="77777777" w:rsidR="00F01D74" w:rsidRDefault="00F01D74">
            <w:pPr>
              <w:pBdr>
                <w:top w:val="none" w:sz="0" w:space="0" w:color="E3E3E3"/>
                <w:left w:val="none" w:sz="0" w:space="0" w:color="E3E3E3"/>
                <w:bottom w:val="none" w:sz="0" w:space="0" w:color="E3E3E3"/>
                <w:right w:val="none" w:sz="0" w:space="0" w:color="E3E3E3"/>
                <w:between w:val="none" w:sz="0" w:space="0" w:color="E3E3E3"/>
              </w:pBdr>
              <w:shd w:val="clear" w:color="auto" w:fill="FFFFFF"/>
              <w:spacing w:before="300" w:after="300" w:line="240" w:lineRule="auto"/>
              <w:rPr>
                <w:color w:val="0D0D0D"/>
              </w:rPr>
            </w:pPr>
          </w:p>
        </w:tc>
        <w:tc>
          <w:tcPr>
            <w:tcW w:w="1209" w:type="dxa"/>
            <w:tcBorders>
              <w:top w:val="single" w:sz="6" w:space="0" w:color="000000"/>
              <w:left w:val="single" w:sz="6" w:space="0" w:color="000000"/>
              <w:bottom w:val="single" w:sz="6" w:space="0" w:color="000000"/>
              <w:right w:val="nil"/>
            </w:tcBorders>
            <w:tcMar>
              <w:top w:w="80" w:type="dxa"/>
              <w:left w:w="140" w:type="dxa"/>
              <w:bottom w:w="80" w:type="dxa"/>
              <w:right w:w="140" w:type="dxa"/>
            </w:tcMar>
          </w:tcPr>
          <w:p w14:paraId="5455F43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b/>
              </w:rPr>
            </w:pPr>
            <w:r>
              <w:rPr>
                <w:b/>
              </w:rPr>
              <w:t>Accuracy (%)</w:t>
            </w:r>
          </w:p>
        </w:tc>
        <w:tc>
          <w:tcPr>
            <w:tcW w:w="1026" w:type="dxa"/>
            <w:tcBorders>
              <w:top w:val="single" w:sz="6" w:space="0" w:color="000000"/>
              <w:left w:val="nil"/>
              <w:bottom w:val="single" w:sz="6" w:space="0" w:color="000000"/>
              <w:right w:val="single" w:sz="6" w:space="0" w:color="000000"/>
            </w:tcBorders>
            <w:tcMar>
              <w:top w:w="80" w:type="dxa"/>
              <w:left w:w="140" w:type="dxa"/>
              <w:bottom w:w="80" w:type="dxa"/>
              <w:right w:w="140" w:type="dxa"/>
            </w:tcMar>
          </w:tcPr>
          <w:p w14:paraId="0086732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b/>
              </w:rPr>
            </w:pPr>
            <w:r>
              <w:rPr>
                <w:b/>
              </w:rPr>
              <w:t>Error Type</w:t>
            </w:r>
          </w:p>
        </w:tc>
        <w:tc>
          <w:tcPr>
            <w:tcW w:w="1090" w:type="dxa"/>
            <w:tcBorders>
              <w:top w:val="single" w:sz="6" w:space="0" w:color="000000"/>
              <w:left w:val="single" w:sz="6" w:space="0" w:color="000000"/>
              <w:bottom w:val="single" w:sz="6" w:space="0" w:color="000000"/>
              <w:right w:val="nil"/>
            </w:tcBorders>
            <w:tcMar>
              <w:top w:w="80" w:type="dxa"/>
              <w:left w:w="140" w:type="dxa"/>
              <w:bottom w:w="80" w:type="dxa"/>
              <w:right w:w="140" w:type="dxa"/>
            </w:tcMar>
          </w:tcPr>
          <w:p w14:paraId="40FBF668"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b/>
              </w:rPr>
            </w:pPr>
            <w:r>
              <w:rPr>
                <w:b/>
              </w:rPr>
              <w:t>Accuracy (%)</w:t>
            </w:r>
          </w:p>
        </w:tc>
        <w:tc>
          <w:tcPr>
            <w:tcW w:w="1209" w:type="dxa"/>
            <w:tcBorders>
              <w:top w:val="single" w:sz="6" w:space="0" w:color="000000"/>
              <w:left w:val="nil"/>
              <w:bottom w:val="single" w:sz="6" w:space="0" w:color="000000"/>
              <w:right w:val="single" w:sz="6" w:space="0" w:color="000000"/>
            </w:tcBorders>
            <w:tcMar>
              <w:top w:w="80" w:type="dxa"/>
              <w:left w:w="140" w:type="dxa"/>
              <w:bottom w:w="80" w:type="dxa"/>
              <w:right w:w="140" w:type="dxa"/>
            </w:tcMar>
          </w:tcPr>
          <w:p w14:paraId="1D28D4D1"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b/>
              </w:rPr>
            </w:pPr>
            <w:r>
              <w:rPr>
                <w:b/>
              </w:rPr>
              <w:t>Error Type</w:t>
            </w:r>
          </w:p>
        </w:tc>
        <w:tc>
          <w:tcPr>
            <w:tcW w:w="963" w:type="dxa"/>
            <w:tcBorders>
              <w:top w:val="single" w:sz="6" w:space="0" w:color="000000"/>
              <w:left w:val="single" w:sz="6" w:space="0" w:color="000000"/>
              <w:bottom w:val="single" w:sz="6" w:space="0" w:color="000000"/>
              <w:right w:val="nil"/>
            </w:tcBorders>
            <w:tcMar>
              <w:top w:w="80" w:type="dxa"/>
              <w:left w:w="140" w:type="dxa"/>
              <w:bottom w:w="80" w:type="dxa"/>
              <w:right w:w="140" w:type="dxa"/>
            </w:tcMar>
          </w:tcPr>
          <w:p w14:paraId="42791D7C"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b/>
              </w:rPr>
            </w:pPr>
            <w:r>
              <w:rPr>
                <w:b/>
              </w:rPr>
              <w:t>Accuracy (%)</w:t>
            </w:r>
          </w:p>
        </w:tc>
        <w:tc>
          <w:tcPr>
            <w:tcW w:w="1273" w:type="dxa"/>
            <w:tcBorders>
              <w:top w:val="single" w:sz="6" w:space="0" w:color="000000"/>
              <w:left w:val="nil"/>
              <w:bottom w:val="single" w:sz="6" w:space="0" w:color="000000"/>
              <w:right w:val="single" w:sz="6" w:space="0" w:color="000000"/>
            </w:tcBorders>
            <w:tcMar>
              <w:top w:w="80" w:type="dxa"/>
              <w:left w:w="140" w:type="dxa"/>
              <w:bottom w:w="80" w:type="dxa"/>
              <w:right w:w="140" w:type="dxa"/>
            </w:tcMar>
          </w:tcPr>
          <w:p w14:paraId="3B6CE36E"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b/>
              </w:rPr>
            </w:pPr>
            <w:r>
              <w:rPr>
                <w:b/>
              </w:rPr>
              <w:t>Error Type</w:t>
            </w:r>
          </w:p>
        </w:tc>
      </w:tr>
      <w:tr w:rsidR="00F01D74" w14:paraId="3FEDEF28" w14:textId="77777777">
        <w:trPr>
          <w:trHeight w:val="870"/>
        </w:trPr>
        <w:tc>
          <w:tcPr>
            <w:tcW w:w="152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39ABD8F4"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GPT- 4o(one shot)</w:t>
            </w:r>
          </w:p>
        </w:tc>
        <w:tc>
          <w:tcPr>
            <w:tcW w:w="106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0AEE3A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8.16</w:t>
            </w: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2061584A"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18.18</w:t>
            </w:r>
          </w:p>
        </w:tc>
        <w:tc>
          <w:tcPr>
            <w:tcW w:w="102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5184CCB3"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 xml:space="preserve">Type 2 </w:t>
            </w:r>
          </w:p>
        </w:tc>
        <w:tc>
          <w:tcPr>
            <w:tcW w:w="109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6EADC33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 xml:space="preserve">10.52 </w:t>
            </w:r>
            <w:r>
              <w:rPr>
                <w:color w:val="0D0D0D"/>
              </w:rPr>
              <w:br/>
            </w: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B282806"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2</w:t>
            </w:r>
          </w:p>
        </w:tc>
        <w:tc>
          <w:tcPr>
            <w:tcW w:w="96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6E942374"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0.00</w:t>
            </w:r>
          </w:p>
        </w:tc>
        <w:tc>
          <w:tcPr>
            <w:tcW w:w="127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420F899"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2</w:t>
            </w:r>
          </w:p>
        </w:tc>
      </w:tr>
      <w:tr w:rsidR="00F01D74" w14:paraId="6486756C" w14:textId="77777777">
        <w:trPr>
          <w:trHeight w:val="1725"/>
        </w:trPr>
        <w:tc>
          <w:tcPr>
            <w:tcW w:w="152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25FCA8C0"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MetaboT GPT-4o mini</w:t>
            </w:r>
          </w:p>
        </w:tc>
        <w:tc>
          <w:tcPr>
            <w:tcW w:w="106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68E291B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12.24</w:t>
            </w: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56FCC34A"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0.00</w:t>
            </w:r>
          </w:p>
        </w:tc>
        <w:tc>
          <w:tcPr>
            <w:tcW w:w="102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39DCD55C"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1 (6),</w:t>
            </w:r>
          </w:p>
          <w:p w14:paraId="67F1FE57"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2 (5)</w:t>
            </w:r>
          </w:p>
        </w:tc>
        <w:tc>
          <w:tcPr>
            <w:tcW w:w="109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9B73A3A"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15.78</w:t>
            </w: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541AF1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color w:val="0D0D0D"/>
              </w:rPr>
            </w:pPr>
            <w:r>
              <w:rPr>
                <w:color w:val="0D0D0D"/>
              </w:rPr>
              <w:t>Type 1 (7),    Type 2 (7),   Type 3 (1),   Type 4 (1)</w:t>
            </w:r>
          </w:p>
        </w:tc>
        <w:tc>
          <w:tcPr>
            <w:tcW w:w="96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3E7E8E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15.78</w:t>
            </w:r>
          </w:p>
        </w:tc>
        <w:tc>
          <w:tcPr>
            <w:tcW w:w="127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2DE483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rPr>
                <w:color w:val="0D0D0D"/>
              </w:rPr>
            </w:pPr>
            <w:r>
              <w:rPr>
                <w:color w:val="0D0D0D"/>
              </w:rPr>
              <w:t>Type 1 (7),     Type 2 (8),    Type 4 (1)</w:t>
            </w:r>
          </w:p>
        </w:tc>
      </w:tr>
      <w:tr w:rsidR="00F01D74" w14:paraId="4E576B59" w14:textId="77777777">
        <w:trPr>
          <w:trHeight w:val="870"/>
        </w:trPr>
        <w:tc>
          <w:tcPr>
            <w:tcW w:w="152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15539697"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MetaboT GPT-4o</w:t>
            </w:r>
          </w:p>
        </w:tc>
        <w:tc>
          <w:tcPr>
            <w:tcW w:w="106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2C4D6FA"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83.67</w:t>
            </w:r>
          </w:p>
          <w:p w14:paraId="14781089" w14:textId="77777777" w:rsidR="00F01D74" w:rsidRDefault="00F01D74">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5D1F17D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81.81</w:t>
            </w:r>
          </w:p>
        </w:tc>
        <w:tc>
          <w:tcPr>
            <w:tcW w:w="1026"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0CE22BD6"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 xml:space="preserve">Type 1 </w:t>
            </w:r>
          </w:p>
        </w:tc>
        <w:tc>
          <w:tcPr>
            <w:tcW w:w="1090"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5BB861F8"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89.47</w:t>
            </w:r>
          </w:p>
        </w:tc>
        <w:tc>
          <w:tcPr>
            <w:tcW w:w="1209"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4B934DE5"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2 (1), Type 3 (1)</w:t>
            </w:r>
          </w:p>
        </w:tc>
        <w:tc>
          <w:tcPr>
            <w:tcW w:w="96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6D202C1F"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78.95</w:t>
            </w:r>
          </w:p>
        </w:tc>
        <w:tc>
          <w:tcPr>
            <w:tcW w:w="1273" w:type="dxa"/>
            <w:tcBorders>
              <w:top w:val="single" w:sz="6" w:space="0" w:color="000000"/>
              <w:left w:val="single" w:sz="6" w:space="0" w:color="000000"/>
              <w:bottom w:val="single" w:sz="6" w:space="0" w:color="000000"/>
              <w:right w:val="single" w:sz="6" w:space="0" w:color="000000"/>
            </w:tcBorders>
            <w:tcMar>
              <w:top w:w="80" w:type="dxa"/>
              <w:left w:w="140" w:type="dxa"/>
              <w:bottom w:w="80" w:type="dxa"/>
              <w:right w:w="140" w:type="dxa"/>
            </w:tcMar>
          </w:tcPr>
          <w:p w14:paraId="06498A9D" w14:textId="77777777" w:rsidR="00F01D74" w:rsidRDefault="00000000">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rPr>
                <w:color w:val="0D0D0D"/>
              </w:rPr>
            </w:pPr>
            <w:r>
              <w:rPr>
                <w:color w:val="0D0D0D"/>
              </w:rPr>
              <w:t>Type 2</w:t>
            </w:r>
          </w:p>
        </w:tc>
      </w:tr>
    </w:tbl>
    <w:p w14:paraId="0ABE05A9" w14:textId="77777777" w:rsidR="00F01D74" w:rsidRDefault="00F01D74"/>
    <w:p w14:paraId="33754A4A" w14:textId="5BF82D3E" w:rsidR="00F01D74" w:rsidRDefault="00F01D74" w:rsidP="00B66624">
      <w:pPr>
        <w:widowControl w:val="0"/>
        <w:pBdr>
          <w:top w:val="nil"/>
          <w:left w:val="nil"/>
          <w:bottom w:val="nil"/>
          <w:right w:val="nil"/>
          <w:between w:val="nil"/>
        </w:pBdr>
        <w:spacing w:before="0" w:after="0" w:line="480" w:lineRule="auto"/>
      </w:pPr>
      <w:bookmarkStart w:id="4" w:name="_t7o2iocra9tj" w:colFirst="0" w:colLast="0"/>
      <w:bookmarkEnd w:id="4"/>
    </w:p>
    <w:sectPr w:rsidR="00F01D74">
      <w:type w:val="continuous"/>
      <w:pgSz w:w="12240" w:h="15840"/>
      <w:pgMar w:top="1440" w:right="720" w:bottom="144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3DB76" w14:textId="77777777" w:rsidR="006D4487" w:rsidRDefault="006D4487">
      <w:pPr>
        <w:spacing w:before="0" w:after="0" w:line="240" w:lineRule="auto"/>
      </w:pPr>
      <w:r>
        <w:separator/>
      </w:r>
    </w:p>
  </w:endnote>
  <w:endnote w:type="continuationSeparator" w:id="0">
    <w:p w14:paraId="7CB3D563" w14:textId="77777777" w:rsidR="006D4487" w:rsidRDefault="006D4487">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785C8DE0-8254-43C5-94EC-C707840A6155}"/>
  </w:font>
  <w:font w:name="Cambria">
    <w:panose1 w:val="02040503050406030204"/>
    <w:charset w:val="00"/>
    <w:family w:val="roman"/>
    <w:pitch w:val="variable"/>
    <w:sig w:usb0="E00006FF" w:usb1="420024FF" w:usb2="02000000" w:usb3="00000000" w:csb0="0000019F" w:csb1="00000000"/>
    <w:embedRegular r:id="rId2" w:fontKey="{FA222312-F178-45D2-9C70-2DFFE5FBC95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04016" w14:textId="77777777" w:rsidR="00F01D74" w:rsidRDefault="00000000">
    <w:pPr>
      <w:jc w:val="right"/>
    </w:pPr>
    <w:r>
      <w:fldChar w:fldCharType="begin"/>
    </w:r>
    <w:r>
      <w:instrText>PAGE</w:instrText>
    </w:r>
    <w:r>
      <w:fldChar w:fldCharType="separate"/>
    </w:r>
    <w:r w:rsidR="00F04CA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1F3362" w14:textId="77777777" w:rsidR="006D4487" w:rsidRDefault="006D4487">
      <w:pPr>
        <w:spacing w:before="0" w:after="0" w:line="240" w:lineRule="auto"/>
      </w:pPr>
      <w:r>
        <w:separator/>
      </w:r>
    </w:p>
  </w:footnote>
  <w:footnote w:type="continuationSeparator" w:id="0">
    <w:p w14:paraId="0B07F752" w14:textId="77777777" w:rsidR="006D4487" w:rsidRDefault="006D4487">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8F3A8" w14:textId="77777777" w:rsidR="00F01D74" w:rsidRDefault="00F01D7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1DE6"/>
    <w:multiLevelType w:val="multilevel"/>
    <w:tmpl w:val="93769B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B62327"/>
    <w:multiLevelType w:val="multilevel"/>
    <w:tmpl w:val="A5124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DDC27DA"/>
    <w:multiLevelType w:val="multilevel"/>
    <w:tmpl w:val="10C0EE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0BD330D"/>
    <w:multiLevelType w:val="multilevel"/>
    <w:tmpl w:val="92DC94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B6D222F"/>
    <w:multiLevelType w:val="multilevel"/>
    <w:tmpl w:val="21CCEC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CB96932"/>
    <w:multiLevelType w:val="multilevel"/>
    <w:tmpl w:val="D27A22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9D30577"/>
    <w:multiLevelType w:val="multilevel"/>
    <w:tmpl w:val="BFA0DF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9824B0"/>
    <w:multiLevelType w:val="multilevel"/>
    <w:tmpl w:val="3AE610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5461615A"/>
    <w:multiLevelType w:val="multilevel"/>
    <w:tmpl w:val="EA100C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555F6BC7"/>
    <w:multiLevelType w:val="multilevel"/>
    <w:tmpl w:val="EBD877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2594ACE"/>
    <w:multiLevelType w:val="multilevel"/>
    <w:tmpl w:val="2EC6F2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49C7925"/>
    <w:multiLevelType w:val="multilevel"/>
    <w:tmpl w:val="AD286D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5234A77"/>
    <w:multiLevelType w:val="multilevel"/>
    <w:tmpl w:val="E5E05F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7E720A4"/>
    <w:multiLevelType w:val="multilevel"/>
    <w:tmpl w:val="C6F410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34691765">
    <w:abstractNumId w:val="5"/>
  </w:num>
  <w:num w:numId="2" w16cid:durableId="1055347869">
    <w:abstractNumId w:val="9"/>
  </w:num>
  <w:num w:numId="3" w16cid:durableId="692413684">
    <w:abstractNumId w:val="12"/>
  </w:num>
  <w:num w:numId="4" w16cid:durableId="1728842147">
    <w:abstractNumId w:val="2"/>
  </w:num>
  <w:num w:numId="5" w16cid:durableId="730931212">
    <w:abstractNumId w:val="6"/>
  </w:num>
  <w:num w:numId="6" w16cid:durableId="1109619278">
    <w:abstractNumId w:val="7"/>
  </w:num>
  <w:num w:numId="7" w16cid:durableId="1180121735">
    <w:abstractNumId w:val="4"/>
  </w:num>
  <w:num w:numId="8" w16cid:durableId="2068185461">
    <w:abstractNumId w:val="11"/>
  </w:num>
  <w:num w:numId="9" w16cid:durableId="315230706">
    <w:abstractNumId w:val="1"/>
  </w:num>
  <w:num w:numId="10" w16cid:durableId="1163281254">
    <w:abstractNumId w:val="0"/>
  </w:num>
  <w:num w:numId="11" w16cid:durableId="1065302250">
    <w:abstractNumId w:val="10"/>
  </w:num>
  <w:num w:numId="12" w16cid:durableId="1414623646">
    <w:abstractNumId w:val="3"/>
  </w:num>
  <w:num w:numId="13" w16cid:durableId="1012531787">
    <w:abstractNumId w:val="13"/>
  </w:num>
  <w:num w:numId="14" w16cid:durableId="8221658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1D74"/>
    <w:rsid w:val="001D44DF"/>
    <w:rsid w:val="006D4487"/>
    <w:rsid w:val="00B66624"/>
    <w:rsid w:val="00CE25F3"/>
    <w:rsid w:val="00E349AA"/>
    <w:rsid w:val="00F01D74"/>
    <w:rsid w:val="00F04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655B3"/>
  <w15:docId w15:val="{8A41B68F-D82A-F34F-AFE8-241494D0F3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en" w:eastAsia="en-US" w:bidi="ar-SA"/>
      </w:rPr>
    </w:rPrDefault>
    <w:pPrDefault>
      <w:pPr>
        <w:spacing w:before="240" w:after="24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after="80"/>
      <w:outlineLvl w:val="4"/>
    </w:pPr>
    <w:rPr>
      <w:color w:val="666666"/>
    </w:rPr>
  </w:style>
  <w:style w:type="paragraph" w:styleId="Heading6">
    <w:name w:val="heading 6"/>
    <w:basedOn w:val="Normal"/>
    <w:next w:val="Normal"/>
    <w:uiPriority w:val="9"/>
    <w:semiHidden/>
    <w:unhideWhenUsed/>
    <w:qFormat/>
    <w:pPr>
      <w:keepNext/>
      <w:keepLines/>
      <w:spacing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0" w:after="60"/>
    </w:pPr>
    <w:rPr>
      <w:sz w:val="52"/>
      <w:szCs w:val="52"/>
    </w:rPr>
  </w:style>
  <w:style w:type="paragraph" w:styleId="Subtitle">
    <w:name w:val="Subtitle"/>
    <w:basedOn w:val="Normal"/>
    <w:next w:val="Normal"/>
    <w:uiPriority w:val="11"/>
    <w:qFormat/>
    <w:pPr>
      <w:keepNext/>
      <w:keepLines/>
      <w:spacing w:before="0"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344</Words>
  <Characters>1967</Characters>
  <Application>Microsoft Office Word</Application>
  <DocSecurity>0</DocSecurity>
  <Lines>16</Lines>
  <Paragraphs>4</Paragraphs>
  <ScaleCrop>false</ScaleCrop>
  <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2025-05-06T09:40:00Z</dcterms:created>
  <dcterms:modified xsi:type="dcterms:W3CDTF">2025-05-06T09:40:00Z</dcterms:modified>
</cp:coreProperties>
</file>