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jc w:val="left"/>
        <w:rPr>
          <w:rFonts w:ascii="Times New Roman" w:hAnsi="Times New Roman" w:eastAsia="Times New Roman" w:cs="Times New Roman"/>
        </w:rPr>
      </w:pPr>
      <w:r>
        <w:rPr>
          <w:rFonts w:eastAsia="Arial" w:cs="Arial" w:ascii="Arial" w:hAnsi="Arial"/>
          <w:b/>
          <w:color w:val="000000"/>
          <w:sz w:val="32"/>
          <w:szCs w:val="32"/>
        </w:rPr>
        <w:t>A</w:t>
      </w:r>
      <w:r>
        <w:rPr>
          <w:rFonts w:eastAsia="Times New Roman" w:cs="Times New Roman" w:ascii="Times New Roman" w:hAnsi="Times New Roman"/>
          <w:b/>
          <w:sz w:val="32"/>
          <w:szCs w:val="32"/>
        </w:rPr>
        <w:t>ttack rate and the price of SARS-CoV-2 herd immunity in Brazil</w:t>
      </w:r>
      <w:r>
        <w:rPr>
          <w:rFonts w:eastAsia="Times New Roman" w:cs="Times New Roman" w:ascii="Times New Roman" w:hAnsi="Times New Roman"/>
          <w:b/>
          <w:sz w:val="28"/>
          <w:szCs w:val="28"/>
        </w:rPr>
        <w:t xml:space="preserve"> - Supplementary </w:t>
      </w:r>
      <w:r>
        <w:rPr>
          <w:rFonts w:eastAsia="Times New Roman" w:cs="Times New Roman" w:ascii="Times New Roman" w:hAnsi="Times New Roman"/>
          <w:b/>
          <w:color w:val="auto"/>
          <w:kern w:val="0"/>
          <w:sz w:val="28"/>
          <w:szCs w:val="28"/>
          <w:lang w:val="en-US" w:eastAsia="zh-CN" w:bidi="hi-IN"/>
        </w:rPr>
        <w:t>material</w:t>
      </w:r>
    </w:p>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Heading1"/>
        <w:numPr>
          <w:ilvl w:val="0"/>
          <w:numId w:val="0"/>
        </w:numPr>
        <w:tabs>
          <w:tab w:val="clear" w:pos="720"/>
          <w:tab w:val="left" w:pos="0" w:leader="none"/>
        </w:tabs>
        <w:ind w:left="0" w:hanging="0"/>
        <w:jc w:val="left"/>
        <w:rPr>
          <w:rFonts w:ascii="Times New Roman" w:hAnsi="Times New Roman" w:eastAsia="Times New Roman" w:cs="Times New Roman"/>
        </w:rPr>
      </w:pPr>
      <w:r>
        <w:rPr>
          <w:rFonts w:eastAsia="Times New Roman" w:cs="Times New Roman" w:ascii="Times New Roman" w:hAnsi="Times New Roman"/>
          <w:sz w:val="28"/>
          <w:szCs w:val="28"/>
        </w:rPr>
        <w:t>The SEIAHRV model</w:t>
      </w:r>
    </w:p>
    <w:p>
      <w:pPr>
        <w:pStyle w:val="LOnormal"/>
        <w:keepNext w:val="false"/>
        <w:keepLines w:val="false"/>
        <w:widowControl/>
        <w:shd w:val="clear" w:fill="auto"/>
        <w:tabs>
          <w:tab w:val="clear" w:pos="720"/>
          <w:tab w:val="left" w:pos="4197" w:leader="none"/>
        </w:tabs>
        <w:spacing w:lineRule="auto" w:line="240" w:before="0" w:after="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We use an extension of the model described in [</w:t>
      </w:r>
      <w:r>
        <w:rPr>
          <w:rFonts w:eastAsia="Times New Roman" w:cs="Times New Roman" w:ascii="Times New Roman" w:hAnsi="Times New Roman"/>
          <w:b w:val="false"/>
          <w:i w:val="false"/>
          <w:caps w:val="false"/>
          <w:smallCaps w:val="false"/>
          <w:strike w:val="false"/>
          <w:dstrike w:val="false"/>
          <w:color w:val="000000"/>
          <w:kern w:val="0"/>
          <w:position w:val="0"/>
          <w:sz w:val="24"/>
          <w:sz w:val="24"/>
          <w:szCs w:val="24"/>
          <w:u w:val="none"/>
          <w:shd w:fill="auto" w:val="clear"/>
          <w:vertAlign w:val="baseline"/>
          <w:lang w:val="en-US" w:eastAsia="zh-CN" w:bidi="hi-IN"/>
        </w:rPr>
        <w:t>17</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the  SEIAHRV model (Susceptible, Exposed, Infected, Asymptomatic, Hospitalized  Recovered and Vaccinated), and compartments for individuals vaccinated with one and two doses, V</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perscript"/>
        </w:rPr>
        <w:t>(1,k)</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and V</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perscript"/>
        </w:rPr>
        <w:t>(2,k)</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respectively for vaccine of type k, without primary vaccination failure, and vaccinated individuals with primary vaccination failure U, with homogeneous mixing and M age groups. The variables are given as proportion with respect to the total population at the initial time. The decomposition of the compartments into age groups allows to incorporate the contact structure in a given population, represented in the our model by a contact matrix. All variables in the model are proportions with respect to the initial population N</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0</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(the present population changes due to mortality and birth). </w:t>
      </w:r>
      <w:r>
        <w:rPr>
          <w:rFonts w:eastAsia="Liberation Serif" w:cs="Liberation Serif"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The model considers nine age groups: 0 to 9, 10 to 19, 20 to 29, 30 to 39, 40 to 49, 50 to 59, 60 to 69, 70 to 79 and 80 years of age and more. Given n</w:t>
      </w:r>
      <w:r>
        <w:rPr>
          <w:rFonts w:eastAsia="Liberation Serif" w:cs="Liberation Serif" w:ascii="Times New Roman" w:hAnsi="Times New Roman"/>
          <w:b w:val="false"/>
          <w:i w:val="false"/>
          <w:caps w:val="false"/>
          <w:smallCaps w:val="false"/>
          <w:strike w:val="false"/>
          <w:dstrike w:val="false"/>
          <w:color w:val="000000"/>
          <w:sz w:val="24"/>
          <w:szCs w:val="24"/>
          <w:u w:val="none"/>
          <w:shd w:fill="auto" w:val="clear"/>
          <w:vertAlign w:val="subscript"/>
        </w:rPr>
        <w:t>i</w:t>
      </w:r>
      <w:r>
        <w:rPr>
          <w:rFonts w:eastAsia="Liberation Serif" w:cs="Liberation Serif"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the proportion of the population in the age-group i, and </w:t>
      </w:r>
      <w:r>
        <w:rPr>
          <w:rFonts w:eastAsia="Noto Sans Symbols" w:cs="Noto Sans Symbols" w:ascii="Noto Sans Symbols" w:hAnsi="Noto Sans Symbols"/>
          <w:b w:val="false"/>
          <w:i w:val="false"/>
          <w:caps w:val="false"/>
          <w:smallCaps w:val="false"/>
          <w:strike w:val="false"/>
          <w:dstrike w:val="false"/>
          <w:color w:val="000000"/>
          <w:position w:val="0"/>
          <w:sz w:val="24"/>
          <w:sz w:val="24"/>
          <w:szCs w:val="24"/>
          <w:u w:val="none"/>
          <w:shd w:fill="auto" w:val="clear"/>
          <w:vertAlign w:val="baseline"/>
        </w:rPr>
        <w:t>ξ</w:t>
      </w:r>
      <w:r>
        <w:rPr>
          <w:rFonts w:eastAsia="Liberation Serif" w:cs="Liberation Serif"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the infectiousness of asymptomatic with respect to symptomatic individuals, the force of infection is given by </w:t>
      </w:r>
      <w:r>
        <w:rPr/>
      </w:r>
      <m:oMath xmlns:m="http://schemas.openxmlformats.org/officeDocument/2006/math">
        <m:sSub>
          <m:e>
            <m:r>
              <w:rPr>
                <w:rFonts w:ascii="Cambria Math" w:hAnsi="Cambria Math"/>
              </w:rPr>
              <m:t xml:space="preserve">λ</m:t>
            </m:r>
          </m:e>
          <m:sub>
            <m:r>
              <w:rPr>
                <w:rFonts w:ascii="Cambria Math" w:hAnsi="Cambria Math"/>
              </w:rPr>
              <m:t xml:space="preserve">i</m:t>
            </m:r>
          </m:sub>
        </m:sSub>
        <m:r>
          <w:rPr>
            <w:rFonts w:ascii="Cambria Math" w:hAnsi="Cambria Math"/>
          </w:rPr>
          <m:t xml:space="preserve">=</m:t>
        </m:r>
        <m:nary>
          <m:naryPr>
            <m:chr m:val="∑"/>
          </m:naryPr>
          <m:sub>
            <m:r>
              <w:rPr>
                <w:rFonts w:ascii="Cambria Math" w:hAnsi="Cambria Math"/>
              </w:rPr>
              <m:t xml:space="preserve">j</m:t>
            </m:r>
            <m:r>
              <w:rPr>
                <w:rFonts w:ascii="Cambria Math" w:hAnsi="Cambria Math"/>
              </w:rPr>
              <m:t xml:space="preserve">=</m:t>
            </m:r>
            <m:r>
              <w:rPr>
                <w:rFonts w:ascii="Cambria Math" w:hAnsi="Cambria Math"/>
              </w:rPr>
              <m:t xml:space="preserve">1</m:t>
            </m:r>
          </m:sub>
          <m:sup>
            <m:r>
              <w:rPr>
                <w:rFonts w:ascii="Cambria Math" w:hAnsi="Cambria Math"/>
              </w:rPr>
              <m:t xml:space="preserve">M</m:t>
            </m:r>
          </m:sup>
          <m:e>
            <m:sSub>
              <m:e>
                <m:r>
                  <w:rPr>
                    <w:rFonts w:ascii="Cambria Math" w:hAnsi="Cambria Math"/>
                  </w:rPr>
                  <m:t xml:space="preserve">β</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f>
              <m:fPr>
                <m:type m:val="lin"/>
              </m:fPr>
              <m:num>
                <m:d>
                  <m:dPr>
                    <m:begChr m:val="("/>
                    <m:endChr m:val=")"/>
                  </m:dPr>
                  <m:e>
                    <m:sSub>
                      <m:e>
                        <m:r>
                          <w:rPr>
                            <w:rFonts w:ascii="Cambria Math" w:hAnsi="Cambria Math"/>
                          </w:rPr>
                          <m:t xml:space="preserve">I</m:t>
                        </m:r>
                      </m:e>
                      <m:sub>
                        <m:r>
                          <w:rPr>
                            <w:rFonts w:ascii="Cambria Math" w:hAnsi="Cambria Math"/>
                          </w:rPr>
                          <m:t xml:space="preserve">j</m:t>
                        </m:r>
                      </m:sub>
                    </m:sSub>
                    <m:r>
                      <w:rPr>
                        <w:rFonts w:ascii="Cambria Math" w:hAnsi="Cambria Math"/>
                      </w:rPr>
                      <m:t xml:space="preserve">+</m:t>
                    </m:r>
                    <m:r>
                      <w:rPr>
                        <w:rFonts w:ascii="Cambria Math" w:hAnsi="Cambria Math"/>
                      </w:rPr>
                      <m:t xml:space="preserve">ξ</m:t>
                    </m:r>
                    <m:sSub>
                      <m:e>
                        <m:r>
                          <w:rPr>
                            <w:rFonts w:ascii="Cambria Math" w:hAnsi="Cambria Math"/>
                          </w:rPr>
                          <m:t xml:space="preserve">A</m:t>
                        </m:r>
                      </m:e>
                      <m:sub>
                        <m:r>
                          <w:rPr>
                            <w:rFonts w:ascii="Cambria Math" w:hAnsi="Cambria Math"/>
                          </w:rPr>
                          <m:t xml:space="preserve">j</m:t>
                        </m:r>
                      </m:sub>
                    </m:sSub>
                  </m:e>
                </m:d>
              </m:num>
              <m:den>
                <m:sSub>
                  <m:e>
                    <m:r>
                      <w:rPr>
                        <w:rFonts w:ascii="Cambria Math" w:hAnsi="Cambria Math"/>
                      </w:rPr>
                      <m:t xml:space="preserve">n</m:t>
                    </m:r>
                  </m:e>
                  <m:sub>
                    <m:r>
                      <w:rPr>
                        <w:rFonts w:ascii="Cambria Math" w:hAnsi="Cambria Math"/>
                      </w:rPr>
                      <m:t xml:space="preserve">i</m:t>
                    </m:r>
                  </m:sub>
                </m:sSub>
              </m:den>
            </m:f>
            <m:r>
              <w:rPr>
                <w:rFonts w:ascii="Cambria Math" w:hAnsi="Cambria Math"/>
              </w:rPr>
              <m:t xml:space="preserve">,</m:t>
            </m:r>
          </m:e>
        </m:nary>
      </m:oMath>
      <w:r>
        <w:rPr>
          <w:rFonts w:eastAsia="Liberation Serif" w:cs="Liberation Serif"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and depends on the infection rate matrix </w:t>
      </w:r>
      <w:r>
        <w:rPr/>
      </w:r>
      <m:oMath xmlns:m="http://schemas.openxmlformats.org/officeDocument/2006/math">
        <m:sSub>
          <m:e>
            <m:r>
              <w:rPr>
                <w:rFonts w:ascii="Cambria Math" w:hAnsi="Cambria Math"/>
              </w:rPr>
              <m:t xml:space="preserve">β</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sSub>
          <m:e>
            <m:r>
              <w:rPr>
                <w:rFonts w:ascii="Cambria Math" w:hAnsi="Cambria Math"/>
              </w:rPr>
              <m:t xml:space="preserve">p</m:t>
            </m:r>
          </m:e>
          <m:sub>
            <m:r>
              <w:rPr>
                <w:rFonts w:ascii="Cambria Math" w:hAnsi="Cambria Math"/>
              </w:rPr>
              <m:t xml:space="preserve">c</m:t>
            </m:r>
          </m:sub>
        </m:sSub>
        <m:sSub>
          <m:e>
            <m:r>
              <w:rPr>
                <w:rFonts w:ascii="Cambria Math" w:hAnsi="Cambria Math"/>
              </w:rPr>
              <m:t xml:space="preserve">C</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oMath>
      <w:r>
        <w:rPr>
          <w:rFonts w:eastAsia="Liberation Serif" w:cs="Liberation Serif"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with p</w:t>
      </w:r>
      <w:r>
        <w:rPr>
          <w:rFonts w:eastAsia="Liberation Serif" w:cs="Liberation Serif" w:ascii="Times New Roman" w:hAnsi="Times New Roman"/>
          <w:b w:val="false"/>
          <w:i w:val="false"/>
          <w:caps w:val="false"/>
          <w:smallCaps w:val="false"/>
          <w:strike w:val="false"/>
          <w:dstrike w:val="false"/>
          <w:color w:val="000000"/>
          <w:sz w:val="24"/>
          <w:szCs w:val="24"/>
          <w:u w:val="none"/>
          <w:shd w:fill="auto" w:val="clear"/>
          <w:vertAlign w:val="subscript"/>
        </w:rPr>
        <w:t>c</w:t>
      </w:r>
      <w:r>
        <w:rPr>
          <w:rFonts w:eastAsia="Liberation Serif" w:cs="Liberation Serif"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a probability of contagion per single contact, assumed to be age independent, and C</w:t>
      </w:r>
      <w:r>
        <w:rPr>
          <w:rFonts w:eastAsia="Liberation Serif" w:cs="Liberation Serif" w:ascii="Times New Roman" w:hAnsi="Times New Roman"/>
          <w:b w:val="false"/>
          <w:i w:val="false"/>
          <w:caps w:val="false"/>
          <w:smallCaps w:val="false"/>
          <w:strike w:val="false"/>
          <w:dstrike w:val="false"/>
          <w:color w:val="000000"/>
          <w:sz w:val="24"/>
          <w:szCs w:val="24"/>
          <w:u w:val="none"/>
          <w:shd w:fill="auto" w:val="clear"/>
          <w:vertAlign w:val="subscript"/>
        </w:rPr>
        <w:t>i,j</w:t>
      </w:r>
      <w:r>
        <w:rPr>
          <w:rFonts w:eastAsia="Liberation Serif" w:cs="Liberation Serif"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the contact matrix giving the average number of contacts per day of a single individual of age group j with any individual of age group i. Required epidemiological</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parameters are given in Tables S1 and S2. The diagrammatic representation of the model is given in Fig. 1B, and corresponding dynamical system of diffrenetial equations with time delay is:</w:t>
      </w:r>
    </w:p>
    <w:p>
      <w:pPr>
        <w:pStyle w:val="LOnormal"/>
        <w:widowControl/>
        <w:shd w:val="clear" w:fill="auto"/>
        <w:tabs>
          <w:tab w:val="clear" w:pos="720"/>
          <w:tab w:val="left" w:pos="4197" w:leader="none"/>
        </w:tabs>
        <w:spacing w:lineRule="auto" w:line="240" w:before="0" w:after="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tabs>
          <w:tab w:val="clear" w:pos="720"/>
          <w:tab w:val="left" w:pos="4197" w:leader="none"/>
        </w:tabs>
        <w:spacing w:lineRule="auto" w:line="240"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f>
            <m:num>
              <m:r>
                <w:rPr>
                  <w:rFonts w:ascii="Cambria Math" w:hAnsi="Cambria Math"/>
                </w:rPr>
                <m:t xml:space="preserve">d</m:t>
              </m:r>
              <m:sSub>
                <m:e>
                  <m:r>
                    <w:rPr>
                      <w:rFonts w:ascii="Cambria Math" w:hAnsi="Cambria Math"/>
                    </w:rPr>
                    <m:t xml:space="preserve">S</m:t>
                  </m:r>
                </m:e>
                <m:sub>
                  <m:r>
                    <w:rPr>
                      <w:rFonts w:ascii="Cambria Math" w:hAnsi="Cambria Math"/>
                    </w:rPr>
                    <m:t xml:space="preserve">i</m:t>
                  </m:r>
                </m:sub>
              </m:sSub>
            </m:num>
            <m:den>
              <m:r>
                <w:rPr>
                  <w:rFonts w:ascii="Cambria Math" w:hAnsi="Cambria Math"/>
                </w:rPr>
                <m:t xml:space="preserve">dt</m:t>
              </m:r>
            </m:den>
          </m:f>
          <m:r>
            <w:rPr>
              <w:rFonts w:ascii="Cambria Math" w:hAnsi="Cambria Math"/>
            </w:rPr>
            <m:t xml:space="preserve">=</m:t>
          </m:r>
          <m:r>
            <w:rPr>
              <w:rFonts w:ascii="Cambria Math" w:hAnsi="Cambria Math"/>
            </w:rPr>
            <m:t xml:space="preserve">−</m:t>
          </m:r>
          <m:d>
            <m:dPr>
              <m:begChr m:val="["/>
              <m:endChr m:val="]"/>
            </m:dPr>
            <m:e>
              <m:sSub>
                <m:e>
                  <m:r>
                    <w:rPr>
                      <w:rFonts w:ascii="Cambria Math" w:hAnsi="Cambria Math"/>
                    </w:rPr>
                    <m:t xml:space="preserve">λ</m:t>
                  </m:r>
                </m:e>
                <m:sub>
                  <m:r>
                    <w:rPr>
                      <w:rFonts w:ascii="Cambria Math" w:hAnsi="Cambria Math"/>
                    </w:rPr>
                    <m:t xml:space="preserve">i</m:t>
                  </m:r>
                </m:sub>
              </m:sSub>
              <m:r>
                <w:rPr>
                  <w:rFonts w:ascii="Cambria Math" w:hAnsi="Cambria Math"/>
                </w:rPr>
                <m:t xml:space="preserve">+</m:t>
              </m:r>
              <m:r>
                <w:rPr>
                  <w:rFonts w:ascii="Cambria Math" w:hAnsi="Cambria Math"/>
                </w:rPr>
                <m:t xml:space="preserve">μ</m:t>
              </m:r>
              <m:r>
                <w:rPr>
                  <w:rFonts w:ascii="Cambria Math" w:hAnsi="Cambria Math"/>
                </w:rPr>
                <m:t xml:space="preserve">′</m:t>
              </m:r>
              <m:r>
                <w:rPr>
                  <w:rFonts w:ascii="Cambria Math" w:hAnsi="Cambria Math"/>
                </w:rPr>
                <m:t xml:space="preserve">+</m:t>
              </m:r>
              <m:sSub>
                <m:e>
                  <m:r>
                    <w:rPr>
                      <w:rFonts w:ascii="Cambria Math" w:hAnsi="Cambria Math"/>
                    </w:rPr>
                    <m:t xml:space="preserve">ν</m:t>
                  </m:r>
                </m:e>
                <m:sub>
                  <m:r>
                    <w:rPr>
                      <w:rFonts w:ascii="Cambria Math" w:hAnsi="Cambria Math"/>
                    </w:rPr>
                    <m:t xml:space="preserve">i</m:t>
                  </m:r>
                </m:sub>
              </m:sSub>
              <m:r>
                <w:rPr>
                  <w:rFonts w:ascii="Cambria Math" w:hAnsi="Cambria Math"/>
                </w:rPr>
                <m:t xml:space="preserve">+</m:t>
              </m:r>
              <m:f>
                <m:num>
                  <m:r>
                    <w:rPr>
                      <w:rFonts w:ascii="Cambria Math" w:hAnsi="Cambria Math"/>
                    </w:rPr>
                    <m:t xml:space="preserve">1</m:t>
                  </m:r>
                </m:num>
                <m:den>
                  <m:sSub>
                    <m:e>
                      <m:r>
                        <w:rPr>
                          <w:rFonts w:ascii="Cambria Math" w:hAnsi="Cambria Math"/>
                        </w:rPr>
                        <m:t xml:space="preserve">p</m:t>
                      </m:r>
                    </m:e>
                    <m:sub>
                      <m:r>
                        <w:rPr>
                          <w:rFonts w:ascii="Cambria Math" w:hAnsi="Cambria Math"/>
                        </w:rPr>
                        <m:t xml:space="preserve">v</m:t>
                      </m:r>
                      <m:r>
                        <w:rPr>
                          <w:rFonts w:ascii="Cambria Math" w:hAnsi="Cambria Math"/>
                        </w:rPr>
                        <m:t xml:space="preserve">,</m:t>
                      </m:r>
                      <m:r>
                        <w:rPr>
                          <w:rFonts w:ascii="Cambria Math" w:hAnsi="Cambria Math"/>
                        </w:rPr>
                        <m:t xml:space="preserve">i</m:t>
                      </m:r>
                    </m:sub>
                  </m:sSub>
                </m:den>
              </m:f>
              <m:nary>
                <m:naryPr>
                  <m:chr m:val="∑"/>
                </m:naryPr>
                <m:sub>
                  <m:r>
                    <w:rPr>
                      <w:rFonts w:ascii="Cambria Math" w:hAnsi="Cambria Math"/>
                    </w:rPr>
                    <m:t xml:space="preserve">k</m:t>
                  </m:r>
                  <m:r>
                    <w:rPr>
                      <w:rFonts w:ascii="Cambria Math" w:hAnsi="Cambria Math"/>
                    </w:rPr>
                    <m:t xml:space="preserve">=</m:t>
                  </m:r>
                  <m:r>
                    <w:rPr>
                      <w:rFonts w:ascii="Cambria Math" w:hAnsi="Cambria Math"/>
                    </w:rPr>
                    <m:t xml:space="preserve">1</m:t>
                  </m:r>
                </m:sub>
                <m:sup>
                  <m:r>
                    <w:rPr>
                      <w:rFonts w:ascii="Cambria Math" w:hAnsi="Cambria Math"/>
                    </w:rPr>
                    <m:t xml:space="preserve">K</m:t>
                  </m:r>
                </m:sup>
                <m:e>
                  <m:sSubSup>
                    <m:e>
                      <m:r>
                        <w:rPr>
                          <w:rFonts w:ascii="Cambria Math" w:hAnsi="Cambria Math"/>
                        </w:rPr>
                        <m:t xml:space="preserve">d</m:t>
                      </m:r>
                    </m:e>
                    <m:sub>
                      <m:r>
                        <w:rPr>
                          <w:rFonts w:ascii="Cambria Math" w:hAnsi="Cambria Math"/>
                        </w:rPr>
                        <m:t xml:space="preserve">1</m:t>
                      </m:r>
                    </m:sub>
                    <m:sup>
                      <m:d>
                        <m:dPr>
                          <m:begChr m:val="("/>
                          <m:endChr m:val=")"/>
                        </m:dPr>
                        <m:e>
                          <m:r>
                            <w:rPr>
                              <w:rFonts w:ascii="Cambria Math" w:hAnsi="Cambria Math"/>
                            </w:rPr>
                            <m:t xml:space="preserve">i</m:t>
                          </m:r>
                          <m:r>
                            <w:rPr>
                              <w:rFonts w:ascii="Cambria Math" w:hAnsi="Cambria Math"/>
                            </w:rPr>
                            <m:t xml:space="preserve">,</m:t>
                          </m:r>
                          <m:r>
                            <w:rPr>
                              <w:rFonts w:ascii="Cambria Math" w:hAnsi="Cambria Math"/>
                            </w:rPr>
                            <m:t xml:space="preserve">k</m:t>
                          </m:r>
                        </m:e>
                      </m:d>
                    </m:sup>
                  </m:sSubSup>
                </m:e>
              </m:nary>
            </m:e>
          </m:d>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r>
            <w:rPr>
              <w:rFonts w:ascii="Cambria Math" w:hAnsi="Cambria Math"/>
            </w:rPr>
            <m:t xml:space="preserve">κ</m:t>
          </m:r>
          <m:r>
            <w:rPr>
              <w:rFonts w:ascii="Cambria Math" w:hAnsi="Cambria Math"/>
            </w:rPr>
            <m:t xml:space="preserve">′</m:t>
          </m:r>
          <m:sSub>
            <m:e>
              <m:r>
                <w:rPr>
                  <w:rFonts w:ascii="Cambria Math" w:hAnsi="Cambria Math"/>
                </w:rPr>
                <m:t xml:space="preserve">δ</m:t>
              </m:r>
            </m:e>
            <m:sub>
              <m:r>
                <w:rPr>
                  <w:rFonts w:ascii="Cambria Math" w:hAnsi="Cambria Math"/>
                </w:rPr>
                <m:t xml:space="preserve">i</m:t>
              </m:r>
              <m:r>
                <w:rPr>
                  <w:rFonts w:ascii="Cambria Math" w:hAnsi="Cambria Math"/>
                </w:rPr>
                <m:t xml:space="preserve">,1</m:t>
              </m:r>
            </m:sub>
          </m:sSub>
          <m:r>
            <w:rPr>
              <w:rFonts w:ascii="Cambria Math" w:hAnsi="Cambria Math"/>
            </w:rPr>
            <m:t xml:space="preserve">+</m:t>
          </m:r>
          <m:sSub>
            <m:e>
              <m:r>
                <w:rPr>
                  <w:rFonts w:ascii="Cambria Math" w:hAnsi="Cambria Math"/>
                </w:rPr>
                <m:t xml:space="preserve">ν</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sSub>
            <m:e>
              <m:r>
                <w:rPr>
                  <w:rFonts w:ascii="Cambria Math" w:hAnsi="Cambria Math"/>
                </w:rPr>
                <m:t xml:space="preserve">S</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oMath>
      </m:oMathPara>
    </w:p>
    <w:p>
      <w:pPr>
        <w:pStyle w:val="LOnormal"/>
        <w:keepNext w:val="false"/>
        <w:keepLines w:val="false"/>
        <w:widowControl/>
        <w:shd w:val="clear" w:fill="auto"/>
        <w:spacing w:lineRule="auto" w:line="276" w:before="86" w:after="86"/>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m:f>
          <m:num>
            <m:r>
              <w:rPr>
                <w:rFonts w:ascii="Cambria Math" w:hAnsi="Cambria Math"/>
              </w:rPr>
              <m:t xml:space="preserve">d</m:t>
            </m:r>
            <m:sSub>
              <m:e>
                <m:r>
                  <w:rPr>
                    <w:rFonts w:ascii="Cambria Math" w:hAnsi="Cambria Math"/>
                  </w:rPr>
                  <m:t xml:space="preserve">E</m:t>
                </m:r>
              </m:e>
              <m:sub>
                <m:r>
                  <w:rPr>
                    <w:rFonts w:ascii="Cambria Math" w:hAnsi="Cambria Math"/>
                  </w:rPr>
                  <m:t xml:space="preserve">i</m:t>
                </m:r>
              </m:sub>
            </m:sSub>
          </m:num>
          <m:den>
            <m:r>
              <w:rPr>
                <w:rFonts w:ascii="Cambria Math" w:hAnsi="Cambria Math"/>
              </w:rPr>
              <m:t xml:space="preserve">dt</m:t>
            </m:r>
          </m:den>
        </m:f>
        <m:r>
          <w:rPr>
            <w:rFonts w:ascii="Cambria Math" w:hAnsi="Cambria Math"/>
          </w:rPr>
          <m:t xml:space="preserve">=</m:t>
        </m:r>
        <m:sSub>
          <m:e>
            <m:r>
              <w:rPr>
                <w:rFonts w:ascii="Cambria Math" w:hAnsi="Cambria Math"/>
              </w:rPr>
              <m:t xml:space="preserve">λ</m:t>
            </m:r>
          </m:e>
          <m:sub>
            <m:r>
              <w:rPr>
                <w:rFonts w:ascii="Cambria Math" w:hAnsi="Cambria Math"/>
              </w:rPr>
              <m:t xml:space="preserve">i</m:t>
            </m:r>
          </m:sub>
        </m:sSub>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λ</m:t>
            </m:r>
          </m:e>
          <m:sub>
            <m:r>
              <w:rPr>
                <w:rFonts w:ascii="Cambria Math" w:hAnsi="Cambria Math"/>
              </w:rPr>
              <m:t xml:space="preserve">i</m:t>
            </m:r>
          </m:sub>
        </m:sSub>
        <m:nary>
          <m:naryPr>
            <m:chr m:val="∑"/>
          </m:naryPr>
          <m:sub>
            <m:r>
              <w:rPr>
                <w:rFonts w:ascii="Cambria Math" w:hAnsi="Cambria Math"/>
              </w:rPr>
              <m:t xml:space="preserve">k</m:t>
            </m:r>
            <m:r>
              <w:rPr>
                <w:rFonts w:ascii="Cambria Math" w:hAnsi="Cambria Math"/>
              </w:rPr>
              <m:t xml:space="preserve">=</m:t>
            </m:r>
            <m:r>
              <w:rPr>
                <w:rFonts w:ascii="Cambria Math" w:hAnsi="Cambria Math"/>
              </w:rPr>
              <m:t xml:space="preserve">1</m:t>
            </m:r>
          </m:sub>
          <m:sup>
            <m:r>
              <w:rPr>
                <w:rFonts w:ascii="Cambria Math" w:hAnsi="Cambria Math"/>
              </w:rPr>
              <m:t xml:space="preserve">K</m:t>
            </m:r>
          </m:sup>
          <m:e>
            <m:sSubSup>
              <m:e>
                <m:r>
                  <w:rPr>
                    <w:rFonts w:ascii="Cambria Math" w:hAnsi="Cambria Math"/>
                  </w:rPr>
                  <m:t xml:space="preserve">U</m:t>
                </m:r>
              </m:e>
              <m:sub>
                <m:r>
                  <w:rPr>
                    <w:rFonts w:ascii="Cambria Math" w:hAnsi="Cambria Math"/>
                  </w:rPr>
                  <m:t xml:space="preserve">i</m:t>
                </m:r>
              </m:sub>
              <m:sup>
                <m:d>
                  <m:dPr>
                    <m:begChr m:val="("/>
                    <m:endChr m:val=")"/>
                  </m:dPr>
                  <m:e>
                    <m:r>
                      <w:rPr>
                        <w:rFonts w:ascii="Cambria Math" w:hAnsi="Cambria Math"/>
                      </w:rPr>
                      <m:t xml:space="preserve">k</m:t>
                    </m:r>
                  </m:e>
                </m:d>
              </m:sup>
            </m:sSubSup>
            <m:r>
              <w:rPr>
                <w:rFonts w:ascii="Cambria Math" w:hAnsi="Cambria Math"/>
              </w:rPr>
              <m:t xml:space="preserve">−</m:t>
            </m:r>
            <m:d>
              <m:dPr>
                <m:begChr m:val="["/>
                <m:endChr m:val="]"/>
              </m:dPr>
              <m:e>
                <m:r>
                  <w:rPr>
                    <w:rFonts w:ascii="Cambria Math" w:hAnsi="Cambria Math"/>
                  </w:rPr>
                  <m:t xml:space="preserve">σ</m:t>
                </m:r>
                <m:r>
                  <w:rPr>
                    <w:rFonts w:ascii="Cambria Math" w:hAnsi="Cambria Math"/>
                  </w:rPr>
                  <m:t xml:space="preserve">+</m:t>
                </m:r>
                <m:r>
                  <w:rPr>
                    <w:rFonts w:ascii="Cambria Math" w:hAnsi="Cambria Math"/>
                  </w:rPr>
                  <m:t xml:space="preserve">μ</m:t>
                </m:r>
                <m:r>
                  <w:rPr>
                    <w:rFonts w:ascii="Cambria Math" w:hAnsi="Cambria Math"/>
                  </w:rPr>
                  <m:t xml:space="preserve">′</m:t>
                </m:r>
                <m:r>
                  <w:rPr>
                    <w:rFonts w:ascii="Cambria Math" w:hAnsi="Cambria Math"/>
                  </w:rPr>
                  <m:t xml:space="preserve">+</m:t>
                </m:r>
                <m:sSub>
                  <m:e>
                    <m:r>
                      <w:rPr>
                        <w:rFonts w:ascii="Cambria Math" w:hAnsi="Cambria Math"/>
                      </w:rPr>
                      <m:t xml:space="preserve">ν</m:t>
                    </m:r>
                  </m:e>
                  <m:sub>
                    <m:r>
                      <w:rPr>
                        <w:rFonts w:ascii="Cambria Math" w:hAnsi="Cambria Math"/>
                      </w:rPr>
                      <m:t xml:space="preserve">i</m:t>
                    </m:r>
                  </m:sub>
                </m:sSub>
                <m:r>
                  <w:rPr>
                    <w:rFonts w:ascii="Cambria Math" w:hAnsi="Cambria Math"/>
                  </w:rPr>
                  <m:t xml:space="preserve">+</m:t>
                </m:r>
                <m:f>
                  <m:num>
                    <m:r>
                      <w:rPr>
                        <w:rFonts w:ascii="Cambria Math" w:hAnsi="Cambria Math"/>
                      </w:rPr>
                      <m:t xml:space="preserve">1</m:t>
                    </m:r>
                  </m:num>
                  <m:den>
                    <m:sSub>
                      <m:e>
                        <m:r>
                          <w:rPr>
                            <w:rFonts w:ascii="Cambria Math" w:hAnsi="Cambria Math"/>
                          </w:rPr>
                          <m:t xml:space="preserve">p</m:t>
                        </m:r>
                      </m:e>
                      <m:sub>
                        <m:r>
                          <w:rPr>
                            <w:rFonts w:ascii="Cambria Math" w:hAnsi="Cambria Math"/>
                          </w:rPr>
                          <m:t xml:space="preserve">v</m:t>
                        </m:r>
                        <m:r>
                          <w:rPr>
                            <w:rFonts w:ascii="Cambria Math" w:hAnsi="Cambria Math"/>
                          </w:rPr>
                          <m:t xml:space="preserve">,</m:t>
                        </m:r>
                        <m:r>
                          <w:rPr>
                            <w:rFonts w:ascii="Cambria Math" w:hAnsi="Cambria Math"/>
                          </w:rPr>
                          <m:t xml:space="preserve">i</m:t>
                        </m:r>
                      </m:sub>
                    </m:sSub>
                  </m:den>
                </m:f>
                <m:nary>
                  <m:naryPr>
                    <m:chr m:val="∑"/>
                  </m:naryPr>
                  <m:sub>
                    <m:r>
                      <w:rPr>
                        <w:rFonts w:ascii="Cambria Math" w:hAnsi="Cambria Math"/>
                      </w:rPr>
                      <m:t xml:space="preserve">k</m:t>
                    </m:r>
                    <m:r>
                      <w:rPr>
                        <w:rFonts w:ascii="Cambria Math" w:hAnsi="Cambria Math"/>
                      </w:rPr>
                      <m:t xml:space="preserve">=</m:t>
                    </m:r>
                    <m:r>
                      <w:rPr>
                        <w:rFonts w:ascii="Cambria Math" w:hAnsi="Cambria Math"/>
                      </w:rPr>
                      <m:t xml:space="preserve">1</m:t>
                    </m:r>
                  </m:sub>
                  <m:sup>
                    <m:r>
                      <w:rPr>
                        <w:rFonts w:ascii="Cambria Math" w:hAnsi="Cambria Math"/>
                      </w:rPr>
                      <m:t xml:space="preserve">K</m:t>
                    </m:r>
                  </m:sup>
                  <m:e>
                    <m:sSubSup>
                      <m:e>
                        <m:r>
                          <w:rPr>
                            <w:rFonts w:ascii="Cambria Math" w:hAnsi="Cambria Math"/>
                          </w:rPr>
                          <m:t xml:space="preserve">d</m:t>
                        </m:r>
                      </m:e>
                      <m:sub>
                        <m:r>
                          <w:rPr>
                            <w:rFonts w:ascii="Cambria Math" w:hAnsi="Cambria Math"/>
                          </w:rPr>
                          <m:t xml:space="preserve">1</m:t>
                        </m:r>
                      </m:sub>
                      <m:sup>
                        <m:d>
                          <m:dPr>
                            <m:begChr m:val="("/>
                            <m:endChr m:val=")"/>
                          </m:dPr>
                          <m:e>
                            <m:r>
                              <w:rPr>
                                <w:rFonts w:ascii="Cambria Math" w:hAnsi="Cambria Math"/>
                              </w:rPr>
                              <m:t xml:space="preserve">i</m:t>
                            </m:r>
                            <m:r>
                              <w:rPr>
                                <w:rFonts w:ascii="Cambria Math" w:hAnsi="Cambria Math"/>
                              </w:rPr>
                              <m:t xml:space="preserve">,</m:t>
                            </m:r>
                            <m:r>
                              <w:rPr>
                                <w:rFonts w:ascii="Cambria Math" w:hAnsi="Cambria Math"/>
                              </w:rPr>
                              <m:t xml:space="preserve">k</m:t>
                            </m:r>
                          </m:e>
                        </m:d>
                      </m:sup>
                    </m:sSubSup>
                    <m:sSubSup>
                      <m:e>
                        <m:r>
                          <w:rPr>
                            <w:rFonts w:ascii="Cambria Math" w:hAnsi="Cambria Math"/>
                          </w:rPr>
                          <m:t xml:space="preserve">e</m:t>
                        </m:r>
                      </m:e>
                      <m:sub>
                        <m:r>
                          <w:rPr>
                            <w:rFonts w:ascii="Cambria Math" w:hAnsi="Cambria Math"/>
                          </w:rPr>
                          <m:t xml:space="preserve">1</m:t>
                        </m:r>
                      </m:sub>
                      <m:sup>
                        <m:d>
                          <m:dPr>
                            <m:begChr m:val="("/>
                            <m:endChr m:val=")"/>
                          </m:dPr>
                          <m:e>
                            <m:r>
                              <w:rPr>
                                <w:rFonts w:ascii="Cambria Math" w:hAnsi="Cambria Math"/>
                              </w:rPr>
                              <m:t xml:space="preserve">k</m:t>
                            </m:r>
                          </m:e>
                        </m:d>
                      </m:sup>
                    </m:sSubSup>
                  </m:e>
                </m:nary>
              </m:e>
            </m:d>
            <m:sSub>
              <m:e>
                <m:r>
                  <w:rPr>
                    <w:rFonts w:ascii="Cambria Math" w:hAnsi="Cambria Math"/>
                  </w:rPr>
                  <m:t xml:space="preserve">E</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ν</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sSub>
              <m:e>
                <m:r>
                  <w:rPr>
                    <w:rFonts w:ascii="Cambria Math" w:hAnsi="Cambria Math"/>
                  </w:rPr>
                  <m:t xml:space="preserve">E</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e>
        </m:nary>
      </m:oMath>
      <w:r>
        <w:rPr/>
      </w:r>
      <m:oMath xmlns:m="http://schemas.openxmlformats.org/officeDocument/2006/math">
        <m:f>
          <m:num>
            <m:r>
              <w:rPr>
                <w:rFonts w:ascii="Cambria Math" w:hAnsi="Cambria Math"/>
              </w:rPr>
              <m:t xml:space="preserve">d</m:t>
            </m:r>
            <m:sSub>
              <m:e>
                <m:r>
                  <w:rPr>
                    <w:rFonts w:ascii="Cambria Math" w:hAnsi="Cambria Math"/>
                  </w:rPr>
                  <m:t xml:space="preserve">I</m:t>
                </m:r>
              </m:e>
              <m:sub>
                <m:r>
                  <w:rPr>
                    <w:rFonts w:ascii="Cambria Math" w:hAnsi="Cambria Math"/>
                  </w:rPr>
                  <m:t xml:space="preserve">i</m:t>
                </m:r>
              </m:sub>
            </m:sSub>
          </m:num>
          <m:den>
            <m:r>
              <w:rPr>
                <w:rFonts w:ascii="Cambria Math" w:hAnsi="Cambria Math"/>
              </w:rPr>
              <m:t xml:space="preserve">dt</m:t>
            </m:r>
          </m:den>
        </m:f>
        <m:r>
          <w:rPr>
            <w:rFonts w:ascii="Cambria Math" w:hAnsi="Cambria Math"/>
          </w:rPr>
          <m:t xml:space="preserve">=</m:t>
        </m:r>
        <m:d>
          <m:dPr>
            <m:begChr m:val="("/>
            <m:endChr m:val=")"/>
          </m:dPr>
          <m:e>
            <m:r>
              <w:rPr>
                <w:rFonts w:ascii="Cambria Math" w:hAnsi="Cambria Math"/>
              </w:rPr>
              <m:t xml:space="preserve">1</m:t>
            </m:r>
            <m:r>
              <w:rPr>
                <w:rFonts w:ascii="Cambria Math" w:hAnsi="Cambria Math"/>
              </w:rPr>
              <m:t xml:space="preserve">−</m:t>
            </m:r>
            <m:r>
              <w:rPr>
                <w:rFonts w:ascii="Cambria Math" w:hAnsi="Cambria Math"/>
              </w:rPr>
              <m:t xml:space="preserve">χ</m:t>
            </m:r>
          </m:e>
        </m:d>
        <m:r>
          <w:rPr>
            <w:rFonts w:ascii="Cambria Math" w:hAnsi="Cambria Math"/>
          </w:rPr>
          <m:t xml:space="preserve">σ</m:t>
        </m:r>
        <m:sSub>
          <m:e>
            <m:r>
              <w:rPr>
                <w:rFonts w:ascii="Cambria Math" w:hAnsi="Cambria Math"/>
              </w:rPr>
              <m:t xml:space="preserve">E</m:t>
            </m:r>
          </m:e>
          <m:sub>
            <m:r>
              <w:rPr>
                <w:rFonts w:ascii="Cambria Math" w:hAnsi="Cambria Math"/>
              </w:rPr>
              <m:t xml:space="preserve">i</m:t>
            </m:r>
          </m:sub>
        </m:sSub>
        <m:r>
          <w:rPr>
            <w:rFonts w:ascii="Cambria Math" w:hAnsi="Cambria Math"/>
          </w:rPr>
          <m:t xml:space="preserve">−</m:t>
        </m:r>
        <m:d>
          <m:dPr>
            <m:begChr m:val="["/>
            <m:endChr m:val="]"/>
          </m:dPr>
          <m:e>
            <m:r>
              <w:rPr>
                <w:rFonts w:ascii="Cambria Math" w:hAnsi="Cambria Math"/>
              </w:rPr>
              <m:t xml:space="preserve">γ</m:t>
            </m:r>
            <m:r>
              <w:rPr>
                <w:rFonts w:ascii="Cambria Math" w:hAnsi="Cambria Math"/>
              </w:rPr>
              <m:t xml:space="preserve">+</m:t>
            </m:r>
            <m:r>
              <w:rPr>
                <w:rFonts w:ascii="Cambria Math" w:hAnsi="Cambria Math"/>
              </w:rPr>
              <m:t xml:space="preserve">μ</m:t>
            </m:r>
            <m:r>
              <w:rPr>
                <w:rFonts w:ascii="Cambria Math" w:hAnsi="Cambria Math"/>
              </w:rPr>
              <m:t xml:space="preserve">′</m:t>
            </m:r>
            <m:r>
              <w:rPr>
                <w:rFonts w:ascii="Cambria Math" w:hAnsi="Cambria Math"/>
              </w:rPr>
              <m:t xml:space="preserve">+</m:t>
            </m:r>
            <m:sSub>
              <m:e>
                <m:r>
                  <w:rPr>
                    <w:rFonts w:ascii="Cambria Math" w:hAnsi="Cambria Math"/>
                  </w:rPr>
                  <m:t xml:space="preserve">ν</m:t>
                </m:r>
              </m:e>
              <m:sub>
                <m:r>
                  <w:rPr>
                    <w:rFonts w:ascii="Cambria Math" w:hAnsi="Cambria Math"/>
                  </w:rPr>
                  <m:t xml:space="preserve">i</m:t>
                </m:r>
              </m:sub>
            </m:sSub>
          </m:e>
        </m:d>
        <m:sSub>
          <m:e>
            <m:r>
              <w:rPr>
                <w:rFonts w:ascii="Cambria Math" w:hAnsi="Cambria Math"/>
              </w:rPr>
              <m:t xml:space="preserve">I</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ν</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sSub>
          <m:e>
            <m:r>
              <w:rPr>
                <w:rFonts w:ascii="Cambria Math" w:hAnsi="Cambria Math"/>
              </w:rPr>
              <m:t xml:space="preserve">I</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d>
          <m:dPr>
            <m:begChr m:val="("/>
            <m:endChr m:val=")"/>
          </m:dPr>
          <m:e>
            <m:r>
              <w:rPr>
                <w:rFonts w:ascii="Cambria Math" w:hAnsi="Cambria Math"/>
              </w:rPr>
              <m:t xml:space="preserve">1</m:t>
            </m:r>
            <m:r>
              <w:rPr>
                <w:rFonts w:ascii="Cambria Math" w:hAnsi="Cambria Math"/>
              </w:rPr>
              <m:t xml:space="preserve">−</m:t>
            </m:r>
            <m:r>
              <w:rPr>
                <w:rFonts w:ascii="Cambria Math" w:hAnsi="Cambria Math"/>
              </w:rPr>
              <m:t xml:space="preserve">χ</m:t>
            </m:r>
          </m:e>
        </m:d>
        <m:sSub>
          <m:e>
            <m:r>
              <w:rPr>
                <w:rFonts w:ascii="Cambria Math" w:hAnsi="Cambria Math"/>
              </w:rPr>
              <m:t xml:space="preserve">ζ</m:t>
            </m:r>
          </m:e>
          <m:sub>
            <m:r>
              <w:rPr>
                <w:rFonts w:ascii="Cambria Math" w:hAnsi="Cambria Math"/>
              </w:rPr>
              <m:t xml:space="preserve">i</m:t>
            </m:r>
          </m:sub>
        </m:sSub>
        <m:r>
          <w:rPr>
            <w:rFonts w:ascii="Cambria Math" w:hAnsi="Cambria Math"/>
          </w:rPr>
          <m:t xml:space="preserve">σ</m:t>
        </m:r>
        <m:sSub>
          <m:e>
            <m:r>
              <w:rPr>
                <w:rFonts w:ascii="Cambria Math" w:hAnsi="Cambria Math"/>
              </w:rPr>
              <m:t xml:space="preserve">E</m:t>
            </m:r>
          </m:e>
          <m:sub>
            <m:r>
              <w:rPr>
                <w:rFonts w:ascii="Cambria Math" w:hAnsi="Cambria Math"/>
              </w:rPr>
              <m:t xml:space="preserve">i</m:t>
            </m:r>
          </m:sub>
        </m:sSub>
        <m:d>
          <m:dPr>
            <m:begChr m:val="("/>
            <m:endChr m:val=")"/>
          </m:dPr>
          <m:e>
            <m:r>
              <w:rPr>
                <w:rFonts w:ascii="Cambria Math" w:hAnsi="Cambria Math"/>
              </w:rPr>
              <m:t xml:space="preserve">t</m:t>
            </m:r>
            <m:r>
              <w:rPr>
                <w:rFonts w:ascii="Cambria Math" w:hAnsi="Cambria Math"/>
              </w:rPr>
              <m:t xml:space="preserve">−</m:t>
            </m:r>
            <m:sSub>
              <m:e>
                <m:r>
                  <w:rPr>
                    <w:rFonts w:ascii="Cambria Math" w:hAnsi="Cambria Math"/>
                  </w:rPr>
                  <m:t xml:space="preserve">τ</m:t>
                </m:r>
              </m:e>
              <m:sub>
                <m:r>
                  <w:rPr>
                    <w:rFonts w:ascii="Cambria Math" w:hAnsi="Cambria Math"/>
                  </w:rPr>
                  <m:t xml:space="preserve">1</m:t>
                </m:r>
              </m:sub>
            </m:sSub>
          </m:e>
        </m:d>
        <m:r>
          <w:rPr>
            <w:rFonts w:ascii="Cambria Math" w:hAnsi="Cambria Math"/>
          </w:rPr>
          <m:t xml:space="preserve">,</m:t>
        </m:r>
      </m:oMath>
      <w:r>
        <w:rPr/>
      </w:r>
      <m:oMath xmlns:m="http://schemas.openxmlformats.org/officeDocument/2006/math">
        <m:f>
          <m:num>
            <m:r>
              <w:rPr>
                <w:rFonts w:ascii="Cambria Math" w:hAnsi="Cambria Math"/>
              </w:rPr>
              <m:t xml:space="preserve">d</m:t>
            </m:r>
            <m:sSub>
              <m:e>
                <m:r>
                  <w:rPr>
                    <w:rFonts w:ascii="Cambria Math" w:hAnsi="Cambria Math"/>
                  </w:rPr>
                  <m:t xml:space="preserve">A</m:t>
                </m:r>
              </m:e>
              <m:sub>
                <m:r>
                  <w:rPr>
                    <w:rFonts w:ascii="Cambria Math" w:hAnsi="Cambria Math"/>
                  </w:rPr>
                  <m:t xml:space="preserve">i</m:t>
                </m:r>
              </m:sub>
            </m:sSub>
          </m:num>
          <m:den>
            <m:r>
              <w:rPr>
                <w:rFonts w:ascii="Cambria Math" w:hAnsi="Cambria Math"/>
              </w:rPr>
              <m:t xml:space="preserve">dt</m:t>
            </m:r>
          </m:den>
        </m:f>
        <m:r>
          <w:rPr>
            <w:rFonts w:ascii="Cambria Math" w:hAnsi="Cambria Math"/>
          </w:rPr>
          <m:t xml:space="preserve">=</m:t>
        </m:r>
        <m:r>
          <w:rPr>
            <w:rFonts w:ascii="Cambria Math" w:hAnsi="Cambria Math"/>
          </w:rPr>
          <m:t xml:space="preserve">χ</m:t>
        </m:r>
        <m:r>
          <w:rPr>
            <w:rFonts w:ascii="Cambria Math" w:hAnsi="Cambria Math"/>
          </w:rPr>
          <m:t xml:space="preserve">σ</m:t>
        </m:r>
        <m:sSub>
          <m:e>
            <m:r>
              <w:rPr>
                <w:rFonts w:ascii="Cambria Math" w:hAnsi="Cambria Math"/>
              </w:rPr>
              <m:t xml:space="preserve">E</m:t>
            </m:r>
          </m:e>
          <m:sub>
            <m:r>
              <w:rPr>
                <w:rFonts w:ascii="Cambria Math" w:hAnsi="Cambria Math"/>
              </w:rPr>
              <m:t xml:space="preserve">i</m:t>
            </m:r>
          </m:sub>
        </m:sSub>
        <m:r>
          <w:rPr>
            <w:rFonts w:ascii="Cambria Math" w:hAnsi="Cambria Math"/>
          </w:rPr>
          <m:t xml:space="preserve">−</m:t>
        </m:r>
        <m:d>
          <m:dPr>
            <m:begChr m:val="["/>
            <m:endChr m:val="]"/>
          </m:dPr>
          <m:e>
            <m:r>
              <w:rPr>
                <w:rFonts w:ascii="Cambria Math" w:hAnsi="Cambria Math"/>
              </w:rPr>
              <m:t xml:space="preserve">γ</m:t>
            </m:r>
            <m:r>
              <w:rPr>
                <w:rFonts w:ascii="Cambria Math" w:hAnsi="Cambria Math"/>
              </w:rPr>
              <m:t xml:space="preserve">+</m:t>
            </m:r>
            <m:r>
              <w:rPr>
                <w:rFonts w:ascii="Cambria Math" w:hAnsi="Cambria Math"/>
              </w:rPr>
              <m:t xml:space="preserve">μ</m:t>
            </m:r>
            <m:r>
              <w:rPr>
                <w:rFonts w:ascii="Cambria Math" w:hAnsi="Cambria Math"/>
              </w:rPr>
              <m:t xml:space="preserve">′</m:t>
            </m:r>
            <m:r>
              <w:rPr>
                <w:rFonts w:ascii="Cambria Math" w:hAnsi="Cambria Math"/>
              </w:rPr>
              <m:t xml:space="preserve">+</m:t>
            </m:r>
            <m:sSub>
              <m:e>
                <m:r>
                  <w:rPr>
                    <w:rFonts w:ascii="Cambria Math" w:hAnsi="Cambria Math"/>
                  </w:rPr>
                  <m:t xml:space="preserve">ν</m:t>
                </m:r>
              </m:e>
              <m:sub>
                <m:r>
                  <w:rPr>
                    <w:rFonts w:ascii="Cambria Math" w:hAnsi="Cambria Math"/>
                  </w:rPr>
                  <m:t xml:space="preserve">i</m:t>
                </m:r>
              </m:sub>
            </m:sSub>
            <m:r>
              <w:rPr>
                <w:rFonts w:ascii="Cambria Math" w:hAnsi="Cambria Math"/>
              </w:rPr>
              <m:t xml:space="preserve">+</m:t>
            </m:r>
            <m:f>
              <m:num>
                <m:r>
                  <w:rPr>
                    <w:rFonts w:ascii="Cambria Math" w:hAnsi="Cambria Math"/>
                  </w:rPr>
                  <m:t xml:space="preserve">1</m:t>
                </m:r>
              </m:num>
              <m:den>
                <m:sSub>
                  <m:e>
                    <m:r>
                      <w:rPr>
                        <w:rFonts w:ascii="Cambria Math" w:hAnsi="Cambria Math"/>
                      </w:rPr>
                      <m:t xml:space="preserve">p</m:t>
                    </m:r>
                  </m:e>
                  <m:sub>
                    <m:r>
                      <w:rPr>
                        <w:rFonts w:ascii="Cambria Math" w:hAnsi="Cambria Math"/>
                      </w:rPr>
                      <m:t xml:space="preserve">v</m:t>
                    </m:r>
                    <m:r>
                      <w:rPr>
                        <w:rFonts w:ascii="Cambria Math" w:hAnsi="Cambria Math"/>
                      </w:rPr>
                      <m:t xml:space="preserve">,</m:t>
                    </m:r>
                    <m:r>
                      <w:rPr>
                        <w:rFonts w:ascii="Cambria Math" w:hAnsi="Cambria Math"/>
                      </w:rPr>
                      <m:t xml:space="preserve">i</m:t>
                    </m:r>
                  </m:sub>
                </m:sSub>
              </m:den>
            </m:f>
            <m:nary>
              <m:naryPr>
                <m:chr m:val="∑"/>
              </m:naryPr>
              <m:sub>
                <m:r>
                  <w:rPr>
                    <w:rFonts w:ascii="Cambria Math" w:hAnsi="Cambria Math"/>
                  </w:rPr>
                  <m:t xml:space="preserve">k</m:t>
                </m:r>
                <m:r>
                  <w:rPr>
                    <w:rFonts w:ascii="Cambria Math" w:hAnsi="Cambria Math"/>
                  </w:rPr>
                  <m:t xml:space="preserve">=</m:t>
                </m:r>
                <m:r>
                  <w:rPr>
                    <w:rFonts w:ascii="Cambria Math" w:hAnsi="Cambria Math"/>
                  </w:rPr>
                  <m:t xml:space="preserve">1</m:t>
                </m:r>
              </m:sub>
              <m:sup>
                <m:r>
                  <w:rPr>
                    <w:rFonts w:ascii="Cambria Math" w:hAnsi="Cambria Math"/>
                  </w:rPr>
                  <m:t xml:space="preserve">K</m:t>
                </m:r>
              </m:sup>
              <m:e>
                <m:sSubSup>
                  <m:e>
                    <m:r>
                      <w:rPr>
                        <w:rFonts w:ascii="Cambria Math" w:hAnsi="Cambria Math"/>
                      </w:rPr>
                      <m:t xml:space="preserve">d</m:t>
                    </m:r>
                  </m:e>
                  <m:sub>
                    <m:r>
                      <w:rPr>
                        <w:rFonts w:ascii="Cambria Math" w:hAnsi="Cambria Math"/>
                      </w:rPr>
                      <m:t xml:space="preserve">1</m:t>
                    </m:r>
                  </m:sub>
                  <m:sup>
                    <m:d>
                      <m:dPr>
                        <m:begChr m:val="("/>
                        <m:endChr m:val=")"/>
                      </m:dPr>
                      <m:e>
                        <m:r>
                          <w:rPr>
                            <w:rFonts w:ascii="Cambria Math" w:hAnsi="Cambria Math"/>
                          </w:rPr>
                          <m:t xml:space="preserve">i</m:t>
                        </m:r>
                        <m:r>
                          <w:rPr>
                            <w:rFonts w:ascii="Cambria Math" w:hAnsi="Cambria Math"/>
                          </w:rPr>
                          <m:t xml:space="preserve">,</m:t>
                        </m:r>
                        <m:r>
                          <w:rPr>
                            <w:rFonts w:ascii="Cambria Math" w:hAnsi="Cambria Math"/>
                          </w:rPr>
                          <m:t xml:space="preserve">k</m:t>
                        </m:r>
                      </m:e>
                    </m:d>
                  </m:sup>
                </m:sSubSup>
                <m:sSubSup>
                  <m:e>
                    <m:r>
                      <w:rPr>
                        <w:rFonts w:ascii="Cambria Math" w:hAnsi="Cambria Math"/>
                      </w:rPr>
                      <m:t xml:space="preserve">e</m:t>
                    </m:r>
                  </m:e>
                  <m:sub>
                    <m:r>
                      <w:rPr>
                        <w:rFonts w:ascii="Cambria Math" w:hAnsi="Cambria Math"/>
                      </w:rPr>
                      <m:t xml:space="preserve">1</m:t>
                    </m:r>
                  </m:sub>
                  <m:sup>
                    <m:d>
                      <m:dPr>
                        <m:begChr m:val="("/>
                        <m:endChr m:val=")"/>
                      </m:dPr>
                      <m:e>
                        <m:r>
                          <w:rPr>
                            <w:rFonts w:ascii="Cambria Math" w:hAnsi="Cambria Math"/>
                          </w:rPr>
                          <m:t xml:space="preserve">k</m:t>
                        </m:r>
                      </m:e>
                    </m:d>
                  </m:sup>
                </m:sSubSup>
              </m:e>
            </m:nary>
            <m:sSub>
              <m:e>
                <m:r>
                  <w:rPr>
                    <w:rFonts w:ascii="Cambria Math" w:hAnsi="Cambria Math"/>
                  </w:rPr>
                  <m:t xml:space="preserve">A</m:t>
                </m:r>
              </m:e>
              <m:sub>
                <m:r>
                  <w:rPr>
                    <w:rFonts w:ascii="Cambria Math" w:hAnsi="Cambria Math"/>
                  </w:rPr>
                  <m:t xml:space="preserve">i</m:t>
                </m:r>
              </m:sub>
            </m:sSub>
          </m:e>
        </m:d>
        <m:r>
          <w:rPr>
            <w:rFonts w:ascii="Cambria Math" w:hAnsi="Cambria Math"/>
          </w:rPr>
          <m:t xml:space="preserve">+</m:t>
        </m:r>
        <m:sSub>
          <m:e>
            <m:r>
              <w:rPr>
                <w:rFonts w:ascii="Cambria Math" w:hAnsi="Cambria Math"/>
              </w:rPr>
              <m:t xml:space="preserve">ν</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sSub>
          <m:e>
            <m:r>
              <w:rPr>
                <w:rFonts w:ascii="Cambria Math" w:hAnsi="Cambria Math"/>
              </w:rPr>
              <m:t xml:space="preserve">A</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oMath>
    </w:p>
    <w:p>
      <w:pPr>
        <w:pStyle w:val="LOnormal"/>
        <w:keepNext w:val="false"/>
        <w:keepLines w:val="false"/>
        <w:widowControl/>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f>
            <m:num>
              <m:r>
                <w:rPr>
                  <w:rFonts w:ascii="Cambria Math" w:hAnsi="Cambria Math"/>
                </w:rPr>
                <m:t xml:space="preserve">d</m:t>
              </m:r>
              <m:sSub>
                <m:e>
                  <m:r>
                    <w:rPr>
                      <w:rFonts w:ascii="Cambria Math" w:hAnsi="Cambria Math"/>
                    </w:rPr>
                    <m:t xml:space="preserve">H</m:t>
                  </m:r>
                </m:e>
                <m:sub>
                  <m:r>
                    <w:rPr>
                      <w:rFonts w:ascii="Cambria Math" w:hAnsi="Cambria Math"/>
                    </w:rPr>
                    <m:t xml:space="preserve">i</m:t>
                  </m:r>
                </m:sub>
              </m:sSub>
            </m:num>
            <m:den>
              <m:r>
                <w:rPr>
                  <w:rFonts w:ascii="Cambria Math" w:hAnsi="Cambria Math"/>
                </w:rPr>
                <m:t xml:space="preserve">dt</m:t>
              </m:r>
            </m:den>
          </m:f>
          <m:r>
            <w:rPr>
              <w:rFonts w:ascii="Cambria Math" w:hAnsi="Cambria Math"/>
            </w:rPr>
            <m:t xml:space="preserve">=</m:t>
          </m:r>
          <m:r>
            <w:rPr>
              <w:rFonts w:ascii="Cambria Math" w:hAnsi="Cambria Math"/>
            </w:rPr>
            <m:t xml:space="preserve">−</m:t>
          </m:r>
          <m:d>
            <m:dPr>
              <m:begChr m:val="["/>
              <m:endChr m:val="]"/>
            </m:dPr>
            <m:e>
              <m:r>
                <w:rPr>
                  <w:rFonts w:ascii="Cambria Math" w:hAnsi="Cambria Math"/>
                </w:rPr>
                <m:t xml:space="preserve">ψ</m:t>
              </m:r>
              <m:r>
                <w:rPr>
                  <w:rFonts w:ascii="Cambria Math" w:hAnsi="Cambria Math"/>
                </w:rPr>
                <m:t xml:space="preserve">+</m:t>
              </m:r>
              <m:r>
                <w:rPr>
                  <w:rFonts w:ascii="Cambria Math" w:hAnsi="Cambria Math"/>
                </w:rPr>
                <m:t xml:space="preserve">μ</m:t>
              </m:r>
              <m:r>
                <w:rPr>
                  <w:rFonts w:ascii="Cambria Math" w:hAnsi="Cambria Math"/>
                </w:rPr>
                <m:t xml:space="preserve">′</m:t>
              </m:r>
              <m:r>
                <w:rPr>
                  <w:rFonts w:ascii="Cambria Math" w:hAnsi="Cambria Math"/>
                </w:rPr>
                <m:t xml:space="preserve">+</m:t>
              </m:r>
              <m:sSub>
                <m:e>
                  <m:r>
                    <w:rPr>
                      <w:rFonts w:ascii="Cambria Math" w:hAnsi="Cambria Math"/>
                    </w:rPr>
                    <m:t xml:space="preserve">ν</m:t>
                  </m:r>
                </m:e>
                <m:sub>
                  <m:r>
                    <w:rPr>
                      <w:rFonts w:ascii="Cambria Math" w:hAnsi="Cambria Math"/>
                    </w:rPr>
                    <m:t xml:space="preserve">i</m:t>
                  </m:r>
                </m:sub>
              </m:sSub>
            </m:e>
          </m:d>
          <m:sSub>
            <m:e>
              <m:r>
                <w:rPr>
                  <w:rFonts w:ascii="Cambria Math" w:hAnsi="Cambria Math"/>
                </w:rPr>
                <m:t xml:space="preserve">H</m:t>
              </m:r>
            </m:e>
            <m:sub>
              <m:r>
                <w:rPr>
                  <w:rFonts w:ascii="Cambria Math" w:hAnsi="Cambria Math"/>
                </w:rPr>
                <m:t xml:space="preserve">i</m:t>
              </m:r>
            </m:sub>
          </m:sSub>
          <m:r>
            <w:rPr>
              <w:rFonts w:ascii="Cambria Math" w:hAnsi="Cambria Math"/>
            </w:rPr>
            <m:t xml:space="preserve">+</m:t>
          </m:r>
          <m:d>
            <m:dPr>
              <m:begChr m:val="("/>
              <m:endChr m:val=")"/>
            </m:dPr>
            <m:e>
              <m:r>
                <w:rPr>
                  <w:rFonts w:ascii="Cambria Math" w:hAnsi="Cambria Math"/>
                </w:rPr>
                <m:t xml:space="preserve">1</m:t>
              </m:r>
              <m:r>
                <w:rPr>
                  <w:rFonts w:ascii="Cambria Math" w:hAnsi="Cambria Math"/>
                </w:rPr>
                <m:t xml:space="preserve">−</m:t>
              </m:r>
              <m:r>
                <w:rPr>
                  <w:rFonts w:ascii="Cambria Math" w:hAnsi="Cambria Math"/>
                </w:rPr>
                <m:t xml:space="preserve">χ</m:t>
              </m:r>
            </m:e>
          </m:d>
          <m:sSub>
            <m:e>
              <m:r>
                <w:rPr>
                  <w:rFonts w:ascii="Cambria Math" w:hAnsi="Cambria Math"/>
                </w:rPr>
                <m:t xml:space="preserve">ζ</m:t>
              </m:r>
            </m:e>
            <m:sub>
              <m:r>
                <w:rPr>
                  <w:rFonts w:ascii="Cambria Math" w:hAnsi="Cambria Math"/>
                </w:rPr>
                <m:t xml:space="preserve">i</m:t>
              </m:r>
            </m:sub>
          </m:sSub>
          <m:r>
            <w:rPr>
              <w:rFonts w:ascii="Cambria Math" w:hAnsi="Cambria Math"/>
            </w:rPr>
            <m:t xml:space="preserve">σ</m:t>
          </m:r>
          <m:sSub>
            <m:e>
              <m:r>
                <w:rPr>
                  <w:rFonts w:ascii="Cambria Math" w:hAnsi="Cambria Math"/>
                </w:rPr>
                <m:t xml:space="preserve">E</m:t>
              </m:r>
            </m:e>
            <m:sub>
              <m:r>
                <w:rPr>
                  <w:rFonts w:ascii="Cambria Math" w:hAnsi="Cambria Math"/>
                </w:rPr>
                <m:t xml:space="preserve">i</m:t>
              </m:r>
            </m:sub>
          </m:sSub>
          <m:d>
            <m:dPr>
              <m:begChr m:val="("/>
              <m:endChr m:val=")"/>
            </m:dPr>
            <m:e>
              <m:r>
                <w:rPr>
                  <w:rFonts w:ascii="Cambria Math" w:hAnsi="Cambria Math"/>
                </w:rPr>
                <m:t xml:space="preserve">t</m:t>
              </m:r>
              <m:r>
                <w:rPr>
                  <w:rFonts w:ascii="Cambria Math" w:hAnsi="Cambria Math"/>
                </w:rPr>
                <m:t xml:space="preserve">−</m:t>
              </m:r>
              <m:sSub>
                <m:e>
                  <m:r>
                    <w:rPr>
                      <w:rFonts w:ascii="Cambria Math" w:hAnsi="Cambria Math"/>
                    </w:rPr>
                    <m:t xml:space="preserve">τ</m:t>
                  </m:r>
                </m:e>
                <m:sub>
                  <m:r>
                    <w:rPr>
                      <w:rFonts w:ascii="Cambria Math" w:hAnsi="Cambria Math"/>
                    </w:rPr>
                    <m:t xml:space="preserve">1</m:t>
                  </m:r>
                </m:sub>
              </m:sSub>
            </m:e>
          </m:d>
          <m:r>
            <w:rPr>
              <w:rFonts w:ascii="Cambria Math" w:hAnsi="Cambria Math"/>
            </w:rPr>
            <m:t xml:space="preserve">−</m:t>
          </m:r>
          <m:d>
            <m:dPr>
              <m:begChr m:val="("/>
              <m:endChr m:val=")"/>
            </m:dPr>
            <m:e>
              <m:r>
                <w:rPr>
                  <w:rFonts w:ascii="Cambria Math" w:hAnsi="Cambria Math"/>
                </w:rPr>
                <m:t xml:space="preserve">1</m:t>
              </m:r>
              <m:r>
                <w:rPr>
                  <w:rFonts w:ascii="Cambria Math" w:hAnsi="Cambria Math"/>
                </w:rPr>
                <m:t xml:space="preserve">−</m:t>
              </m:r>
              <m:r>
                <w:rPr>
                  <w:rFonts w:ascii="Cambria Math" w:hAnsi="Cambria Math"/>
                </w:rPr>
                <m:t xml:space="preserve">χ</m:t>
              </m:r>
            </m:e>
          </m:d>
          <m:sSub>
            <m:e>
              <m:r>
                <w:rPr>
                  <w:rFonts w:ascii="Cambria Math" w:hAnsi="Cambria Math"/>
                </w:rPr>
                <m:t xml:space="preserve">θ</m:t>
              </m:r>
            </m:e>
            <m:sub>
              <m:r>
                <w:rPr>
                  <w:rFonts w:ascii="Cambria Math" w:hAnsi="Cambria Math"/>
                </w:rPr>
                <m:t xml:space="preserve">i</m:t>
              </m:r>
            </m:sub>
          </m:sSub>
          <m:sSub>
            <m:e>
              <m:r>
                <w:rPr>
                  <w:rFonts w:ascii="Cambria Math" w:hAnsi="Cambria Math"/>
                </w:rPr>
                <m:t xml:space="preserve">ζ</m:t>
              </m:r>
            </m:e>
            <m:sub>
              <m:r>
                <w:rPr>
                  <w:rFonts w:ascii="Cambria Math" w:hAnsi="Cambria Math"/>
                </w:rPr>
                <m:t xml:space="preserve">i</m:t>
              </m:r>
            </m:sub>
          </m:sSub>
          <m:r>
            <w:rPr>
              <w:rFonts w:ascii="Cambria Math" w:hAnsi="Cambria Math"/>
            </w:rPr>
            <m:t xml:space="preserve">σ</m:t>
          </m:r>
          <m:sSub>
            <m:e>
              <m:r>
                <w:rPr>
                  <w:rFonts w:ascii="Cambria Math" w:hAnsi="Cambria Math"/>
                </w:rPr>
                <m:t xml:space="preserve">E</m:t>
              </m:r>
            </m:e>
            <m:sub>
              <m:r>
                <w:rPr>
                  <w:rFonts w:ascii="Cambria Math" w:hAnsi="Cambria Math"/>
                </w:rPr>
                <m:t xml:space="preserve">i</m:t>
              </m:r>
            </m:sub>
          </m:sSub>
          <m:d>
            <m:dPr>
              <m:begChr m:val="("/>
              <m:endChr m:val=")"/>
            </m:dPr>
            <m:e>
              <m:r>
                <w:rPr>
                  <w:rFonts w:ascii="Cambria Math" w:hAnsi="Cambria Math"/>
                </w:rPr>
                <m:t xml:space="preserve">t</m:t>
              </m:r>
              <m:r>
                <w:rPr>
                  <w:rFonts w:ascii="Cambria Math" w:hAnsi="Cambria Math"/>
                </w:rPr>
                <m:t xml:space="preserve">−</m:t>
              </m:r>
              <m:sSub>
                <m:e>
                  <m:r>
                    <w:rPr>
                      <w:rFonts w:ascii="Cambria Math" w:hAnsi="Cambria Math"/>
                    </w:rPr>
                    <m:t xml:space="preserve">τ</m:t>
                  </m:r>
                </m:e>
                <m:sub>
                  <m:r>
                    <w:rPr>
                      <w:rFonts w:ascii="Cambria Math" w:hAnsi="Cambria Math"/>
                    </w:rPr>
                    <m:t xml:space="preserve">2</m:t>
                  </m:r>
                </m:sub>
              </m:sSub>
            </m:e>
          </m:d>
          <m:r>
            <w:rPr>
              <w:rFonts w:ascii="Cambria Math" w:hAnsi="Cambria Math"/>
            </w:rPr>
            <m:t xml:space="preserve">+</m:t>
          </m:r>
          <m:sSub>
            <m:e>
              <m:r>
                <w:rPr>
                  <w:rFonts w:ascii="Cambria Math" w:hAnsi="Cambria Math"/>
                </w:rPr>
                <m:t xml:space="preserve">ν</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sSub>
            <m:e>
              <m:r>
                <w:rPr>
                  <w:rFonts w:ascii="Cambria Math" w:hAnsi="Cambria Math"/>
                </w:rPr>
                <m:t xml:space="preserve">H</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oMath>
      </m:oMathPara>
    </w:p>
    <w:p>
      <w:pPr>
        <w:pStyle w:val="LOnormal"/>
        <w:keepNext w:val="false"/>
        <w:keepLines w:val="false"/>
        <w:widowControl/>
        <w:shd w:val="clear" w:fill="auto"/>
        <w:spacing w:lineRule="auto" w:line="276" w:before="0" w:after="14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m:f>
          <m:num>
            <m:r>
              <w:rPr>
                <w:rFonts w:ascii="Cambria Math" w:hAnsi="Cambria Math"/>
              </w:rPr>
              <m:t xml:space="preserve">d</m:t>
            </m:r>
            <m:sSub>
              <m:e>
                <m:r>
                  <w:rPr>
                    <w:rFonts w:ascii="Cambria Math" w:hAnsi="Cambria Math"/>
                  </w:rPr>
                  <m:t xml:space="preserve">R</m:t>
                </m:r>
              </m:e>
              <m:sub>
                <m:r>
                  <w:rPr>
                    <w:rFonts w:ascii="Cambria Math" w:hAnsi="Cambria Math"/>
                  </w:rPr>
                  <m:t xml:space="preserve">i</m:t>
                </m:r>
              </m:sub>
            </m:sSub>
          </m:num>
          <m:den>
            <m:r>
              <w:rPr>
                <w:rFonts w:ascii="Cambria Math" w:hAnsi="Cambria Math"/>
              </w:rPr>
              <m:t xml:space="preserve">dt</m:t>
            </m:r>
          </m:den>
        </m:f>
        <m:r>
          <w:rPr>
            <w:rFonts w:ascii="Cambria Math" w:hAnsi="Cambria Math"/>
          </w:rPr>
          <m:t xml:space="preserve">=</m:t>
        </m:r>
        <m:r>
          <w:rPr>
            <w:rFonts w:ascii="Cambria Math" w:hAnsi="Cambria Math"/>
          </w:rPr>
          <m:t xml:space="preserve">γ</m:t>
        </m:r>
        <m:sSub>
          <m:e>
            <m:r>
              <w:rPr>
                <w:rFonts w:ascii="Cambria Math" w:hAnsi="Cambria Math"/>
              </w:rPr>
              <m:t xml:space="preserve">I</m:t>
            </m:r>
          </m:e>
          <m:sub>
            <m:r>
              <w:rPr>
                <w:rFonts w:ascii="Cambria Math" w:hAnsi="Cambria Math"/>
              </w:rPr>
              <m:t xml:space="preserve">i</m:t>
            </m:r>
          </m:sub>
        </m:sSub>
        <m:r>
          <w:rPr>
            <w:rFonts w:ascii="Cambria Math" w:hAnsi="Cambria Math"/>
          </w:rPr>
          <m:t xml:space="preserve">+</m:t>
        </m:r>
        <m:r>
          <w:rPr>
            <w:rFonts w:ascii="Cambria Math" w:hAnsi="Cambria Math"/>
          </w:rPr>
          <m:t xml:space="preserve">γ</m:t>
        </m:r>
        <m:sSub>
          <m:e>
            <m:r>
              <w:rPr>
                <w:rFonts w:ascii="Cambria Math" w:hAnsi="Cambria Math"/>
              </w:rPr>
              <m:t xml:space="preserve">A</m:t>
            </m:r>
          </m:e>
          <m:sub>
            <m:r>
              <w:rPr>
                <w:rFonts w:ascii="Cambria Math" w:hAnsi="Cambria Math"/>
              </w:rPr>
              <m:t xml:space="preserve">i</m:t>
            </m:r>
          </m:sub>
        </m:sSub>
        <m:r>
          <w:rPr>
            <w:rFonts w:ascii="Cambria Math" w:hAnsi="Cambria Math"/>
          </w:rPr>
          <m:t xml:space="preserve">+</m:t>
        </m:r>
        <m:r>
          <w:rPr>
            <w:rFonts w:ascii="Cambria Math" w:hAnsi="Cambria Math"/>
          </w:rPr>
          <m:t xml:space="preserve">ψ</m:t>
        </m:r>
        <m:sSub>
          <m:e>
            <m:r>
              <w:rPr>
                <w:rFonts w:ascii="Cambria Math" w:hAnsi="Cambria Math"/>
              </w:rPr>
              <m:t xml:space="preserve">H</m:t>
            </m:r>
          </m:e>
          <m:sub>
            <m:r>
              <w:rPr>
                <w:rFonts w:ascii="Cambria Math" w:hAnsi="Cambria Math"/>
              </w:rPr>
              <m:t xml:space="preserve">i</m:t>
            </m:r>
          </m:sub>
        </m:sSub>
        <m:r>
          <w:rPr>
            <w:rFonts w:ascii="Cambria Math" w:hAnsi="Cambria Math"/>
          </w:rPr>
          <m:t xml:space="preserve">−</m:t>
        </m:r>
        <m:d>
          <m:dPr>
            <m:begChr m:val="["/>
            <m:endChr m:val="]"/>
          </m:dPr>
          <m:e>
            <m:r>
              <w:rPr>
                <w:rFonts w:ascii="Cambria Math" w:hAnsi="Cambria Math"/>
              </w:rPr>
              <m:t xml:space="preserve">μ</m:t>
            </m:r>
            <m:r>
              <w:rPr>
                <w:rFonts w:ascii="Cambria Math" w:hAnsi="Cambria Math"/>
              </w:rPr>
              <m:t xml:space="preserve">′</m:t>
            </m:r>
            <m:r>
              <w:rPr>
                <w:rFonts w:ascii="Cambria Math" w:hAnsi="Cambria Math"/>
              </w:rPr>
              <m:t xml:space="preserve">+</m:t>
            </m:r>
            <m:sSub>
              <m:e>
                <m:r>
                  <w:rPr>
                    <w:rFonts w:ascii="Cambria Math" w:hAnsi="Cambria Math"/>
                  </w:rPr>
                  <m:t xml:space="preserve">ν</m:t>
                </m:r>
              </m:e>
              <m:sub>
                <m:r>
                  <w:rPr>
                    <w:rFonts w:ascii="Cambria Math" w:hAnsi="Cambria Math"/>
                  </w:rPr>
                  <m:t xml:space="preserve">i</m:t>
                </m:r>
              </m:sub>
            </m:sSub>
            <m:r>
              <w:rPr>
                <w:rFonts w:ascii="Cambria Math" w:hAnsi="Cambria Math"/>
              </w:rPr>
              <m:t xml:space="preserve">+</m:t>
            </m:r>
            <m:f>
              <m:num>
                <m:r>
                  <w:rPr>
                    <w:rFonts w:ascii="Cambria Math" w:hAnsi="Cambria Math"/>
                  </w:rPr>
                  <m:t xml:space="preserve">1</m:t>
                </m:r>
              </m:num>
              <m:den>
                <m:sSub>
                  <m:e>
                    <m:r>
                      <w:rPr>
                        <w:rFonts w:ascii="Cambria Math" w:hAnsi="Cambria Math"/>
                      </w:rPr>
                      <m:t xml:space="preserve">p</m:t>
                    </m:r>
                  </m:e>
                  <m:sub>
                    <m:r>
                      <w:rPr>
                        <w:rFonts w:ascii="Cambria Math" w:hAnsi="Cambria Math"/>
                      </w:rPr>
                      <m:t xml:space="preserve">v</m:t>
                    </m:r>
                    <m:r>
                      <w:rPr>
                        <w:rFonts w:ascii="Cambria Math" w:hAnsi="Cambria Math"/>
                      </w:rPr>
                      <m:t xml:space="preserve">,</m:t>
                    </m:r>
                    <m:r>
                      <w:rPr>
                        <w:rFonts w:ascii="Cambria Math" w:hAnsi="Cambria Math"/>
                      </w:rPr>
                      <m:t xml:space="preserve">i</m:t>
                    </m:r>
                  </m:sub>
                </m:sSub>
              </m:den>
            </m:f>
            <m:nary>
              <m:naryPr>
                <m:chr m:val="∑"/>
              </m:naryPr>
              <m:sub>
                <m:r>
                  <w:rPr>
                    <w:rFonts w:ascii="Cambria Math" w:hAnsi="Cambria Math"/>
                  </w:rPr>
                  <m:t xml:space="preserve">k</m:t>
                </m:r>
                <m:r>
                  <w:rPr>
                    <w:rFonts w:ascii="Cambria Math" w:hAnsi="Cambria Math"/>
                  </w:rPr>
                  <m:t xml:space="preserve">=</m:t>
                </m:r>
                <m:r>
                  <w:rPr>
                    <w:rFonts w:ascii="Cambria Math" w:hAnsi="Cambria Math"/>
                  </w:rPr>
                  <m:t xml:space="preserve">1</m:t>
                </m:r>
              </m:sub>
              <m:sup>
                <m:r>
                  <w:rPr>
                    <w:rFonts w:ascii="Cambria Math" w:hAnsi="Cambria Math"/>
                  </w:rPr>
                  <m:t xml:space="preserve">K</m:t>
                </m:r>
              </m:sup>
              <m:e>
                <m:sSubSup>
                  <m:e>
                    <m:r>
                      <w:rPr>
                        <w:rFonts w:ascii="Cambria Math" w:hAnsi="Cambria Math"/>
                      </w:rPr>
                      <m:t xml:space="preserve">d</m:t>
                    </m:r>
                  </m:e>
                  <m:sub>
                    <m:r>
                      <w:rPr>
                        <w:rFonts w:ascii="Cambria Math" w:hAnsi="Cambria Math"/>
                      </w:rPr>
                      <m:t xml:space="preserve">1</m:t>
                    </m:r>
                  </m:sub>
                  <m:sup>
                    <m:d>
                      <m:dPr>
                        <m:begChr m:val="("/>
                        <m:endChr m:val=")"/>
                      </m:dPr>
                      <m:e>
                        <m:r>
                          <w:rPr>
                            <w:rFonts w:ascii="Cambria Math" w:hAnsi="Cambria Math"/>
                          </w:rPr>
                          <m:t xml:space="preserve">i</m:t>
                        </m:r>
                        <m:r>
                          <w:rPr>
                            <w:rFonts w:ascii="Cambria Math" w:hAnsi="Cambria Math"/>
                          </w:rPr>
                          <m:t xml:space="preserve">,</m:t>
                        </m:r>
                        <m:r>
                          <w:rPr>
                            <w:rFonts w:ascii="Cambria Math" w:hAnsi="Cambria Math"/>
                          </w:rPr>
                          <m:t xml:space="preserve">k</m:t>
                        </m:r>
                      </m:e>
                    </m:d>
                  </m:sup>
                </m:sSubSup>
                <m:sSubSup>
                  <m:e>
                    <m:r>
                      <w:rPr>
                        <w:rFonts w:ascii="Cambria Math" w:hAnsi="Cambria Math"/>
                      </w:rPr>
                      <m:t xml:space="preserve">e</m:t>
                    </m:r>
                  </m:e>
                  <m:sub>
                    <m:r>
                      <w:rPr>
                        <w:rFonts w:ascii="Cambria Math" w:hAnsi="Cambria Math"/>
                      </w:rPr>
                      <m:t xml:space="preserve">1</m:t>
                    </m:r>
                  </m:sub>
                  <m:sup>
                    <m:d>
                      <m:dPr>
                        <m:begChr m:val="("/>
                        <m:endChr m:val=")"/>
                      </m:dPr>
                      <m:e>
                        <m:r>
                          <w:rPr>
                            <w:rFonts w:ascii="Cambria Math" w:hAnsi="Cambria Math"/>
                          </w:rPr>
                          <m:t xml:space="preserve">k</m:t>
                        </m:r>
                      </m:e>
                    </m:d>
                  </m:sup>
                </m:sSubSup>
              </m:e>
            </m:nary>
          </m:e>
        </m:d>
        <m:sSub>
          <m:e>
            <m:r>
              <w:rPr>
                <w:rFonts w:ascii="Cambria Math" w:hAnsi="Cambria Math"/>
              </w:rPr>
              <m:t xml:space="preserve">R</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ν</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sSub>
          <m:e>
            <m:r>
              <w:rPr>
                <w:rFonts w:ascii="Cambria Math" w:hAnsi="Cambria Math"/>
              </w:rPr>
              <m:t xml:space="preserve">R</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oMath>
      <w:r>
        <w:rPr/>
      </w:r>
      <m:oMath xmlns:m="http://schemas.openxmlformats.org/officeDocument/2006/math">
        <m:f>
          <m:num>
            <m:r>
              <w:rPr>
                <w:rFonts w:ascii="Cambria Math" w:hAnsi="Cambria Math"/>
              </w:rPr>
              <m:t xml:space="preserve">d</m:t>
            </m:r>
            <m:sSubSup>
              <m:e>
                <m:r>
                  <w:rPr>
                    <w:rFonts w:ascii="Cambria Math" w:hAnsi="Cambria Math"/>
                  </w:rPr>
                  <m:t xml:space="preserve">V</m:t>
                </m:r>
              </m:e>
              <m:sub>
                <m:r>
                  <w:rPr>
                    <w:rFonts w:ascii="Cambria Math" w:hAnsi="Cambria Math"/>
                  </w:rPr>
                  <m:t xml:space="preserve">i</m:t>
                </m:r>
              </m:sub>
              <m:sup>
                <m:d>
                  <m:dPr>
                    <m:begChr m:val="("/>
                    <m:endChr m:val=")"/>
                  </m:dPr>
                  <m:e>
                    <m:r>
                      <w:rPr>
                        <w:rFonts w:ascii="Cambria Math" w:hAnsi="Cambria Math"/>
                      </w:rPr>
                      <m:t xml:space="preserve">1</m:t>
                    </m:r>
                    <m:r>
                      <w:rPr>
                        <w:rFonts w:ascii="Cambria Math" w:hAnsi="Cambria Math"/>
                      </w:rPr>
                      <m:t xml:space="preserve">,</m:t>
                    </m:r>
                    <m:r>
                      <w:rPr>
                        <w:rFonts w:ascii="Cambria Math" w:hAnsi="Cambria Math"/>
                      </w:rPr>
                      <m:t xml:space="preserve">k</m:t>
                    </m:r>
                  </m:e>
                </m:d>
              </m:sup>
            </m:sSubSup>
          </m:num>
          <m:den>
            <m:r>
              <w:rPr>
                <w:rFonts w:ascii="Cambria Math" w:hAnsi="Cambria Math"/>
              </w:rPr>
              <m:t xml:space="preserve">dt</m:t>
            </m:r>
          </m:den>
        </m:f>
        <m:r>
          <w:rPr>
            <w:rFonts w:ascii="Cambria Math" w:hAnsi="Cambria Math"/>
          </w:rPr>
          <m:t xml:space="preserve">=</m:t>
        </m:r>
        <m:r>
          <w:rPr>
            <w:rFonts w:ascii="Cambria Math" w:hAnsi="Cambria Math"/>
          </w:rPr>
          <m:t xml:space="preserve">−</m:t>
        </m:r>
        <m:d>
          <m:dPr>
            <m:begChr m:val="["/>
            <m:endChr m:val="]"/>
          </m:dPr>
          <m:e>
            <m:r>
              <w:rPr>
                <w:rFonts w:ascii="Cambria Math" w:hAnsi="Cambria Math"/>
              </w:rPr>
              <m:t xml:space="preserve">μ</m:t>
            </m:r>
            <m:r>
              <w:rPr>
                <w:rFonts w:ascii="Cambria Math" w:hAnsi="Cambria Math"/>
              </w:rPr>
              <m:t xml:space="preserve">′</m:t>
            </m:r>
            <m:r>
              <w:rPr>
                <w:rFonts w:ascii="Cambria Math" w:hAnsi="Cambria Math"/>
              </w:rPr>
              <m:t xml:space="preserve">+</m:t>
            </m:r>
            <m:sSub>
              <m:e>
                <m:r>
                  <w:rPr>
                    <w:rFonts w:ascii="Cambria Math" w:hAnsi="Cambria Math"/>
                  </w:rPr>
                  <m:t xml:space="preserve">ν</m:t>
                </m:r>
              </m:e>
              <m:sub>
                <m:r>
                  <w:rPr>
                    <w:rFonts w:ascii="Cambria Math" w:hAnsi="Cambria Math"/>
                  </w:rPr>
                  <m:t xml:space="preserve">i</m:t>
                </m:r>
              </m:sub>
            </m:sSub>
          </m:e>
        </m:d>
        <m:sSubSup>
          <m:e>
            <m:r>
              <w:rPr>
                <w:rFonts w:ascii="Cambria Math" w:hAnsi="Cambria Math"/>
              </w:rPr>
              <m:t xml:space="preserve">V</m:t>
            </m:r>
          </m:e>
          <m:sub>
            <m:r>
              <w:rPr>
                <w:rFonts w:ascii="Cambria Math" w:hAnsi="Cambria Math"/>
              </w:rPr>
              <m:t xml:space="preserve">i</m:t>
            </m:r>
          </m:sub>
          <m:sup>
            <m:d>
              <m:dPr>
                <m:begChr m:val="("/>
                <m:endChr m:val=")"/>
              </m:dPr>
              <m:e>
                <m:r>
                  <w:rPr>
                    <w:rFonts w:ascii="Cambria Math" w:hAnsi="Cambria Math"/>
                  </w:rPr>
                  <m:t xml:space="preserve">1</m:t>
                </m:r>
                <m:r>
                  <w:rPr>
                    <w:rFonts w:ascii="Cambria Math" w:hAnsi="Cambria Math"/>
                  </w:rPr>
                  <m:t xml:space="preserve">,</m:t>
                </m:r>
                <m:r>
                  <w:rPr>
                    <w:rFonts w:ascii="Cambria Math" w:hAnsi="Cambria Math"/>
                  </w:rPr>
                  <m:t xml:space="preserve">k</m:t>
                </m:r>
              </m:e>
            </m:d>
          </m:sup>
        </m:sSubSup>
        <m:r>
          <w:rPr>
            <w:rFonts w:ascii="Cambria Math" w:hAnsi="Cambria Math"/>
          </w:rPr>
          <m:t xml:space="preserve">+</m:t>
        </m:r>
        <m:sSub>
          <m:e>
            <m:r>
              <w:rPr>
                <w:rFonts w:ascii="Cambria Math" w:hAnsi="Cambria Math"/>
              </w:rPr>
              <m:t xml:space="preserve">ν</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sSubSup>
          <m:e>
            <m:r>
              <w:rPr>
                <w:rFonts w:ascii="Cambria Math" w:hAnsi="Cambria Math"/>
              </w:rPr>
              <m:t xml:space="preserve">V</m:t>
            </m:r>
          </m:e>
          <m:sub>
            <m:r>
              <w:rPr>
                <w:rFonts w:ascii="Cambria Math" w:hAnsi="Cambria Math"/>
              </w:rPr>
              <m:t xml:space="preserve">i</m:t>
            </m:r>
            <m:r>
              <w:rPr>
                <w:rFonts w:ascii="Cambria Math" w:hAnsi="Cambria Math"/>
              </w:rPr>
              <m:t xml:space="preserve">−</m:t>
            </m:r>
            <m:r>
              <w:rPr>
                <w:rFonts w:ascii="Cambria Math" w:hAnsi="Cambria Math"/>
              </w:rPr>
              <m:t xml:space="preserve">1</m:t>
            </m:r>
          </m:sub>
          <m:sup>
            <m:d>
              <m:dPr>
                <m:begChr m:val="("/>
                <m:endChr m:val=")"/>
              </m:dPr>
              <m:e>
                <m:r>
                  <w:rPr>
                    <w:rFonts w:ascii="Cambria Math" w:hAnsi="Cambria Math"/>
                  </w:rPr>
                  <m:t xml:space="preserve">1</m:t>
                </m:r>
                <m:r>
                  <w:rPr>
                    <w:rFonts w:ascii="Cambria Math" w:hAnsi="Cambria Math"/>
                  </w:rPr>
                  <m:t xml:space="preserve">,</m:t>
                </m:r>
                <m:r>
                  <w:rPr>
                    <w:rFonts w:ascii="Cambria Math" w:hAnsi="Cambria Math"/>
                  </w:rPr>
                  <m:t xml:space="preserve">k</m:t>
                </m:r>
              </m:e>
            </m:d>
          </m:sup>
        </m:sSubSup>
        <m:r>
          <w:rPr>
            <w:rFonts w:ascii="Cambria Math" w:hAnsi="Cambria Math"/>
          </w:rPr>
          <m:t xml:space="preserve">+</m:t>
        </m:r>
        <m:sSubSup>
          <m:e>
            <m:r>
              <w:rPr>
                <w:rFonts w:ascii="Cambria Math" w:hAnsi="Cambria Math"/>
              </w:rPr>
              <m:t xml:space="preserve">e</m:t>
            </m:r>
          </m:e>
          <m:sub>
            <m:r>
              <w:rPr>
                <w:rFonts w:ascii="Cambria Math" w:hAnsi="Cambria Math"/>
              </w:rPr>
              <m:t xml:space="preserve">1</m:t>
            </m:r>
          </m:sub>
          <m:sup>
            <m:d>
              <m:dPr>
                <m:begChr m:val="("/>
                <m:endChr m:val=")"/>
              </m:dPr>
              <m:e>
                <m:r>
                  <w:rPr>
                    <w:rFonts w:ascii="Cambria Math" w:hAnsi="Cambria Math"/>
                  </w:rPr>
                  <m:t xml:space="preserve">k</m:t>
                </m:r>
              </m:e>
            </m:d>
          </m:sup>
        </m:sSubSup>
        <m:sSubSup>
          <m:e>
            <m:r>
              <w:rPr>
                <w:rFonts w:ascii="Cambria Math" w:hAnsi="Cambria Math"/>
              </w:rPr>
              <m:t xml:space="preserve">d</m:t>
            </m:r>
          </m:e>
          <m:sub>
            <m:r>
              <w:rPr>
                <w:rFonts w:ascii="Cambria Math" w:hAnsi="Cambria Math"/>
              </w:rPr>
              <m:t xml:space="preserve">1</m:t>
            </m:r>
          </m:sub>
          <m:sup>
            <m:d>
              <m:dPr>
                <m:begChr m:val="("/>
                <m:endChr m:val=")"/>
              </m:dPr>
              <m:e>
                <m:r>
                  <w:rPr>
                    <w:rFonts w:ascii="Cambria Math" w:hAnsi="Cambria Math"/>
                  </w:rPr>
                  <m:t xml:space="preserve">i</m:t>
                </m:r>
                <m:r>
                  <w:rPr>
                    <w:rFonts w:ascii="Cambria Math" w:hAnsi="Cambria Math"/>
                  </w:rPr>
                  <m:t xml:space="preserve">,</m:t>
                </m:r>
                <m:r>
                  <w:rPr>
                    <w:rFonts w:ascii="Cambria Math" w:hAnsi="Cambria Math"/>
                  </w:rPr>
                  <m:t xml:space="preserve">k</m:t>
                </m:r>
              </m:e>
            </m:d>
          </m:sup>
        </m:sSubSup>
        <m:r>
          <w:rPr>
            <w:rFonts w:ascii="Cambria Math" w:hAnsi="Cambria Math"/>
          </w:rPr>
          <m:t xml:space="preserve">−</m:t>
        </m:r>
        <m:sSubSup>
          <m:e>
            <m:r>
              <w:rPr>
                <w:rFonts w:ascii="Cambria Math" w:hAnsi="Cambria Math"/>
              </w:rPr>
              <m:t xml:space="preserve">e</m:t>
            </m:r>
          </m:e>
          <m:sub>
            <m:r>
              <w:rPr>
                <w:rFonts w:ascii="Cambria Math" w:hAnsi="Cambria Math"/>
              </w:rPr>
              <m:t xml:space="preserve">1</m:t>
            </m:r>
          </m:sub>
          <m:sup>
            <m:d>
              <m:dPr>
                <m:begChr m:val="("/>
                <m:endChr m:val=")"/>
              </m:dPr>
              <m:e>
                <m:r>
                  <w:rPr>
                    <w:rFonts w:ascii="Cambria Math" w:hAnsi="Cambria Math"/>
                  </w:rPr>
                  <m:t xml:space="preserve">k</m:t>
                </m:r>
              </m:e>
            </m:d>
          </m:sup>
        </m:sSubSup>
        <m:sSubSup>
          <m:e>
            <m:r>
              <w:rPr>
                <w:rFonts w:ascii="Cambria Math" w:hAnsi="Cambria Math"/>
              </w:rPr>
              <m:t xml:space="preserve">d</m:t>
            </m:r>
          </m:e>
          <m:sub>
            <m:r>
              <w:rPr>
                <w:rFonts w:ascii="Cambria Math" w:hAnsi="Cambria Math"/>
              </w:rPr>
              <m:t xml:space="preserve">2</m:t>
            </m:r>
          </m:sub>
          <m:sup>
            <m:d>
              <m:dPr>
                <m:begChr m:val="("/>
                <m:endChr m:val=")"/>
              </m:dPr>
              <m:e>
                <m:r>
                  <w:rPr>
                    <w:rFonts w:ascii="Cambria Math" w:hAnsi="Cambria Math"/>
                  </w:rPr>
                  <m:t xml:space="preserve">i</m:t>
                </m:r>
                <m:r>
                  <w:rPr>
                    <w:rFonts w:ascii="Cambria Math" w:hAnsi="Cambria Math"/>
                  </w:rPr>
                  <m:t xml:space="preserve">,</m:t>
                </m:r>
                <m:r>
                  <w:rPr>
                    <w:rFonts w:ascii="Cambria Math" w:hAnsi="Cambria Math"/>
                  </w:rPr>
                  <m:t xml:space="preserve">k</m:t>
                </m:r>
              </m:e>
            </m:d>
          </m:sup>
        </m:sSubSup>
        <m:r>
          <w:rPr>
            <w:rFonts w:ascii="Cambria Math" w:hAnsi="Cambria Math"/>
          </w:rPr>
          <m:t xml:space="preserve">,</m:t>
        </m:r>
      </m:oMath>
    </w:p>
    <w:p>
      <w:pPr>
        <w:pStyle w:val="LOnormal"/>
        <w:jc w:val="left"/>
        <w:rPr>
          <w:rFonts w:ascii="Cambria Math" w:hAnsi="Cambria Math" w:eastAsia="Cambria Math" w:cs="Cambria Math"/>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f>
            <m:num>
              <m:r>
                <w:rPr>
                  <w:rFonts w:ascii="Cambria Math" w:hAnsi="Cambria Math"/>
                </w:rPr>
                <m:t xml:space="preserve">d</m:t>
              </m:r>
              <m:sSubSup>
                <m:e>
                  <m:r>
                    <w:rPr>
                      <w:rFonts w:ascii="Cambria Math" w:hAnsi="Cambria Math"/>
                    </w:rPr>
                    <m:t xml:space="preserve">V</m:t>
                  </m:r>
                </m:e>
                <m:sub>
                  <m:r>
                    <w:rPr>
                      <w:rFonts w:ascii="Cambria Math" w:hAnsi="Cambria Math"/>
                    </w:rPr>
                    <m:t xml:space="preserve">i</m:t>
                  </m:r>
                </m:sub>
                <m:sup>
                  <m:d>
                    <m:dPr>
                      <m:begChr m:val="("/>
                      <m:endChr m:val=")"/>
                    </m:dPr>
                    <m:e>
                      <m:r>
                        <w:rPr>
                          <w:rFonts w:ascii="Cambria Math" w:hAnsi="Cambria Math"/>
                        </w:rPr>
                        <m:t xml:space="preserve">2</m:t>
                      </m:r>
                      <m:r>
                        <w:rPr>
                          <w:rFonts w:ascii="Cambria Math" w:hAnsi="Cambria Math"/>
                        </w:rPr>
                        <m:t xml:space="preserve">,</m:t>
                      </m:r>
                      <m:r>
                        <w:rPr>
                          <w:rFonts w:ascii="Cambria Math" w:hAnsi="Cambria Math"/>
                        </w:rPr>
                        <m:t xml:space="preserve">k</m:t>
                      </m:r>
                    </m:e>
                  </m:d>
                </m:sup>
              </m:sSubSup>
            </m:num>
            <m:den>
              <m:r>
                <w:rPr>
                  <w:rFonts w:ascii="Cambria Math" w:hAnsi="Cambria Math"/>
                </w:rPr>
                <m:t xml:space="preserve">dt</m:t>
              </m:r>
            </m:den>
          </m:f>
          <m:r>
            <w:rPr>
              <w:rFonts w:ascii="Cambria Math" w:hAnsi="Cambria Math"/>
            </w:rPr>
            <m:t xml:space="preserve">=</m:t>
          </m:r>
          <m:r>
            <w:rPr>
              <w:rFonts w:ascii="Cambria Math" w:hAnsi="Cambria Math"/>
            </w:rPr>
            <m:t xml:space="preserve">−</m:t>
          </m:r>
          <m:d>
            <m:dPr>
              <m:begChr m:val="["/>
              <m:endChr m:val="]"/>
            </m:dPr>
            <m:e>
              <m:r>
                <w:rPr>
                  <w:rFonts w:ascii="Cambria Math" w:hAnsi="Cambria Math"/>
                </w:rPr>
                <m:t xml:space="preserve">μ</m:t>
              </m:r>
              <m:r>
                <w:rPr>
                  <w:rFonts w:ascii="Cambria Math" w:hAnsi="Cambria Math"/>
                </w:rPr>
                <m:t xml:space="preserve">′</m:t>
              </m:r>
              <m:r>
                <w:rPr>
                  <w:rFonts w:ascii="Cambria Math" w:hAnsi="Cambria Math"/>
                </w:rPr>
                <m:t xml:space="preserve">+</m:t>
              </m:r>
              <m:sSub>
                <m:e>
                  <m:r>
                    <w:rPr>
                      <w:rFonts w:ascii="Cambria Math" w:hAnsi="Cambria Math"/>
                    </w:rPr>
                    <m:t xml:space="preserve">ν</m:t>
                  </m:r>
                </m:e>
                <m:sub>
                  <m:r>
                    <w:rPr>
                      <w:rFonts w:ascii="Cambria Math" w:hAnsi="Cambria Math"/>
                    </w:rPr>
                    <m:t xml:space="preserve">i</m:t>
                  </m:r>
                </m:sub>
              </m:sSub>
            </m:e>
          </m:d>
          <m:sSubSup>
            <m:e>
              <m:r>
                <w:rPr>
                  <w:rFonts w:ascii="Cambria Math" w:hAnsi="Cambria Math"/>
                </w:rPr>
                <m:t xml:space="preserve">V</m:t>
              </m:r>
            </m:e>
            <m:sub>
              <m:r>
                <w:rPr>
                  <w:rFonts w:ascii="Cambria Math" w:hAnsi="Cambria Math"/>
                </w:rPr>
                <m:t xml:space="preserve">i</m:t>
              </m:r>
            </m:sub>
            <m:sup>
              <m:d>
                <m:dPr>
                  <m:begChr m:val="("/>
                  <m:endChr m:val=")"/>
                </m:dPr>
                <m:e>
                  <m:r>
                    <w:rPr>
                      <w:rFonts w:ascii="Cambria Math" w:hAnsi="Cambria Math"/>
                    </w:rPr>
                    <m:t xml:space="preserve">2</m:t>
                  </m:r>
                  <m:r>
                    <w:rPr>
                      <w:rFonts w:ascii="Cambria Math" w:hAnsi="Cambria Math"/>
                    </w:rPr>
                    <m:t xml:space="preserve">,</m:t>
                  </m:r>
                  <m:r>
                    <w:rPr>
                      <w:rFonts w:ascii="Cambria Math" w:hAnsi="Cambria Math"/>
                    </w:rPr>
                    <m:t xml:space="preserve">k</m:t>
                  </m:r>
                </m:e>
              </m:d>
            </m:sup>
          </m:sSubSup>
          <m:r>
            <w:rPr>
              <w:rFonts w:ascii="Cambria Math" w:hAnsi="Cambria Math"/>
            </w:rPr>
            <m:t xml:space="preserve">+</m:t>
          </m:r>
          <m:sSub>
            <m:e>
              <m:r>
                <w:rPr>
                  <w:rFonts w:ascii="Cambria Math" w:hAnsi="Cambria Math"/>
                </w:rPr>
                <m:t xml:space="preserve">ν</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sSubSup>
            <m:e>
              <m:r>
                <w:rPr>
                  <w:rFonts w:ascii="Cambria Math" w:hAnsi="Cambria Math"/>
                </w:rPr>
                <m:t xml:space="preserve">V</m:t>
              </m:r>
            </m:e>
            <m:sub>
              <m:r>
                <w:rPr>
                  <w:rFonts w:ascii="Cambria Math" w:hAnsi="Cambria Math"/>
                </w:rPr>
                <m:t xml:space="preserve">i</m:t>
              </m:r>
              <m:r>
                <w:rPr>
                  <w:rFonts w:ascii="Cambria Math" w:hAnsi="Cambria Math"/>
                </w:rPr>
                <m:t xml:space="preserve">−</m:t>
              </m:r>
              <m:r>
                <w:rPr>
                  <w:rFonts w:ascii="Cambria Math" w:hAnsi="Cambria Math"/>
                </w:rPr>
                <m:t xml:space="preserve">1</m:t>
              </m:r>
            </m:sub>
            <m:sup>
              <m:d>
                <m:dPr>
                  <m:begChr m:val="("/>
                  <m:endChr m:val=")"/>
                </m:dPr>
                <m:e>
                  <m:r>
                    <w:rPr>
                      <w:rFonts w:ascii="Cambria Math" w:hAnsi="Cambria Math"/>
                    </w:rPr>
                    <m:t xml:space="preserve">2</m:t>
                  </m:r>
                  <m:r>
                    <w:rPr>
                      <w:rFonts w:ascii="Cambria Math" w:hAnsi="Cambria Math"/>
                    </w:rPr>
                    <m:t xml:space="preserve">,</m:t>
                  </m:r>
                  <m:r>
                    <w:rPr>
                      <w:rFonts w:ascii="Cambria Math" w:hAnsi="Cambria Math"/>
                    </w:rPr>
                    <m:t xml:space="preserve">k</m:t>
                  </m:r>
                </m:e>
              </m:d>
            </m:sup>
          </m:sSubSup>
          <m:r>
            <w:rPr>
              <w:rFonts w:ascii="Cambria Math" w:hAnsi="Cambria Math"/>
            </w:rPr>
            <m:t xml:space="preserve">+</m:t>
          </m:r>
          <m:sSubSup>
            <m:e>
              <m:r>
                <w:rPr>
                  <w:rFonts w:ascii="Cambria Math" w:hAnsi="Cambria Math"/>
                </w:rPr>
                <m:t xml:space="preserve">e</m:t>
              </m:r>
            </m:e>
            <m:sub>
              <m:r>
                <w:rPr>
                  <w:rFonts w:ascii="Cambria Math" w:hAnsi="Cambria Math"/>
                </w:rPr>
                <m:t xml:space="preserve">2</m:t>
              </m:r>
            </m:sub>
            <m:sup>
              <m:d>
                <m:dPr>
                  <m:begChr m:val="("/>
                  <m:endChr m:val=")"/>
                </m:dPr>
                <m:e>
                  <m:r>
                    <w:rPr>
                      <w:rFonts w:ascii="Cambria Math" w:hAnsi="Cambria Math"/>
                    </w:rPr>
                    <m:t xml:space="preserve">k</m:t>
                  </m:r>
                </m:e>
              </m:d>
            </m:sup>
          </m:sSubSup>
          <m:sSubSup>
            <m:e>
              <m:r>
                <w:rPr>
                  <w:rFonts w:ascii="Cambria Math" w:hAnsi="Cambria Math"/>
                </w:rPr>
                <m:t xml:space="preserve">d</m:t>
              </m:r>
            </m:e>
            <m:sub>
              <m:r>
                <w:rPr>
                  <w:rFonts w:ascii="Cambria Math" w:hAnsi="Cambria Math"/>
                </w:rPr>
                <m:t xml:space="preserve">2</m:t>
              </m:r>
            </m:sub>
            <m:sup>
              <m:d>
                <m:dPr>
                  <m:begChr m:val="("/>
                  <m:endChr m:val=")"/>
                </m:dPr>
                <m:e>
                  <m:r>
                    <w:rPr>
                      <w:rFonts w:ascii="Cambria Math" w:hAnsi="Cambria Math"/>
                    </w:rPr>
                    <m:t xml:space="preserve">i</m:t>
                  </m:r>
                  <m:r>
                    <w:rPr>
                      <w:rFonts w:ascii="Cambria Math" w:hAnsi="Cambria Math"/>
                    </w:rPr>
                    <m:t xml:space="preserve">,</m:t>
                  </m:r>
                  <m:r>
                    <w:rPr>
                      <w:rFonts w:ascii="Cambria Math" w:hAnsi="Cambria Math"/>
                    </w:rPr>
                    <m:t xml:space="preserve">k</m:t>
                  </m:r>
                </m:e>
              </m:d>
            </m:sup>
          </m:sSubSup>
          <m:r>
            <w:rPr>
              <w:rFonts w:ascii="Cambria Math" w:hAnsi="Cambria Math"/>
            </w:rPr>
            <m:t xml:space="preserve">,</m:t>
          </m:r>
        </m:oMath>
      </m:oMathPara>
    </w:p>
    <w:p>
      <w:pPr>
        <w:pStyle w:val="LOnormal"/>
        <w:keepNext w:val="false"/>
        <w:keepLines w:val="false"/>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m:f>
          <m:num>
            <m:r>
              <w:rPr>
                <w:rFonts w:ascii="Cambria Math" w:hAnsi="Cambria Math"/>
              </w:rPr>
              <m:t xml:space="preserve">d</m:t>
            </m:r>
            <m:sSubSup>
              <m:e>
                <m:r>
                  <w:rPr>
                    <w:rFonts w:ascii="Cambria Math" w:hAnsi="Cambria Math"/>
                  </w:rPr>
                  <m:t xml:space="preserve">U</m:t>
                </m:r>
              </m:e>
              <m:sub>
                <m:r>
                  <w:rPr>
                    <w:rFonts w:ascii="Cambria Math" w:hAnsi="Cambria Math"/>
                  </w:rPr>
                  <m:t xml:space="preserve">i</m:t>
                </m:r>
              </m:sub>
              <m:sup>
                <m:d>
                  <m:dPr>
                    <m:begChr m:val="("/>
                    <m:endChr m:val=")"/>
                  </m:dPr>
                  <m:e>
                    <m:r>
                      <w:rPr>
                        <w:rFonts w:ascii="Cambria Math" w:hAnsi="Cambria Math"/>
                      </w:rPr>
                      <m:t xml:space="preserve">k</m:t>
                    </m:r>
                  </m:e>
                </m:d>
              </m:sup>
            </m:sSubSup>
          </m:num>
          <m:den>
            <m:r>
              <w:rPr>
                <w:rFonts w:ascii="Cambria Math" w:hAnsi="Cambria Math"/>
              </w:rPr>
              <m:t xml:space="preserve">dt</m:t>
            </m:r>
          </m:den>
        </m:f>
        <m:r>
          <w:rPr>
            <w:rFonts w:ascii="Cambria Math" w:hAnsi="Cambria Math"/>
          </w:rPr>
          <m:t xml:space="preserve">=</m:t>
        </m:r>
        <m:r>
          <w:rPr>
            <w:rFonts w:ascii="Cambria Math" w:hAnsi="Cambria Math"/>
          </w:rPr>
          <m:t xml:space="preserve">−</m:t>
        </m:r>
        <m:d>
          <m:dPr>
            <m:begChr m:val="["/>
            <m:endChr m:val="]"/>
          </m:dPr>
          <m:e>
            <m:sSub>
              <m:e>
                <m:r>
                  <w:rPr>
                    <w:rFonts w:ascii="Cambria Math" w:hAnsi="Cambria Math"/>
                  </w:rPr>
                  <m:t xml:space="preserve">λ</m:t>
                </m:r>
              </m:e>
              <m:sub>
                <m:r>
                  <w:rPr>
                    <w:rFonts w:ascii="Cambria Math" w:hAnsi="Cambria Math"/>
                  </w:rPr>
                  <m:t xml:space="preserve">i</m:t>
                </m:r>
              </m:sub>
            </m:sSub>
            <m:r>
              <w:rPr>
                <w:rFonts w:ascii="Cambria Math" w:hAnsi="Cambria Math"/>
              </w:rPr>
              <m:t xml:space="preserve">+</m:t>
            </m:r>
            <m:r>
              <w:rPr>
                <w:rFonts w:ascii="Cambria Math" w:hAnsi="Cambria Math"/>
              </w:rPr>
              <m:t xml:space="preserve">μ</m:t>
            </m:r>
            <m:r>
              <w:rPr>
                <w:rFonts w:ascii="Cambria Math" w:hAnsi="Cambria Math"/>
              </w:rPr>
              <m:t xml:space="preserve">′</m:t>
            </m:r>
            <m:r>
              <w:rPr>
                <w:rFonts w:ascii="Cambria Math" w:hAnsi="Cambria Math"/>
              </w:rPr>
              <m:t xml:space="preserve">+</m:t>
            </m:r>
            <m:sSub>
              <m:e>
                <m:r>
                  <w:rPr>
                    <w:rFonts w:ascii="Cambria Math" w:hAnsi="Cambria Math"/>
                  </w:rPr>
                  <m:t xml:space="preserve">ν</m:t>
                </m:r>
              </m:e>
              <m:sub>
                <m:r>
                  <w:rPr>
                    <w:rFonts w:ascii="Cambria Math" w:hAnsi="Cambria Math"/>
                  </w:rPr>
                  <m:t xml:space="preserve">i</m:t>
                </m:r>
              </m:sub>
            </m:sSub>
          </m:e>
        </m:d>
        <m:sSubSup>
          <m:e>
            <m:r>
              <w:rPr>
                <w:rFonts w:ascii="Cambria Math" w:hAnsi="Cambria Math"/>
              </w:rPr>
              <m:t xml:space="preserve">U</m:t>
            </m:r>
          </m:e>
          <m:sub>
            <m:r>
              <w:rPr>
                <w:rFonts w:ascii="Cambria Math" w:hAnsi="Cambria Math"/>
              </w:rPr>
              <m:t xml:space="preserve">i</m:t>
            </m:r>
          </m:sub>
          <m:sup>
            <m:d>
              <m:dPr>
                <m:begChr m:val="("/>
                <m:endChr m:val=")"/>
              </m:dPr>
              <m:e>
                <m:r>
                  <w:rPr>
                    <w:rFonts w:ascii="Cambria Math" w:hAnsi="Cambria Math"/>
                  </w:rPr>
                  <m:t xml:space="preserve">k</m:t>
                </m:r>
              </m:e>
            </m:d>
          </m:sup>
        </m:sSubSup>
        <m:r>
          <w:rPr>
            <w:rFonts w:ascii="Cambria Math" w:hAnsi="Cambria Math"/>
          </w:rPr>
          <m:t xml:space="preserve">+</m:t>
        </m:r>
        <m:sSub>
          <m:e>
            <m:r>
              <w:rPr>
                <w:rFonts w:ascii="Cambria Math" w:hAnsi="Cambria Math"/>
              </w:rPr>
              <m:t xml:space="preserve">ν</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sSubSup>
          <m:e>
            <m:r>
              <w:rPr>
                <w:rFonts w:ascii="Cambria Math" w:hAnsi="Cambria Math"/>
              </w:rPr>
              <m:t xml:space="preserve">U</m:t>
            </m:r>
          </m:e>
          <m:sub>
            <m:r>
              <w:rPr>
                <w:rFonts w:ascii="Cambria Math" w:hAnsi="Cambria Math"/>
              </w:rPr>
              <m:t xml:space="preserve">i</m:t>
            </m:r>
            <m:r>
              <w:rPr>
                <w:rFonts w:ascii="Cambria Math" w:hAnsi="Cambria Math"/>
              </w:rPr>
              <m:t xml:space="preserve">−</m:t>
            </m:r>
            <m:r>
              <w:rPr>
                <w:rFonts w:ascii="Cambria Math" w:hAnsi="Cambria Math"/>
              </w:rPr>
              <m:t xml:space="preserve">1</m:t>
            </m:r>
          </m:sub>
          <m:sup>
            <m:d>
              <m:dPr>
                <m:begChr m:val="("/>
                <m:endChr m:val=")"/>
              </m:dPr>
              <m:e>
                <m:r>
                  <w:rPr>
                    <w:rFonts w:ascii="Cambria Math" w:hAnsi="Cambria Math"/>
                  </w:rPr>
                  <m:t xml:space="preserve">k</m:t>
                </m:r>
              </m:e>
            </m:d>
          </m:sup>
        </m:sSubSup>
        <m:r>
          <w:rPr>
            <w:rFonts w:ascii="Cambria Math" w:hAnsi="Cambria Math"/>
          </w:rPr>
          <m:t xml:space="preserve">,</m:t>
        </m:r>
      </m:oMath>
      <w:r>
        <w:rPr>
          <w:rFonts w:eastAsia="Liberation Serif" w:cs="Liberation Serif"/>
          <w:b w:val="false"/>
          <w:i w:val="false"/>
          <w:caps w:val="false"/>
          <w:smallCaps w:val="false"/>
          <w:strike w:val="false"/>
          <w:dstrike w:val="false"/>
          <w:color w:val="000000"/>
          <w:position w:val="0"/>
          <w:sz w:val="24"/>
          <w:sz w:val="24"/>
          <w:szCs w:val="24"/>
          <w:u w:val="none"/>
          <w:shd w:fill="auto" w:val="clear"/>
          <w:vertAlign w:val="baseline"/>
        </w:rPr>
        <w:tab/>
        <w:tab/>
        <w:tab/>
        <w:tab/>
        <w:tab/>
        <w:tab/>
        <w:tab/>
        <w:tab/>
        <w:t>(S1)</w:t>
      </w:r>
    </w:p>
    <w:p>
      <w:pPr>
        <w:pStyle w:val="Normal"/>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t>with p</w:t>
      </w:r>
      <w:r>
        <w:rPr>
          <w:vertAlign w:val="subscript"/>
        </w:rPr>
        <w:t>v,i</w:t>
      </w:r>
      <w:r>
        <w:rPr/>
        <w:t>=S</w:t>
      </w:r>
      <w:r>
        <w:rPr>
          <w:vertAlign w:val="subscript"/>
        </w:rPr>
        <w:t>i</w:t>
      </w:r>
      <w:r>
        <w:rPr/>
        <w:t>+E</w:t>
      </w:r>
      <w:r>
        <w:rPr>
          <w:vertAlign w:val="subscript"/>
        </w:rPr>
        <w:t>i</w:t>
      </w:r>
      <w:r>
        <w:rPr/>
        <w:t>+A</w:t>
      </w:r>
      <w:r>
        <w:rPr>
          <w:vertAlign w:val="subscript"/>
        </w:rPr>
        <w:t>i</w:t>
      </w:r>
      <w:r>
        <w:rPr/>
        <w:t>+R</w:t>
      </w:r>
      <w:r>
        <w:rPr>
          <w:vertAlign w:val="subscript"/>
        </w:rPr>
        <w:t>i</w:t>
      </w:r>
      <w:r>
        <w:rPr/>
        <w:t>, d</w:t>
      </w:r>
      <w:r>
        <w:rPr>
          <w:vertAlign w:val="subscript"/>
        </w:rPr>
        <w:t>1</w:t>
      </w:r>
      <w:r>
        <w:rPr>
          <w:vertAlign w:val="superscript"/>
        </w:rPr>
        <w:t>(i,k)</w:t>
      </w:r>
      <w:r>
        <w:rPr>
          <w:position w:val="0"/>
          <w:sz w:val="24"/>
          <w:sz w:val="24"/>
          <w:vertAlign w:val="baseline"/>
        </w:rPr>
        <w:t xml:space="preserve"> and d</w:t>
      </w:r>
      <w:r>
        <w:rPr>
          <w:vertAlign w:val="subscript"/>
        </w:rPr>
        <w:t>2</w:t>
      </w:r>
      <w:r>
        <w:rPr>
          <w:vertAlign w:val="superscript"/>
        </w:rPr>
        <w:t>(i,k)</w:t>
      </w:r>
      <w:r>
        <w:rPr>
          <w:position w:val="0"/>
          <w:sz w:val="24"/>
          <w:sz w:val="24"/>
          <w:vertAlign w:val="baseline"/>
        </w:rPr>
        <w:t xml:space="preserve"> the number of doses for the first and second shot, respectively, per unit of time for the age group i, of vaccine type k, e</w:t>
      </w:r>
      <w:r>
        <w:rPr>
          <w:vertAlign w:val="subscript"/>
        </w:rPr>
        <w:t>1</w:t>
      </w:r>
      <w:r>
        <w:rPr>
          <w:vertAlign w:val="superscript"/>
        </w:rPr>
        <w:t>(k)</w:t>
      </w:r>
      <w:r>
        <w:rPr>
          <w:position w:val="0"/>
          <w:sz w:val="24"/>
          <w:sz w:val="24"/>
          <w:vertAlign w:val="baseline"/>
        </w:rPr>
        <w:t xml:space="preserve"> and e</w:t>
      </w:r>
      <w:r>
        <w:rPr>
          <w:vertAlign w:val="subscript"/>
        </w:rPr>
        <w:t>2</w:t>
      </w:r>
      <w:r>
        <w:rPr>
          <w:vertAlign w:val="superscript"/>
        </w:rPr>
        <w:t>(k)</w:t>
      </w:r>
      <w:r>
        <w:rPr>
          <w:position w:val="0"/>
          <w:sz w:val="24"/>
          <w:sz w:val="24"/>
          <w:vertAlign w:val="baseline"/>
        </w:rPr>
        <w:t xml:space="preserve">  the efficacy of vaccine type k with one and two shots, respectively, </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k=1,…,K, with K the number of different vaccines, </w:t>
      </w:r>
      <w:r>
        <w:rPr>
          <w:rFonts w:eastAsia="Times New Roman" w:cs="Times New Roman" w:ascii="Symbol" w:hAnsi="Symbol"/>
          <w:b w:val="false"/>
          <w:i w:val="false"/>
          <w:caps w:val="false"/>
          <w:smallCaps w:val="false"/>
          <w:strike w:val="false"/>
          <w:dstrike w:val="false"/>
          <w:color w:val="000000"/>
          <w:position w:val="0"/>
          <w:sz w:val="24"/>
          <w:sz w:val="24"/>
          <w:szCs w:val="24"/>
          <w:u w:val="none"/>
          <w:shd w:fill="auto" w:val="clear"/>
          <w:vertAlign w:val="baseline"/>
        </w:rPr>
        <w:t>m</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Symbol" w:hAnsi="Symbol"/>
          <w:b w:val="false"/>
          <w:i w:val="false"/>
          <w:caps w:val="false"/>
          <w:smallCaps w:val="false"/>
          <w:strike w:val="false"/>
          <w:dstrike w:val="false"/>
          <w:color w:val="000000"/>
          <w:position w:val="0"/>
          <w:sz w:val="24"/>
          <w:sz w:val="24"/>
          <w:szCs w:val="24"/>
          <w:u w:val="none"/>
          <w:shd w:fill="auto" w:val="clear"/>
          <w:vertAlign w:val="baseline"/>
        </w:rPr>
        <w:t>m</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N/N</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 xml:space="preserve">0 </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and </w:t>
      </w:r>
      <w:r>
        <w:rPr>
          <w:rFonts w:eastAsia="Times New Roman" w:cs="Times New Roman" w:ascii="Symbol" w:hAnsi="Symbol"/>
          <w:b w:val="false"/>
          <w:i w:val="false"/>
          <w:caps w:val="false"/>
          <w:smallCaps w:val="false"/>
          <w:strike w:val="false"/>
          <w:dstrike w:val="false"/>
          <w:color w:val="000000"/>
          <w:position w:val="0"/>
          <w:sz w:val="24"/>
          <w:sz w:val="24"/>
          <w:szCs w:val="24"/>
          <w:u w:val="none"/>
          <w:shd w:fill="auto" w:val="clear"/>
          <w:vertAlign w:val="baseline"/>
        </w:rPr>
        <w:t>k</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Symbol" w:hAnsi="Symbol"/>
          <w:b w:val="false"/>
          <w:i w:val="false"/>
          <w:caps w:val="false"/>
          <w:smallCaps w:val="false"/>
          <w:strike w:val="false"/>
          <w:dstrike w:val="false"/>
          <w:color w:val="000000"/>
          <w:position w:val="0"/>
          <w:sz w:val="24"/>
          <w:sz w:val="24"/>
          <w:szCs w:val="24"/>
          <w:u w:val="none"/>
          <w:shd w:fill="auto" w:val="clear"/>
          <w:vertAlign w:val="baseline"/>
        </w:rPr>
        <w:t>k</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N/N</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0</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 xml:space="preserve"> </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with N</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0</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N, </w:t>
      </w:r>
      <w:r>
        <w:rPr>
          <w:rFonts w:eastAsia="Times New Roman" w:cs="Times New Roman" w:ascii="SYmbol" w:hAnsi="SYmbol"/>
          <w:b w:val="false"/>
          <w:i w:val="false"/>
          <w:caps w:val="false"/>
          <w:smallCaps w:val="false"/>
          <w:strike w:val="false"/>
          <w:dstrike w:val="false"/>
          <w:color w:val="000000"/>
          <w:position w:val="0"/>
          <w:sz w:val="24"/>
          <w:sz w:val="24"/>
          <w:szCs w:val="24"/>
          <w:u w:val="none"/>
          <w:shd w:fill="auto" w:val="clear"/>
          <w:vertAlign w:val="baseline"/>
        </w:rPr>
        <w:t>k</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and </w:t>
      </w:r>
      <w:r>
        <w:rPr>
          <w:rFonts w:eastAsia="Times New Roman" w:cs="Times New Roman" w:ascii="Symbol" w:hAnsi="Symbol"/>
          <w:b w:val="false"/>
          <w:i w:val="false"/>
          <w:caps w:val="false"/>
          <w:smallCaps w:val="false"/>
          <w:strike w:val="false"/>
          <w:dstrike w:val="false"/>
          <w:color w:val="000000"/>
          <w:position w:val="0"/>
          <w:sz w:val="24"/>
          <w:sz w:val="24"/>
          <w:szCs w:val="24"/>
          <w:u w:val="none"/>
          <w:shd w:fill="auto" w:val="clear"/>
          <w:vertAlign w:val="baseline"/>
        </w:rPr>
        <w:t>m</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the initial population, current population, birth and natural mortality rates, respectively, with the mortality rate distributed homogeneously through all age groups. The aging rate from i-th to the (i+1)-th age group is denoted by </w:t>
      </w:r>
      <w:r>
        <w:rPr/>
      </w:r>
      <m:oMath xmlns:m="http://schemas.openxmlformats.org/officeDocument/2006/math">
        <m:sSub>
          <m:e>
            <m:r>
              <w:rPr>
                <w:rFonts w:ascii="Cambria Math" w:hAnsi="Cambria Math"/>
              </w:rPr>
              <m:t xml:space="preserve">ν</m:t>
            </m:r>
          </m:e>
          <m:sub>
            <m:r>
              <w:rPr>
                <w:rFonts w:ascii="Cambria Math" w:hAnsi="Cambria Math"/>
              </w:rPr>
              <m:t xml:space="preserve">i</m:t>
            </m:r>
          </m:sub>
        </m:sSub>
      </m:o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and given by the inverse of the time span of the i-th age group, with </w:t>
      </w:r>
      <w:r>
        <w:rPr>
          <w:rFonts w:eastAsia="Times New Roman" w:cs="Times New Roman" w:ascii="Symbol" w:hAnsi="Symbol"/>
          <w:b w:val="false"/>
          <w:i w:val="false"/>
          <w:caps w:val="false"/>
          <w:smallCaps w:val="false"/>
          <w:strike w:val="false"/>
          <w:dstrike w:val="false"/>
          <w:color w:val="000000"/>
          <w:position w:val="0"/>
          <w:sz w:val="24"/>
          <w:sz w:val="24"/>
          <w:szCs w:val="24"/>
          <w:u w:val="none"/>
          <w:shd w:fill="auto" w:val="clear"/>
          <w:vertAlign w:val="baseline"/>
        </w:rPr>
        <w:t>n</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0</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=0. The force of infection </w:t>
      </w:r>
      <w:r>
        <w:rPr>
          <w:rFonts w:eastAsia="Times New Roman" w:cs="Times New Roman" w:ascii="Symbol" w:hAnsi="Symbol"/>
          <w:b w:val="false"/>
          <w:i w:val="false"/>
          <w:caps w:val="false"/>
          <w:smallCaps w:val="false"/>
          <w:strike w:val="false"/>
          <w:dstrike w:val="false"/>
          <w:color w:val="000000"/>
          <w:position w:val="0"/>
          <w:sz w:val="24"/>
          <w:sz w:val="24"/>
          <w:szCs w:val="24"/>
          <w:u w:val="none"/>
          <w:shd w:fill="auto" w:val="clear"/>
          <w:vertAlign w:val="baseline"/>
        </w:rPr>
        <w:t>l</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i</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on the i-th age group is given by</w:t>
      </w:r>
    </w:p>
    <w:p>
      <w:pPr>
        <w:pStyle w:val="LOnormal"/>
        <w:keepNext w:val="false"/>
        <w:keepLines w:val="false"/>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m:sSub>
          <m:e>
            <m:r>
              <w:rPr>
                <w:rFonts w:ascii="Cambria Math" w:hAnsi="Cambria Math"/>
              </w:rPr>
              <m:t xml:space="preserve">λ</m:t>
            </m:r>
          </m:e>
          <m:sub>
            <m:r>
              <w:rPr>
                <w:rFonts w:ascii="Cambria Math" w:hAnsi="Cambria Math"/>
              </w:rPr>
              <m:t xml:space="preserve">i</m:t>
            </m:r>
          </m:sub>
        </m:sSub>
        <m:r>
          <w:rPr>
            <w:rFonts w:ascii="Cambria Math" w:hAnsi="Cambria Math"/>
          </w:rPr>
          <m:t xml:space="preserve">=</m:t>
        </m:r>
        <m:nary>
          <m:naryPr>
            <m:chr m:val="∑"/>
          </m:naryPr>
          <m:sub>
            <m:r>
              <w:rPr>
                <w:rFonts w:ascii="Cambria Math" w:hAnsi="Cambria Math"/>
              </w:rPr>
              <m:t xml:space="preserve">j</m:t>
            </m:r>
            <m:r>
              <w:rPr>
                <w:rFonts w:ascii="Cambria Math" w:hAnsi="Cambria Math"/>
              </w:rPr>
              <m:t xml:space="preserve">=</m:t>
            </m:r>
            <m:r>
              <w:rPr>
                <w:rFonts w:ascii="Cambria Math" w:hAnsi="Cambria Math"/>
              </w:rPr>
              <m:t xml:space="preserve">1</m:t>
            </m:r>
          </m:sub>
          <m:sup>
            <m:r>
              <w:rPr>
                <w:rFonts w:ascii="Cambria Math" w:hAnsi="Cambria Math"/>
              </w:rPr>
              <m:t xml:space="preserve">M</m:t>
            </m:r>
          </m:sup>
          <m:e>
            <m:sSub>
              <m:e>
                <m:r>
                  <w:rPr>
                    <w:rFonts w:ascii="Cambria Math" w:hAnsi="Cambria Math"/>
                  </w:rPr>
                  <m:t xml:space="preserve">β</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f>
              <m:fPr>
                <m:type m:val="lin"/>
              </m:fPr>
              <m:num>
                <m:d>
                  <m:dPr>
                    <m:begChr m:val="("/>
                    <m:endChr m:val=")"/>
                  </m:dPr>
                  <m:e>
                    <m:sSub>
                      <m:e>
                        <m:r>
                          <w:rPr>
                            <w:rFonts w:ascii="Cambria Math" w:hAnsi="Cambria Math"/>
                          </w:rPr>
                          <m:t xml:space="preserve">I</m:t>
                        </m:r>
                      </m:e>
                      <m:sub>
                        <m:r>
                          <w:rPr>
                            <w:rFonts w:ascii="Cambria Math" w:hAnsi="Cambria Math"/>
                          </w:rPr>
                          <m:t xml:space="preserve">j</m:t>
                        </m:r>
                      </m:sub>
                    </m:sSub>
                    <m:r>
                      <w:rPr>
                        <w:rFonts w:ascii="Cambria Math" w:hAnsi="Cambria Math"/>
                      </w:rPr>
                      <m:t xml:space="preserve">+</m:t>
                    </m:r>
                    <m:r>
                      <w:rPr>
                        <w:rFonts w:ascii="Cambria Math" w:hAnsi="Cambria Math"/>
                      </w:rPr>
                      <m:t xml:space="preserve">ξ</m:t>
                    </m:r>
                    <m:sSub>
                      <m:e>
                        <m:r>
                          <w:rPr>
                            <w:rFonts w:ascii="Cambria Math" w:hAnsi="Cambria Math"/>
                          </w:rPr>
                          <m:t xml:space="preserve">A</m:t>
                        </m:r>
                      </m:e>
                      <m:sub>
                        <m:r>
                          <w:rPr>
                            <w:rFonts w:ascii="Cambria Math" w:hAnsi="Cambria Math"/>
                          </w:rPr>
                          <m:t xml:space="preserve">j</m:t>
                        </m:r>
                      </m:sub>
                    </m:sSub>
                  </m:e>
                </m:d>
              </m:num>
              <m:den>
                <m:sSub>
                  <m:e>
                    <m:r>
                      <w:rPr>
                        <w:rFonts w:ascii="Cambria Math" w:hAnsi="Cambria Math"/>
                      </w:rPr>
                      <m:t xml:space="preserve">n</m:t>
                    </m:r>
                  </m:e>
                  <m:sub>
                    <m:r>
                      <w:rPr>
                        <w:rFonts w:ascii="Cambria Math" w:hAnsi="Cambria Math"/>
                      </w:rPr>
                      <m:t xml:space="preserve">i</m:t>
                    </m:r>
                  </m:sub>
                </m:sSub>
              </m:den>
            </m:f>
            <m:r>
              <w:rPr>
                <w:rFonts w:ascii="Cambria Math" w:hAnsi="Cambria Math"/>
              </w:rPr>
              <m:t xml:space="preserve">,</m:t>
            </m:r>
          </m:e>
        </m:nary>
      </m:o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b/>
        <w:t xml:space="preserve">  </w:t>
        <w:tab/>
        <w:tab/>
        <w:tab/>
        <w:tab/>
        <w:tab/>
        <w:tab/>
        <w:tab/>
        <w:tab/>
        <w:t xml:space="preserve">        (S2)</w:t>
      </w:r>
    </w:p>
    <w:p>
      <w:pPr>
        <w:pStyle w:val="LOnormal"/>
        <w:keepNext w:val="false"/>
        <w:keepLines w:val="false"/>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where n</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i</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is the proportion of the population in the i-th age group with respect to the current population, and the transmission probability to a susceptible individual of age group i from an infected individual of age group j is given by </w:t>
      </w:r>
      <w:r>
        <w:rPr>
          <w:rFonts w:eastAsia="Times New Roman" w:cs="Times New Roman" w:ascii="Symbol" w:hAnsi="Symbol"/>
          <w:b w:val="false"/>
          <w:i w:val="false"/>
          <w:caps w:val="false"/>
          <w:smallCaps w:val="false"/>
          <w:strike w:val="false"/>
          <w:dstrike w:val="false"/>
          <w:color w:val="000000"/>
          <w:position w:val="0"/>
          <w:sz w:val="24"/>
          <w:sz w:val="24"/>
          <w:szCs w:val="24"/>
          <w:u w:val="none"/>
          <w:shd w:fill="auto" w:val="clear"/>
          <w:vertAlign w:val="baseline"/>
        </w:rPr>
        <w:t>b</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i,j</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c</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C</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i,j</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with p</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c</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the probability of contagion on a single contact, supposed to be time dependent and the same for all age groups, and C</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i,j</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the contact matrix that gives the average number of contacts per day of a single individual of group j with any individual of group i.</w:t>
      </w:r>
    </w:p>
    <w:p>
      <w:pPr>
        <w:pStyle w:val="LOnormal"/>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b/>
        <w:t>Up to the authors knowledge there is no estimation for the contact matrix in Brazil, so we use the  estimate by Mossong et al. [32], averaged over eight European countries and adapted to the age distribution in each locality considered. This is a reasonable assumption due to cultural similarities between Europe and Brazil. The probability of contagion is determined from real data, as we explain below. The model is solved using a fourth-order Runge-Kutta method and is implemented in the C language. The code is available from T.M.R.F. on demand.</w:t>
      </w:r>
    </w:p>
    <w:p>
      <w:pPr>
        <w:pStyle w:val="LOnormal"/>
        <w:keepNext w:val="false"/>
        <w:keepLines w:val="false"/>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b/>
        <w:t xml:space="preserve">For the current COVID-19 pandemic the number of cases is not a reliable as under-reporting is common and high [6]. Although also subject to some under-reporting the number of deaths is </w:t>
      </w:r>
      <w:r>
        <w:rPr>
          <w:rFonts w:eastAsia="Times New Roman" w:cs="Times New Roman" w:ascii="Times New Roman" w:hAnsi="Times New Roman"/>
        </w:rPr>
        <w:t>much closer</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rPr>
        <w:t>t</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o reality [7,8]. In the present work we fit the time varying parameter p</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c</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by adjusting the model output for the cumulative number of deaths to the publicly available data. We use a step-function such that p</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c</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is constant in intervals of 14 days, and varying from interval to interval. We consider that the </w:t>
      </w:r>
      <w:r>
        <w:rPr>
          <w:rFonts w:eastAsia="Times New Roman" w:cs="Times New Roman" w:ascii="Times New Roman" w:hAnsi="Times New Roman"/>
          <w:b w:val="false"/>
          <w:i w:val="false"/>
          <w:caps w:val="false"/>
          <w:smallCaps w:val="false"/>
          <w:strike w:val="false"/>
          <w:dstrike w:val="false"/>
          <w:color w:val="000000"/>
          <w:kern w:val="0"/>
          <w:position w:val="0"/>
          <w:sz w:val="24"/>
          <w:sz w:val="24"/>
          <w:szCs w:val="24"/>
          <w:u w:val="none"/>
          <w:shd w:fill="auto" w:val="clear"/>
          <w:vertAlign w:val="baseline"/>
          <w:lang w:val="en-US" w:eastAsia="zh-CN" w:bidi="hi-IN"/>
        </w:rPr>
        <w:t>virus spread</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starts at time zero from only a number of individual in the last age group, which is also a parameter to be fitted. This level values for p</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c</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are determined by minimizing the error function:</w:t>
      </w:r>
    </w:p>
    <w:p>
      <w:pPr>
        <w:pStyle w:val="LOnormal"/>
        <w:keepNext w:val="false"/>
        <w:keepLines w:val="false"/>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m:r>
          <w:rPr>
            <w:rFonts w:ascii="Cambria Math" w:hAnsi="Cambria Math"/>
          </w:rPr>
          <m:t xml:space="preserve">E</m:t>
        </m:r>
        <m:r>
          <w:rPr>
            <w:rFonts w:ascii="Cambria Math" w:hAnsi="Cambria Math"/>
          </w:rPr>
          <m:t xml:space="preserve">=</m:t>
        </m:r>
        <m:rad>
          <m:radPr>
            <m:degHide m:val="1"/>
          </m:radPr>
          <m:deg/>
          <m:e>
            <m:f>
              <m:num>
                <m:r>
                  <w:rPr>
                    <w:rFonts w:ascii="Cambria Math" w:hAnsi="Cambria Math"/>
                  </w:rPr>
                  <m:t xml:space="preserve">1</m:t>
                </m:r>
              </m:num>
              <m:den>
                <m:sSub>
                  <m:e>
                    <m:r>
                      <w:rPr>
                        <w:rFonts w:ascii="Cambria Math" w:hAnsi="Cambria Math"/>
                      </w:rPr>
                      <m:t xml:space="preserve">N</m:t>
                    </m:r>
                  </m:e>
                  <m:sub>
                    <m:r>
                      <w:rPr>
                        <w:rFonts w:ascii="Cambria Math" w:hAnsi="Cambria Math"/>
                      </w:rPr>
                      <m:t xml:space="preserve">d</m:t>
                    </m:r>
                    <m:r>
                      <w:rPr>
                        <w:rFonts w:ascii="Cambria Math" w:hAnsi="Cambria Math"/>
                      </w:rPr>
                      <m:t xml:space="preserve">a</m:t>
                    </m:r>
                    <m:r>
                      <w:rPr>
                        <w:rFonts w:ascii="Cambria Math" w:hAnsi="Cambria Math"/>
                      </w:rPr>
                      <m:t xml:space="preserve">t</m:t>
                    </m:r>
                    <m:r>
                      <w:rPr>
                        <w:rFonts w:ascii="Cambria Math" w:hAnsi="Cambria Math"/>
                      </w:rPr>
                      <m:t xml:space="preserve">a</m:t>
                    </m:r>
                  </m:sub>
                </m:sSub>
              </m:den>
            </m:f>
            <m:nary>
              <m:naryPr>
                <m:chr m:val="∑"/>
              </m:naryPr>
              <m:sub>
                <m:r>
                  <w:rPr>
                    <w:rFonts w:ascii="Cambria Math" w:hAnsi="Cambria Math"/>
                  </w:rPr>
                  <m:t xml:space="preserve">i</m:t>
                </m:r>
                <m:r>
                  <w:rPr>
                    <w:rFonts w:ascii="Cambria Math" w:hAnsi="Cambria Math"/>
                  </w:rPr>
                  <m:t xml:space="preserve">=</m:t>
                </m:r>
                <m:r>
                  <w:rPr>
                    <w:rFonts w:ascii="Cambria Math" w:hAnsi="Cambria Math"/>
                  </w:rPr>
                  <m:t xml:space="preserve">1</m:t>
                </m:r>
              </m:sub>
              <m:sup>
                <m:r>
                  <w:rPr>
                    <w:rFonts w:ascii="Cambria Math" w:hAnsi="Cambria Math"/>
                  </w:rPr>
                  <m:t xml:space="preserve">N</m:t>
                </m:r>
              </m:sup>
              <m:e>
                <m:sSup>
                  <m:e>
                    <m:d>
                      <m:dPr>
                        <m:begChr m:val="("/>
                        <m:endChr m:val=")"/>
                      </m:dPr>
                      <m:e>
                        <m:sSubSup>
                          <m:e>
                            <m:r>
                              <w:rPr>
                                <w:rFonts w:ascii="Cambria Math" w:hAnsi="Cambria Math"/>
                              </w:rPr>
                              <m:t xml:space="preserve">D</m:t>
                            </m:r>
                          </m:e>
                          <m:sub>
                            <m:r>
                              <w:rPr>
                                <w:rFonts w:ascii="Cambria Math" w:hAnsi="Cambria Math"/>
                              </w:rPr>
                              <m:t xml:space="preserve">i</m:t>
                            </m:r>
                          </m:sub>
                          <m:sup>
                            <m:d>
                              <m:dPr>
                                <m:begChr m:val="("/>
                                <m:endChr m:val=")"/>
                              </m:dPr>
                              <m:e>
                                <m:r>
                                  <w:rPr>
                                    <w:rFonts w:ascii="Cambria Math" w:hAnsi="Cambria Math"/>
                                  </w:rPr>
                                  <m:t xml:space="preserve">r</m:t>
                                </m:r>
                              </m:e>
                            </m:d>
                          </m:sup>
                        </m:sSubSup>
                        <m:r>
                          <w:rPr>
                            <w:rFonts w:ascii="Cambria Math" w:hAnsi="Cambria Math"/>
                          </w:rPr>
                          <m:t xml:space="preserve">−</m:t>
                        </m:r>
                        <m:sSubSup>
                          <m:e>
                            <m:r>
                              <w:rPr>
                                <w:rFonts w:ascii="Cambria Math" w:hAnsi="Cambria Math"/>
                              </w:rPr>
                              <m:t xml:space="preserve">D</m:t>
                            </m:r>
                          </m:e>
                          <m:sub>
                            <m:r>
                              <w:rPr>
                                <w:rFonts w:ascii="Cambria Math" w:hAnsi="Cambria Math"/>
                              </w:rPr>
                              <m:t xml:space="preserve">i</m:t>
                            </m:r>
                          </m:sub>
                          <m:sup>
                            <m:d>
                              <m:dPr>
                                <m:begChr m:val="("/>
                                <m:endChr m:val=")"/>
                              </m:dPr>
                              <m:e>
                                <m:r>
                                  <w:rPr>
                                    <w:rFonts w:ascii="Cambria Math" w:hAnsi="Cambria Math"/>
                                  </w:rPr>
                                  <m:t xml:space="preserve">m</m:t>
                                </m:r>
                              </m:e>
                            </m:d>
                          </m:sup>
                        </m:sSubSup>
                      </m:e>
                    </m:d>
                  </m:e>
                  <m:sup>
                    <m:r>
                      <w:rPr>
                        <w:rFonts w:ascii="Cambria Math" w:hAnsi="Cambria Math"/>
                      </w:rPr>
                      <m:t xml:space="preserve">2</m:t>
                    </m:r>
                  </m:sup>
                </m:sSup>
              </m:e>
            </m:nary>
          </m:e>
        </m:rad>
        <m:r>
          <w:rPr>
            <w:rFonts w:ascii="Cambria Math" w:hAnsi="Cambria Math"/>
          </w:rPr>
          <m:t xml:space="preserve">,</m:t>
        </m:r>
      </m:o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b/>
        <w:tab/>
        <w:tab/>
        <w:tab/>
        <w:tab/>
        <w:tab/>
        <w:tab/>
        <w:tab/>
        <w:tab/>
        <w:t xml:space="preserve">         (S3)</w:t>
      </w:r>
    </w:p>
    <w:p>
      <w:pPr>
        <w:pStyle w:val="LOnormal"/>
        <w:keepNext w:val="false"/>
        <w:keepLines w:val="false"/>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where N is the number of data points to fit, </w:t>
      </w:r>
      <w:r>
        <w:rPr/>
      </w:r>
      <m:oMath xmlns:m="http://schemas.openxmlformats.org/officeDocument/2006/math">
        <m:sSubSup>
          <m:e>
            <m:r>
              <w:rPr>
                <w:rFonts w:ascii="Cambria Math" w:hAnsi="Cambria Math"/>
              </w:rPr>
              <m:t xml:space="preserve">D</m:t>
            </m:r>
          </m:e>
          <m:sub>
            <m:r>
              <w:rPr>
                <w:rFonts w:ascii="Cambria Math" w:hAnsi="Cambria Math"/>
              </w:rPr>
              <m:t xml:space="preserve">i</m:t>
            </m:r>
          </m:sub>
          <m:sup>
            <m:d>
              <m:dPr>
                <m:begChr m:val="("/>
                <m:endChr m:val=")"/>
              </m:dPr>
              <m:e>
                <m:r>
                  <w:rPr>
                    <w:rFonts w:ascii="Cambria Math" w:hAnsi="Cambria Math"/>
                  </w:rPr>
                  <m:t xml:space="preserve">r</m:t>
                </m:r>
              </m:e>
            </m:d>
          </m:sup>
        </m:sSubSup>
      </m:o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and </w:t>
      </w:r>
      <w:r>
        <w:rPr/>
      </w:r>
      <m:oMath xmlns:m="http://schemas.openxmlformats.org/officeDocument/2006/math">
        <m:sSubSup>
          <m:e>
            <m:r>
              <w:rPr>
                <w:rFonts w:ascii="Cambria Math" w:hAnsi="Cambria Math"/>
              </w:rPr>
              <m:t xml:space="preserve">D</m:t>
            </m:r>
          </m:e>
          <m:sub>
            <m:r>
              <w:rPr>
                <w:rFonts w:ascii="Cambria Math" w:hAnsi="Cambria Math"/>
              </w:rPr>
              <m:t xml:space="preserve">i</m:t>
            </m:r>
          </m:sub>
          <m:sup>
            <m:d>
              <m:dPr>
                <m:begChr m:val="("/>
                <m:endChr m:val=")"/>
              </m:dPr>
              <m:e>
                <m:r>
                  <w:rPr>
                    <w:rFonts w:ascii="Cambria Math" w:hAnsi="Cambria Math"/>
                  </w:rPr>
                  <m:t xml:space="preserve">m</m:t>
                </m:r>
              </m:e>
            </m:d>
          </m:sup>
        </m:sSubSup>
      </m:o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are the real and model values, respectively. The minimization procedure is implemented using a simplex algorithm with adaptative parameters [33]. The number of cases and deaths by COVID-19 in each state and municipality in Brazil are available online at the Brazilian Health Ministry [15]. Each compartment of the model is divided in M=9 age groups specified in Table S</w:t>
      </w:r>
      <w:r>
        <w:rPr>
          <w:rFonts w:eastAsia="Times New Roman" w:cs="Times New Roman" w:ascii="Times New Roman" w:hAnsi="Times New Roman"/>
          <w:b w:val="false"/>
          <w:i w:val="false"/>
          <w:caps w:val="false"/>
          <w:smallCaps w:val="false"/>
          <w:strike w:val="false"/>
          <w:dstrike w:val="false"/>
          <w:color w:val="000000"/>
          <w:kern w:val="0"/>
          <w:position w:val="0"/>
          <w:sz w:val="24"/>
          <w:sz w:val="24"/>
          <w:szCs w:val="24"/>
          <w:u w:val="none"/>
          <w:shd w:fill="auto" w:val="clear"/>
          <w:vertAlign w:val="baseline"/>
          <w:lang w:val="en-US" w:eastAsia="zh-CN" w:bidi="hi-IN"/>
        </w:rPr>
        <w:t>2,</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which parallels known data on the Infection Fatality Rate (IFR) [</w:t>
      </w:r>
      <w:r>
        <w:rPr>
          <w:rFonts w:eastAsia="Times New Roman" w:cs="Times New Roman" w:ascii="Times New Roman" w:hAnsi="Times New Roman"/>
          <w:b w:val="false"/>
          <w:i w:val="false"/>
          <w:caps w:val="false"/>
          <w:smallCaps w:val="false"/>
          <w:strike w:val="false"/>
          <w:dstrike w:val="false"/>
          <w:color w:val="000000"/>
          <w:kern w:val="0"/>
          <w:position w:val="0"/>
          <w:sz w:val="24"/>
          <w:sz w:val="24"/>
          <w:szCs w:val="24"/>
          <w:u w:val="none"/>
          <w:shd w:fill="auto" w:val="clear"/>
          <w:vertAlign w:val="baseline"/>
          <w:lang w:val="en-US" w:eastAsia="zh-CN" w:bidi="hi-IN"/>
        </w:rPr>
        <w:t>18</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Population data for each age group considered are from official estimates for 2020 [16].</w:t>
      </w:r>
    </w:p>
    <w:p>
      <w:pPr>
        <w:pStyle w:val="Heading1"/>
        <w:numPr>
          <w:ilvl w:val="0"/>
          <w:numId w:val="1"/>
        </w:numPr>
        <w:tabs>
          <w:tab w:val="clear" w:pos="720"/>
          <w:tab w:val="left" w:pos="0" w:leader="none"/>
        </w:tabs>
        <w:ind w:left="0" w:hanging="0"/>
        <w:jc w:val="left"/>
        <w:rPr>
          <w:rFonts w:ascii="Times New Roman" w:hAnsi="Times New Roman" w:eastAsia="Times New Roman" w:cs="Times New Roman"/>
        </w:rPr>
      </w:pPr>
      <w:r>
        <w:rPr>
          <w:rFonts w:eastAsia="Times New Roman" w:cs="Times New Roman" w:ascii="Times New Roman" w:hAnsi="Times New Roman"/>
        </w:rPr>
      </w:r>
    </w:p>
    <w:p>
      <w:pPr>
        <w:pStyle w:val="LOnormal"/>
        <w:keepNext w:val="false"/>
        <w:keepLines w:val="false"/>
        <w:widowControl/>
        <w:shd w:val="clear" w:fill="auto"/>
        <w:spacing w:lineRule="auto" w:line="240" w:before="0" w:after="0"/>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8"/>
          <w:szCs w:val="28"/>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8"/>
          <w:sz w:val="28"/>
          <w:szCs w:val="28"/>
          <w:u w:val="none"/>
          <w:shd w:fill="auto" w:val="clear"/>
          <w:vertAlign w:val="baseline"/>
        </w:rPr>
        <w:t>Estimating the total number of cases from the average Infection Fatality Ratio</w:t>
      </w:r>
    </w:p>
    <w:p>
      <w:pPr>
        <w:pStyle w:val="LOnormal"/>
        <w:keepNext w:val="false"/>
        <w:keepLines w:val="false"/>
        <w:widowControl/>
        <w:shd w:val="clear" w:fill="auto"/>
        <w:spacing w:lineRule="auto" w:line="240" w:before="0" w:after="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keepNext w:val="false"/>
        <w:keepLines w:val="false"/>
        <w:widowControl/>
        <w:shd w:val="clear" w:fill="auto"/>
        <w:spacing w:lineRule="auto" w:line="276" w:before="86" w:after="86"/>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b/>
        <w:t>A more direct estimate of the number of cases can be obtained from the statistical distribution F</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d</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for the time between the first symptom and death is  given by [21]:</w:t>
      </w:r>
    </w:p>
    <w:p>
      <w:pPr>
        <w:pStyle w:val="LOnormal"/>
        <w:keepNext w:val="false"/>
        <w:keepLines w:val="false"/>
        <w:widowControl/>
        <w:shd w:val="clear" w:fill="auto"/>
        <w:spacing w:lineRule="auto" w:line="276" w:before="86" w:after="86"/>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m:r>
          <w:rPr>
            <w:rFonts w:ascii="Cambria Math" w:hAnsi="Cambria Math"/>
          </w:rPr>
          <m:t xml:space="preserve">c</m:t>
        </m:r>
        <m:d>
          <m:dPr>
            <m:begChr m:val="("/>
            <m:endChr m:val=")"/>
          </m:dPr>
          <m:e>
            <m:r>
              <w:rPr>
                <w:rFonts w:ascii="Cambria Math" w:hAnsi="Cambria Math"/>
              </w:rPr>
              <m:t xml:space="preserve">i</m:t>
            </m:r>
          </m:e>
        </m:d>
        <m:r>
          <w:rPr>
            <w:rFonts w:ascii="Cambria Math" w:hAnsi="Cambria Math"/>
          </w:rPr>
          <m:t xml:space="preserve">=</m:t>
        </m:r>
        <m:f>
          <m:num>
            <m:r>
              <w:rPr>
                <w:rFonts w:ascii="Cambria Math" w:hAnsi="Cambria Math"/>
              </w:rPr>
              <m:t xml:space="preserve">1</m:t>
            </m:r>
          </m:num>
          <m:den>
            <m:sSub>
              <m:e>
                <m:r>
                  <w:rPr>
                    <w:rFonts w:ascii="Cambria Math" w:hAnsi="Cambria Math"/>
                  </w:rPr>
                  <m:t xml:space="preserve">L</m:t>
                </m:r>
              </m:e>
              <m:sub>
                <m:r>
                  <w:rPr>
                    <w:rFonts w:ascii="Cambria Math" w:hAnsi="Cambria Math"/>
                  </w:rPr>
                  <m:t xml:space="preserve">avg</m:t>
                </m:r>
              </m:sub>
            </m:sSub>
          </m:den>
        </m:f>
        <m:nary>
          <m:naryPr>
            <m:chr m:val="∑"/>
          </m:naryPr>
          <m:sub>
            <m:r>
              <w:rPr>
                <w:rFonts w:ascii="Cambria Math" w:hAnsi="Cambria Math"/>
              </w:rPr>
              <m:t xml:space="preserve">j</m:t>
            </m:r>
            <m:r>
              <w:rPr>
                <w:rFonts w:ascii="Cambria Math" w:hAnsi="Cambria Math"/>
              </w:rPr>
              <m:t xml:space="preserve">=</m:t>
            </m:r>
            <m:r>
              <w:rPr>
                <w:rFonts w:ascii="Cambria Math" w:hAnsi="Cambria Math"/>
              </w:rPr>
              <m:t xml:space="preserve">14</m:t>
            </m:r>
          </m:sub>
          <m:sup>
            <m:r>
              <w:rPr>
                <w:rFonts w:ascii="Cambria Math" w:hAnsi="Cambria Math"/>
              </w:rPr>
              <m:t xml:space="preserve">22</m:t>
            </m:r>
          </m:sup>
          <m:e>
            <m:r>
              <w:rPr>
                <w:rFonts w:ascii="Cambria Math" w:hAnsi="Cambria Math"/>
              </w:rPr>
              <m:t xml:space="preserve">d</m:t>
            </m:r>
            <m:d>
              <m:dPr>
                <m:begChr m:val="("/>
                <m:endChr m:val=")"/>
              </m:dPr>
              <m:e>
                <m:r>
                  <w:rPr>
                    <w:rFonts w:ascii="Cambria Math" w:hAnsi="Cambria Math"/>
                  </w:rPr>
                  <m:t xml:space="preserve">i</m:t>
                </m:r>
                <m:r>
                  <w:rPr>
                    <w:rFonts w:ascii="Cambria Math" w:hAnsi="Cambria Math"/>
                  </w:rPr>
                  <m:t xml:space="preserve">+</m:t>
                </m:r>
                <m:r>
                  <w:rPr>
                    <w:rFonts w:ascii="Cambria Math" w:hAnsi="Cambria Math"/>
                  </w:rPr>
                  <m:t xml:space="preserve">j</m:t>
                </m:r>
              </m:e>
            </m:d>
            <m:sSub>
              <m:e>
                <m:r>
                  <w:rPr>
                    <w:rFonts w:ascii="Cambria Math" w:hAnsi="Cambria Math"/>
                  </w:rPr>
                  <m:t xml:space="preserve">F</m:t>
                </m:r>
              </m:e>
              <m:sub>
                <m:r>
                  <w:rPr>
                    <w:rFonts w:ascii="Cambria Math" w:hAnsi="Cambria Math"/>
                  </w:rPr>
                  <m:t xml:space="preserve">d</m:t>
                </m:r>
              </m:sub>
            </m:sSub>
            <m:d>
              <m:dPr>
                <m:begChr m:val="("/>
                <m:endChr m:val=")"/>
              </m:dPr>
              <m:e>
                <m:r>
                  <w:rPr>
                    <w:rFonts w:ascii="Cambria Math" w:hAnsi="Cambria Math"/>
                  </w:rPr>
                  <m:t xml:space="preserve">j</m:t>
                </m:r>
              </m:e>
            </m:d>
          </m:e>
        </m:nary>
      </m:o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b/>
        <w:tab/>
        <w:tab/>
        <w:tab/>
        <w:tab/>
        <w:tab/>
        <w:tab/>
        <w:tab/>
        <w:tab/>
        <w:t xml:space="preserve">         (S4)</w:t>
      </w:r>
    </w:p>
    <w:p>
      <w:pPr>
        <w:pStyle w:val="LOnormal"/>
        <w:keepNext w:val="false"/>
        <w:keepLines w:val="false"/>
        <w:widowControl/>
        <w:shd w:val="clear" w:fill="auto"/>
        <w:spacing w:lineRule="auto" w:line="276" w:before="86" w:after="86"/>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with c(i) and d(i) the numbers of new cases and deaths in day i, respectively, and L</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avg</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the average IFR for the given distribution of population among age groups, which for São Paulo is L</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avg</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=0.0053 and L</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bscript"/>
        </w:rPr>
        <w:t>avg</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=0.0084 for Rio Grande do Sul. Population estimates for each locality and each age group are given in Tables S3 and S4. </w:t>
      </w:r>
    </w:p>
    <w:p>
      <w:pPr>
        <w:pStyle w:val="LOnormal"/>
        <w:keepNext w:val="false"/>
        <w:keepLines w:val="false"/>
        <w:widowControl/>
        <w:shd w:val="clear" w:fill="auto"/>
        <w:spacing w:lineRule="auto" w:line="276" w:before="86" w:after="86"/>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keepNext w:val="false"/>
        <w:keepLines w:val="false"/>
        <w:widowControl/>
        <w:shd w:val="clear" w:fill="auto"/>
        <w:tabs>
          <w:tab w:val="clear" w:pos="720"/>
          <w:tab w:val="left" w:pos="0" w:leader="none"/>
        </w:tabs>
        <w:spacing w:lineRule="auto" w:line="240" w:before="183" w:after="63"/>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8"/>
          <w:sz w:val="28"/>
          <w:szCs w:val="28"/>
          <w:u w:val="none"/>
          <w:shd w:fill="auto" w:val="clear"/>
          <w:vertAlign w:val="baseline"/>
        </w:rPr>
        <w:t>Epidemiological parameters</w:t>
      </w:r>
    </w:p>
    <w:p>
      <w:pPr>
        <w:pStyle w:val="LOnormal"/>
        <w:keepNext w:val="false"/>
        <w:keepLines w:val="false"/>
        <w:widowControl/>
        <w:shd w:val="clear" w:fill="auto"/>
        <w:spacing w:lineRule="auto" w:line="240" w:before="0" w:after="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keepNext w:val="false"/>
        <w:keepLines w:val="false"/>
        <w:widowControl/>
        <w:shd w:val="clear" w:fill="auto"/>
        <w:spacing w:lineRule="auto" w:line="240" w:before="0" w:after="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The different epidemiological parameters used in the model are given in tables S1 and S2 below, the index i referring to the age group;</w:t>
      </w:r>
    </w:p>
    <w:p>
      <w:pPr>
        <w:pStyle w:val="LOnormal"/>
        <w:jc w:val="left"/>
        <w:rPr>
          <w:rFonts w:ascii="Times New Roman" w:hAnsi="Times New Roman" w:eastAsia="Times New Roman" w:cs="Times New Roman"/>
        </w:rPr>
      </w:pPr>
      <w:r>
        <w:rPr>
          <w:rFonts w:eastAsia="Times New Roman" w:cs="Times New Roman" w:ascii="Times New Roman" w:hAnsi="Times New Roman"/>
        </w:rPr>
      </w:r>
    </w:p>
    <w:tbl>
      <w:tblPr>
        <w:tblStyle w:val="Table2"/>
        <w:tblW w:w="7710" w:type="dxa"/>
        <w:jc w:val="left"/>
        <w:tblInd w:w="957" w:type="dxa"/>
        <w:tblLayout w:type="fixed"/>
        <w:tblCellMar>
          <w:top w:w="0" w:type="dxa"/>
          <w:left w:w="108" w:type="dxa"/>
          <w:bottom w:w="0" w:type="dxa"/>
          <w:right w:w="108" w:type="dxa"/>
        </w:tblCellMar>
        <w:tblLook w:val="0000"/>
      </w:tblPr>
      <w:tblGrid>
        <w:gridCol w:w="1171"/>
        <w:gridCol w:w="3788"/>
        <w:gridCol w:w="2751"/>
      </w:tblGrid>
      <w:tr>
        <w:trPr/>
        <w:tc>
          <w:tcPr>
            <w:tcW w:w="1171"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Parameter</w:t>
            </w:r>
          </w:p>
        </w:tc>
        <w:tc>
          <w:tcPr>
            <w:tcW w:w="3788"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Definition</w:t>
            </w:r>
          </w:p>
        </w:tc>
        <w:tc>
          <w:tcPr>
            <w:tcW w:w="2751"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 xml:space="preserve">Value (IC </w:t>
            </w:r>
            <w:r>
              <w:rPr/>
            </w:r>
            <m:oMath xmlns:m="http://schemas.openxmlformats.org/officeDocument/2006/math">
              <m:r>
                <w:rPr>
                  <w:rFonts w:ascii="Cambria Math" w:hAnsi="Cambria Math"/>
                </w:rPr>
                <m:t xml:space="preserve">95</m:t>
              </m:r>
              <m:r>
                <m:rPr>
                  <m:lit/>
                  <m:nor/>
                </m:rPr>
                <w:rPr>
                  <w:rFonts w:ascii="Cambria Math" w:hAnsi="Cambria Math"/>
                </w:rPr>
                <m:t xml:space="preserve">%</m:t>
              </m:r>
            </m:oMath>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 [Ref]</w:t>
            </w:r>
          </w:p>
        </w:tc>
      </w:tr>
      <w:tr>
        <w:trPr/>
        <w:tc>
          <w:tcPr>
            <w:tcW w:w="1171" w:type="dxa"/>
            <w:tcBorders>
              <w:left w:val="single" w:sz="4" w:space="0" w:color="000000"/>
              <w:bottom w:val="single" w:sz="4" w:space="0" w:color="000000"/>
            </w:tcBorders>
          </w:tcPr>
          <w:p>
            <w:pPr>
              <w:pStyle w:val="LOnormal"/>
              <w:widowControl w:val="false"/>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r>
                  <w:rPr>
                    <w:rFonts w:ascii="Cambria Math" w:hAnsi="Cambria Math"/>
                  </w:rPr>
                  <m:t xml:space="preserve">ψ</m:t>
                </m:r>
              </m:oMath>
            </m:oMathPara>
          </w:p>
        </w:tc>
        <w:tc>
          <w:tcPr>
            <w:tcW w:w="3788"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Recovery rate from hospitalization</w:t>
            </w:r>
          </w:p>
        </w:tc>
        <w:tc>
          <w:tcPr>
            <w:tcW w:w="2751"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1/17.5 days</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perscript"/>
              </w:rPr>
              <w:t>-1</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[18,19]</w:t>
            </w:r>
          </w:p>
        </w:tc>
      </w:tr>
      <w:tr>
        <w:trPr/>
        <w:tc>
          <w:tcPr>
            <w:tcW w:w="1171" w:type="dxa"/>
            <w:tcBorders>
              <w:left w:val="single" w:sz="4" w:space="0" w:color="000000"/>
              <w:bottom w:val="single" w:sz="4" w:space="0" w:color="000000"/>
            </w:tcBorders>
          </w:tcPr>
          <w:p>
            <w:pPr>
              <w:pStyle w:val="LOnormal"/>
              <w:widowControl w:val="false"/>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r>
                  <w:rPr>
                    <w:rFonts w:ascii="Cambria Math" w:hAnsi="Cambria Math"/>
                  </w:rPr>
                  <m:t xml:space="preserve">σ</m:t>
                </m:r>
              </m:oMath>
            </m:oMathPara>
          </w:p>
        </w:tc>
        <w:tc>
          <w:tcPr>
            <w:tcW w:w="3788"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Inverse of incubation time</w:t>
            </w:r>
          </w:p>
        </w:tc>
        <w:tc>
          <w:tcPr>
            <w:tcW w:w="2751"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1/5.0 days</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perscript"/>
              </w:rPr>
              <w:t xml:space="preserve">-1 </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[20]</w:t>
            </w:r>
          </w:p>
        </w:tc>
      </w:tr>
      <w:tr>
        <w:trPr/>
        <w:tc>
          <w:tcPr>
            <w:tcW w:w="1171" w:type="dxa"/>
            <w:tcBorders>
              <w:left w:val="single" w:sz="4" w:space="0" w:color="000000"/>
              <w:bottom w:val="single" w:sz="4" w:space="0" w:color="000000"/>
            </w:tcBorders>
          </w:tcPr>
          <w:p>
            <w:pPr>
              <w:pStyle w:val="LOnormal"/>
              <w:widowControl w:val="false"/>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r>
                  <w:rPr>
                    <w:rFonts w:ascii="Cambria Math" w:hAnsi="Cambria Math"/>
                  </w:rPr>
                  <m:t xml:space="preserve">γ</m:t>
                </m:r>
              </m:oMath>
            </m:oMathPara>
          </w:p>
        </w:tc>
        <w:tc>
          <w:tcPr>
            <w:tcW w:w="3788"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Recovery rate for non hospitalized</w:t>
            </w:r>
          </w:p>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individuals</w:t>
            </w:r>
          </w:p>
        </w:tc>
        <w:tc>
          <w:tcPr>
            <w:tcW w:w="2751"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1/3.69 days</w:t>
            </w:r>
            <w:r>
              <w:rPr>
                <w:rFonts w:eastAsia="Times New Roman" w:cs="Times New Roman" w:ascii="Times New Roman" w:hAnsi="Times New Roman"/>
                <w:b w:val="false"/>
                <w:i w:val="false"/>
                <w:caps w:val="false"/>
                <w:smallCaps w:val="false"/>
                <w:strike w:val="false"/>
                <w:dstrike w:val="false"/>
                <w:color w:val="000000"/>
                <w:sz w:val="24"/>
                <w:szCs w:val="24"/>
                <w:u w:val="none"/>
                <w:shd w:fill="auto" w:val="clear"/>
                <w:vertAlign w:val="superscript"/>
              </w:rPr>
              <w:t>-1</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[21]</w:t>
            </w:r>
          </w:p>
        </w:tc>
      </w:tr>
      <w:tr>
        <w:trPr/>
        <w:tc>
          <w:tcPr>
            <w:tcW w:w="1171" w:type="dxa"/>
            <w:tcBorders>
              <w:left w:val="single" w:sz="4" w:space="0" w:color="000000"/>
              <w:bottom w:val="single" w:sz="4" w:space="0" w:color="000000"/>
            </w:tcBorders>
          </w:tcPr>
          <w:p>
            <w:pPr>
              <w:pStyle w:val="LOnormal"/>
              <w:widowControl w:val="false"/>
              <w:jc w:val="left"/>
              <w:rPr>
                <w:rFonts w:ascii="Cambria Math" w:hAnsi="Cambria Math" w:eastAsia="Cambria Math" w:cs="Cambria Math"/>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sSub>
                  <m:e>
                    <m:r>
                      <w:rPr>
                        <w:rFonts w:ascii="Cambria Math" w:hAnsi="Cambria Math"/>
                      </w:rPr>
                      <m:t xml:space="preserve">θ</m:t>
                    </m:r>
                  </m:e>
                  <m:sub>
                    <m:r>
                      <w:rPr>
                        <w:rFonts w:ascii="Cambria Math" w:hAnsi="Cambria Math"/>
                      </w:rPr>
                      <m:t xml:space="preserve">i</m:t>
                    </m:r>
                  </m:sub>
                </m:sSub>
              </m:oMath>
            </m:oMathPara>
          </w:p>
        </w:tc>
        <w:tc>
          <w:tcPr>
            <w:tcW w:w="3788"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Fatality rate among hospitalized individuals</w:t>
            </w:r>
          </w:p>
        </w:tc>
        <w:tc>
          <w:tcPr>
            <w:tcW w:w="2751"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m:f>
                <m:fPr>
                  <m:type m:val="lin"/>
                </m:fPr>
                <m:num>
                  <m:sSubSup>
                    <m:e>
                      <m:r>
                        <w:rPr>
                          <w:rFonts w:ascii="Cambria Math" w:hAnsi="Cambria Math"/>
                        </w:rPr>
                        <m:t xml:space="preserve">L</m:t>
                      </m:r>
                    </m:e>
                    <m:sub>
                      <m:r>
                        <w:rPr>
                          <w:rFonts w:ascii="Cambria Math" w:hAnsi="Cambria Math"/>
                        </w:rPr>
                        <m:t xml:space="preserve">i</m:t>
                      </m:r>
                    </m:sub>
                    <m:sup>
                      <m:d>
                        <m:dPr>
                          <m:begChr m:val="("/>
                          <m:endChr m:val=")"/>
                        </m:dPr>
                        <m:e>
                          <m:r>
                            <w:rPr>
                              <w:rFonts w:ascii="Cambria Math" w:hAnsi="Cambria Math"/>
                            </w:rPr>
                            <m:t xml:space="preserve">0</m:t>
                          </m:r>
                        </m:e>
                      </m:d>
                    </m:sup>
                  </m:sSubSup>
                </m:num>
                <m:den>
                  <m:sSub>
                    <m:e>
                      <m:r>
                        <w:rPr>
                          <w:rFonts w:ascii="Cambria Math" w:hAnsi="Cambria Math"/>
                        </w:rPr>
                        <m:t xml:space="preserve">ζ</m:t>
                      </m:r>
                    </m:e>
                    <m:sub>
                      <m:r>
                        <w:rPr>
                          <w:rFonts w:ascii="Cambria Math" w:hAnsi="Cambria Math"/>
                        </w:rPr>
                        <m:t xml:space="preserve">i</m:t>
                      </m:r>
                    </m:sub>
                  </m:sSub>
                </m:den>
              </m:f>
            </m:o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(see table S2)</w:t>
            </w:r>
          </w:p>
        </w:tc>
      </w:tr>
      <w:tr>
        <w:trPr/>
        <w:tc>
          <w:tcPr>
            <w:tcW w:w="1171" w:type="dxa"/>
            <w:tcBorders>
              <w:left w:val="single" w:sz="4" w:space="0" w:color="000000"/>
              <w:bottom w:val="single" w:sz="4" w:space="0" w:color="000000"/>
            </w:tcBorders>
          </w:tcPr>
          <w:p>
            <w:pPr>
              <w:pStyle w:val="LOnormal"/>
              <w:widowControl w:val="false"/>
              <w:jc w:val="left"/>
              <w:rPr>
                <w:rFonts w:ascii="Cambria Math" w:hAnsi="Cambria Math" w:eastAsia="Cambria Math" w:cs="Cambria Math"/>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sSub>
                  <m:e>
                    <m:r>
                      <w:rPr>
                        <w:rFonts w:ascii="Cambria Math" w:hAnsi="Cambria Math"/>
                      </w:rPr>
                      <m:t xml:space="preserve">τ</m:t>
                    </m:r>
                  </m:e>
                  <m:sub>
                    <m:r>
                      <w:rPr>
                        <w:rFonts w:ascii="Cambria Math" w:hAnsi="Cambria Math"/>
                      </w:rPr>
                      <m:t xml:space="preserve">1</m:t>
                    </m:r>
                  </m:sub>
                </m:sSub>
              </m:oMath>
            </m:oMathPara>
          </w:p>
        </w:tc>
        <w:tc>
          <w:tcPr>
            <w:tcW w:w="3788"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Median time from first symptoms to hospitalization</w:t>
            </w:r>
          </w:p>
        </w:tc>
        <w:tc>
          <w:tcPr>
            <w:tcW w:w="2751"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3.3 [20]</w:t>
            </w:r>
          </w:p>
        </w:tc>
      </w:tr>
      <w:tr>
        <w:trPr/>
        <w:tc>
          <w:tcPr>
            <w:tcW w:w="1171" w:type="dxa"/>
            <w:tcBorders>
              <w:left w:val="single" w:sz="4" w:space="0" w:color="000000"/>
              <w:bottom w:val="single" w:sz="4" w:space="0" w:color="000000"/>
            </w:tcBorders>
          </w:tcPr>
          <w:p>
            <w:pPr>
              <w:pStyle w:val="LOnormal"/>
              <w:widowControl w:val="false"/>
              <w:jc w:val="left"/>
              <w:rPr>
                <w:rFonts w:ascii="Cambria Math" w:hAnsi="Cambria Math" w:eastAsia="Cambria Math" w:cs="Cambria Math"/>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sSub>
                  <m:e>
                    <m:r>
                      <w:rPr>
                        <w:rFonts w:ascii="Cambria Math" w:hAnsi="Cambria Math"/>
                      </w:rPr>
                      <m:t xml:space="preserve">τ</m:t>
                    </m:r>
                  </m:e>
                  <m:sub>
                    <m:r>
                      <w:rPr>
                        <w:rFonts w:ascii="Cambria Math" w:hAnsi="Cambria Math"/>
                      </w:rPr>
                      <m:t xml:space="preserve">2</m:t>
                    </m:r>
                  </m:sub>
                </m:sSub>
              </m:oMath>
            </m:oMathPara>
          </w:p>
        </w:tc>
        <w:tc>
          <w:tcPr>
            <w:tcW w:w="3788"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Average time from first symptoms to death</w:t>
            </w:r>
          </w:p>
        </w:tc>
        <w:tc>
          <w:tcPr>
            <w:tcW w:w="2751"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16.8 days [18]</w:t>
            </w:r>
          </w:p>
        </w:tc>
      </w:tr>
      <w:tr>
        <w:trPr/>
        <w:tc>
          <w:tcPr>
            <w:tcW w:w="1171" w:type="dxa"/>
            <w:tcBorders>
              <w:left w:val="single" w:sz="4" w:space="0" w:color="000000"/>
              <w:bottom w:val="single" w:sz="4" w:space="0" w:color="000000"/>
            </w:tcBorders>
          </w:tcPr>
          <w:p>
            <w:pPr>
              <w:pStyle w:val="LOnormal"/>
              <w:widowControl w:val="false"/>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r>
                  <w:rPr>
                    <w:rFonts w:ascii="Cambria Math" w:hAnsi="Cambria Math"/>
                  </w:rPr>
                  <m:t xml:space="preserve">χ</m:t>
                </m:r>
              </m:oMath>
            </m:oMathPara>
          </w:p>
        </w:tc>
        <w:tc>
          <w:tcPr>
            <w:tcW w:w="3788"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Proportion of asymptomatic cases</w:t>
            </w:r>
          </w:p>
        </w:tc>
        <w:tc>
          <w:tcPr>
            <w:tcW w:w="2751"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17.9% [22]</w:t>
            </w:r>
          </w:p>
        </w:tc>
      </w:tr>
      <w:tr>
        <w:trPr/>
        <w:tc>
          <w:tcPr>
            <w:tcW w:w="1171" w:type="dxa"/>
            <w:tcBorders>
              <w:left w:val="single" w:sz="4" w:space="0" w:color="000000"/>
              <w:bottom w:val="single" w:sz="4" w:space="0" w:color="000000"/>
            </w:tcBorders>
          </w:tcPr>
          <w:p>
            <w:pPr>
              <w:pStyle w:val="LOnormal"/>
              <w:widowControl w:val="false"/>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r>
                  <w:rPr>
                    <w:rFonts w:ascii="Cambria Math" w:hAnsi="Cambria Math"/>
                  </w:rPr>
                  <m:t xml:space="preserve">ξ</m:t>
                </m:r>
              </m:oMath>
            </m:oMathPara>
          </w:p>
        </w:tc>
        <w:tc>
          <w:tcPr>
            <w:tcW w:w="3788"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Contagiousness of asymptomatic with respect to symptomatic individuals</w:t>
            </w:r>
          </w:p>
        </w:tc>
        <w:tc>
          <w:tcPr>
            <w:tcW w:w="2751"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55% [21]</w:t>
            </w:r>
          </w:p>
        </w:tc>
      </w:tr>
      <w:tr>
        <w:trPr/>
        <w:tc>
          <w:tcPr>
            <w:tcW w:w="1171" w:type="dxa"/>
            <w:tcBorders>
              <w:left w:val="single" w:sz="4" w:space="0" w:color="000000"/>
              <w:bottom w:val="single" w:sz="4" w:space="0" w:color="000000"/>
            </w:tcBorders>
          </w:tcPr>
          <w:p>
            <w:pPr>
              <w:pStyle w:val="LOnormal"/>
              <w:widowControl w:val="false"/>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r>
                  <w:rPr>
                    <w:rFonts w:ascii="Cambria Math" w:hAnsi="Cambria Math"/>
                  </w:rPr>
                  <m:t xml:space="preserve">κ</m:t>
                </m:r>
              </m:oMath>
            </m:oMathPara>
          </w:p>
        </w:tc>
        <w:tc>
          <w:tcPr>
            <w:tcW w:w="3788"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Average birth rate in Brazil</w:t>
            </w:r>
          </w:p>
        </w:tc>
        <w:tc>
          <w:tcPr>
            <w:tcW w:w="2751"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1.416% [15]</w:t>
            </w:r>
          </w:p>
        </w:tc>
      </w:tr>
      <w:tr>
        <w:trPr/>
        <w:tc>
          <w:tcPr>
            <w:tcW w:w="1171" w:type="dxa"/>
            <w:tcBorders>
              <w:left w:val="single" w:sz="4" w:space="0" w:color="000000"/>
              <w:bottom w:val="single" w:sz="4" w:space="0" w:color="000000"/>
            </w:tcBorders>
          </w:tcPr>
          <w:p>
            <w:pPr>
              <w:pStyle w:val="LOnormal"/>
              <w:widowControl w:val="false"/>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r>
                  <w:rPr>
                    <w:rFonts w:ascii="Cambria Math" w:hAnsi="Cambria Math"/>
                  </w:rPr>
                  <m:t xml:space="preserve">μ</m:t>
                </m:r>
              </m:oMath>
            </m:oMathPara>
          </w:p>
        </w:tc>
        <w:tc>
          <w:tcPr>
            <w:tcW w:w="3788"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Average natural mortality rate in Brazil</w:t>
            </w:r>
          </w:p>
        </w:tc>
        <w:tc>
          <w:tcPr>
            <w:tcW w:w="2751"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0.608% [15] </w:t>
            </w:r>
          </w:p>
        </w:tc>
      </w:tr>
    </w:tbl>
    <w:p>
      <w:pPr>
        <w:pStyle w:val="LOnormal"/>
        <w:jc w:val="left"/>
        <w:rPr>
          <w:rFonts w:ascii="Times New Roman" w:hAnsi="Times New Roman" w:eastAsia="Times New Roman" w:cs="Times New Roman"/>
        </w:rPr>
      </w:pPr>
      <w:r>
        <w:rPr>
          <w:rFonts w:eastAsia="Times New Roman" w:cs="Times New Roman" w:ascii="Times New Roman" w:hAnsi="Times New Roman"/>
          <w:b/>
        </w:rPr>
        <w:t>Table S</w:t>
      </w:r>
      <w:r>
        <w:rPr>
          <w:rFonts w:eastAsia="Times New Roman" w:cs="Times New Roman" w:ascii="Times New Roman" w:hAnsi="Times New Roman"/>
          <w:b/>
          <w:color w:val="auto"/>
          <w:kern w:val="0"/>
          <w:sz w:val="24"/>
          <w:szCs w:val="24"/>
          <w:lang w:val="en-US" w:eastAsia="zh-CN" w:bidi="hi-IN"/>
        </w:rPr>
        <w:t>1</w:t>
      </w:r>
      <w:r>
        <w:rPr>
          <w:rFonts w:eastAsia="Times New Roman" w:cs="Times New Roman" w:ascii="Times New Roman" w:hAnsi="Times New Roman"/>
          <w:b/>
        </w:rPr>
        <w:t xml:space="preserve">: </w:t>
      </w:r>
      <w:r>
        <w:rPr>
          <w:rFonts w:eastAsia="Times New Roman" w:cs="Times New Roman" w:ascii="Times New Roman" w:hAnsi="Times New Roman"/>
          <w:b w:val="false"/>
          <w:bCs w:val="false"/>
        </w:rPr>
        <w:t>Epidemiological parameters in the model.</w:t>
      </w:r>
    </w:p>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LOnormal"/>
        <w:jc w:val="left"/>
        <w:rPr>
          <w:rFonts w:ascii="Times New Roman" w:hAnsi="Times New Roman" w:eastAsia="Times New Roman" w:cs="Times New Roman"/>
        </w:rPr>
      </w:pPr>
      <w:r>
        <w:rPr>
          <w:rFonts w:eastAsia="Times New Roman" w:cs="Times New Roman" w:ascii="Times New Roman" w:hAnsi="Times New Roman"/>
        </w:rPr>
      </w:r>
    </w:p>
    <w:tbl>
      <w:tblPr>
        <w:tblStyle w:val="Table3"/>
        <w:tblW w:w="3744" w:type="dxa"/>
        <w:jc w:val="left"/>
        <w:tblInd w:w="1566" w:type="dxa"/>
        <w:tblLayout w:type="fixed"/>
        <w:tblCellMar>
          <w:top w:w="0" w:type="dxa"/>
          <w:left w:w="108" w:type="dxa"/>
          <w:bottom w:w="0" w:type="dxa"/>
          <w:right w:w="108" w:type="dxa"/>
        </w:tblCellMar>
        <w:tblLook w:val="0000"/>
      </w:tblPr>
      <w:tblGrid>
        <w:gridCol w:w="1414"/>
        <w:gridCol w:w="1021"/>
        <w:gridCol w:w="1309"/>
      </w:tblGrid>
      <w:tr>
        <w:trPr/>
        <w:tc>
          <w:tcPr>
            <w:tcW w:w="1414"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Age Group</w:t>
            </w:r>
          </w:p>
        </w:tc>
        <w:tc>
          <w:tcPr>
            <w:tcW w:w="1021"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IFR</w:t>
            </w:r>
          </w:p>
        </w:tc>
        <w:tc>
          <w:tcPr>
            <w:tcW w:w="1309" w:type="dxa"/>
            <w:tcBorders>
              <w:top w:val="single" w:sz="4" w:space="0" w:color="000000"/>
              <w:left w:val="single" w:sz="4" w:space="0" w:color="000000"/>
              <w:bottom w:val="single" w:sz="4" w:space="0" w:color="000000"/>
              <w:right w:val="single" w:sz="4" w:space="0" w:color="000000"/>
            </w:tcBorders>
          </w:tcPr>
          <w:p>
            <w:pPr>
              <w:pStyle w:val="LOnormal"/>
              <w:widowControl w:val="false"/>
              <w:jc w:val="left"/>
              <w:rPr>
                <w:rFonts w:ascii="Cambria Math" w:hAnsi="Cambria Math" w:eastAsia="Cambria Math" w:cs="Cambria Math"/>
                <w:b/>
                <w:b/>
                <w:i w:val="false"/>
                <w:i w:val="false"/>
                <w:caps w:val="false"/>
                <w:smallCaps w:val="false"/>
                <w:strike w:val="false"/>
                <w:dstrike w:val="false"/>
                <w:color w:val="000000"/>
                <w:position w:val="0"/>
                <w:sz w:val="24"/>
                <w:sz w:val="24"/>
                <w:szCs w:val="24"/>
                <w:u w:val="none"/>
                <w:shd w:fill="auto" w:val="clear"/>
                <w:vertAlign w:val="baseline"/>
              </w:rPr>
            </w:pPr>
            <w:r>
              <w:rPr/>
            </w:r>
            <m:oMathPara xmlns:m="http://schemas.openxmlformats.org/officeDocument/2006/math">
              <m:oMathParaPr>
                <m:jc m:val="left"/>
              </m:oMathParaPr>
              <m:oMath>
                <m:sSub>
                  <m:e>
                    <m:r>
                      <w:rPr>
                        <w:rFonts w:ascii="Cambria Math" w:hAnsi="Cambria Math"/>
                      </w:rPr>
                      <m:t xml:space="preserve">ζ</m:t>
                    </m:r>
                  </m:e>
                  <m:sub>
                    <m:r>
                      <w:rPr>
                        <w:rFonts w:ascii="Cambria Math" w:hAnsi="Cambria Math"/>
                      </w:rPr>
                      <m:t xml:space="preserve">i</m:t>
                    </m:r>
                  </m:sub>
                </m:sSub>
              </m:oMath>
            </m:oMathPara>
          </w:p>
        </w:tc>
      </w:tr>
      <w:tr>
        <w:trPr/>
        <w:tc>
          <w:tcPr>
            <w:tcW w:w="141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 – 9</w:t>
            </w:r>
          </w:p>
        </w:tc>
        <w:tc>
          <w:tcPr>
            <w:tcW w:w="1021"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0.0%</w:t>
            </w:r>
          </w:p>
        </w:tc>
        <w:tc>
          <w:tcPr>
            <w:tcW w:w="1309"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0.00161%</w:t>
            </w:r>
          </w:p>
        </w:tc>
      </w:tr>
      <w:tr>
        <w:trPr/>
        <w:tc>
          <w:tcPr>
            <w:tcW w:w="141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10 – 19</w:t>
            </w:r>
          </w:p>
        </w:tc>
        <w:tc>
          <w:tcPr>
            <w:tcW w:w="1021"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0.2%</w:t>
            </w:r>
          </w:p>
        </w:tc>
        <w:tc>
          <w:tcPr>
            <w:tcW w:w="1309"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0.408%</w:t>
            </w:r>
          </w:p>
        </w:tc>
      </w:tr>
      <w:tr>
        <w:trPr/>
        <w:tc>
          <w:tcPr>
            <w:tcW w:w="141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20 – 29</w:t>
            </w:r>
          </w:p>
        </w:tc>
        <w:tc>
          <w:tcPr>
            <w:tcW w:w="1021"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0.2%</w:t>
            </w:r>
          </w:p>
        </w:tc>
        <w:tc>
          <w:tcPr>
            <w:tcW w:w="1309"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1.04%</w:t>
            </w:r>
          </w:p>
        </w:tc>
      </w:tr>
      <w:tr>
        <w:trPr/>
        <w:tc>
          <w:tcPr>
            <w:tcW w:w="141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30 – 39</w:t>
            </w:r>
          </w:p>
        </w:tc>
        <w:tc>
          <w:tcPr>
            <w:tcW w:w="1021"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0.2%</w:t>
            </w:r>
          </w:p>
        </w:tc>
        <w:tc>
          <w:tcPr>
            <w:tcW w:w="1309"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3.43%</w:t>
            </w:r>
          </w:p>
        </w:tc>
      </w:tr>
      <w:tr>
        <w:trPr/>
        <w:tc>
          <w:tcPr>
            <w:tcW w:w="141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40 – 49</w:t>
            </w:r>
          </w:p>
        </w:tc>
        <w:tc>
          <w:tcPr>
            <w:tcW w:w="1021"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0.4%</w:t>
            </w:r>
          </w:p>
        </w:tc>
        <w:tc>
          <w:tcPr>
            <w:tcW w:w="1309"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4.35%</w:t>
            </w:r>
          </w:p>
        </w:tc>
      </w:tr>
      <w:tr>
        <w:trPr/>
        <w:tc>
          <w:tcPr>
            <w:tcW w:w="141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50 – 59</w:t>
            </w:r>
          </w:p>
        </w:tc>
        <w:tc>
          <w:tcPr>
            <w:tcW w:w="1021"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1.3%</w:t>
            </w:r>
          </w:p>
        </w:tc>
        <w:tc>
          <w:tcPr>
            <w:tcW w:w="1309"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8.16%</w:t>
            </w:r>
          </w:p>
        </w:tc>
      </w:tr>
      <w:tr>
        <w:trPr/>
        <w:tc>
          <w:tcPr>
            <w:tcW w:w="141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60 – 69</w:t>
            </w:r>
          </w:p>
        </w:tc>
        <w:tc>
          <w:tcPr>
            <w:tcW w:w="1021"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3.6%</w:t>
            </w:r>
          </w:p>
        </w:tc>
        <w:tc>
          <w:tcPr>
            <w:tcW w:w="1309"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11.8%</w:t>
            </w:r>
          </w:p>
        </w:tc>
      </w:tr>
      <w:tr>
        <w:trPr/>
        <w:tc>
          <w:tcPr>
            <w:tcW w:w="141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70 – 79</w:t>
            </w:r>
          </w:p>
        </w:tc>
        <w:tc>
          <w:tcPr>
            <w:tcW w:w="1021"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8.0%</w:t>
            </w:r>
          </w:p>
        </w:tc>
        <w:tc>
          <w:tcPr>
            <w:tcW w:w="1309"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16.6%</w:t>
            </w:r>
          </w:p>
        </w:tc>
      </w:tr>
      <w:tr>
        <w:trPr/>
        <w:tc>
          <w:tcPr>
            <w:tcW w:w="141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80</w:t>
            </w:r>
          </w:p>
        </w:tc>
        <w:tc>
          <w:tcPr>
            <w:tcW w:w="1021"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14.8%</w:t>
            </w:r>
          </w:p>
        </w:tc>
        <w:tc>
          <w:tcPr>
            <w:tcW w:w="1309"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18.4%</w:t>
            </w:r>
          </w:p>
        </w:tc>
      </w:tr>
    </w:tbl>
    <w:p>
      <w:pPr>
        <w:pStyle w:val="LOnormal"/>
        <w:jc w:val="left"/>
        <w:rPr>
          <w:rFonts w:ascii="Times New Roman" w:hAnsi="Times New Roman" w:eastAsia="Times New Roman" w:cs="Times New Roman"/>
        </w:rPr>
      </w:pPr>
      <w:r>
        <w:rPr>
          <w:rFonts w:eastAsia="Times New Roman" w:cs="Times New Roman" w:ascii="Times New Roman" w:hAnsi="Times New Roman"/>
          <w:b/>
        </w:rPr>
        <w:t>Table S</w:t>
      </w:r>
      <w:r>
        <w:rPr>
          <w:rFonts w:eastAsia="Times New Roman" w:cs="Times New Roman" w:ascii="Times New Roman" w:hAnsi="Times New Roman"/>
          <w:b/>
          <w:color w:val="auto"/>
          <w:kern w:val="0"/>
          <w:sz w:val="24"/>
          <w:szCs w:val="24"/>
          <w:lang w:val="en-US" w:eastAsia="zh-CN" w:bidi="hi-IN"/>
        </w:rPr>
        <w:t>2</w:t>
      </w:r>
      <w:r>
        <w:rPr>
          <w:rFonts w:eastAsia="Times New Roman" w:cs="Times New Roman" w:ascii="Times New Roman" w:hAnsi="Times New Roman"/>
          <w:b/>
        </w:rPr>
        <w:t xml:space="preserve">: </w:t>
      </w:r>
      <w:r>
        <w:rPr>
          <w:rFonts w:eastAsia="Times New Roman" w:cs="Times New Roman" w:ascii="Times New Roman" w:hAnsi="Times New Roman"/>
          <w:b w:val="false"/>
          <w:bCs w:val="false"/>
        </w:rPr>
        <w:t xml:space="preserve">Infection fatality ratio (IFR) </w:t>
      </w:r>
      <w:r>
        <w:rPr/>
      </w:r>
      <m:oMath xmlns:m="http://schemas.openxmlformats.org/officeDocument/2006/math">
        <m:sSubSup>
          <m:e>
            <m:r>
              <w:rPr>
                <w:rFonts w:ascii="Cambria Math" w:hAnsi="Cambria Math"/>
              </w:rPr>
              <m:t xml:space="preserve">L</m:t>
            </m:r>
          </m:e>
          <m:sub>
            <m:r>
              <w:rPr>
                <w:rFonts w:ascii="Cambria Math" w:hAnsi="Cambria Math"/>
              </w:rPr>
              <m:t xml:space="preserve">i</m:t>
            </m:r>
          </m:sub>
          <m:sup>
            <m:d>
              <m:dPr>
                <m:begChr m:val="("/>
                <m:endChr m:val=")"/>
              </m:dPr>
              <m:e>
                <m:r>
                  <w:rPr>
                    <w:rFonts w:ascii="Cambria Math" w:hAnsi="Cambria Math"/>
                  </w:rPr>
                  <m:t xml:space="preserve">0</m:t>
                </m:r>
              </m:e>
            </m:d>
          </m:sup>
        </m:sSubSup>
      </m:oMath>
      <w:r>
        <w:rPr>
          <w:rFonts w:eastAsia="Times New Roman" w:cs="Times New Roman" w:ascii="Times New Roman" w:hAnsi="Times New Roman"/>
          <w:b w:val="false"/>
          <w:bCs w:val="false"/>
        </w:rPr>
        <w:t xml:space="preserve"> and hospitalization probability </w:t>
      </w:r>
      <w:r>
        <w:rPr/>
      </w:r>
      <m:oMath xmlns:m="http://schemas.openxmlformats.org/officeDocument/2006/math">
        <m:sSub>
          <m:e>
            <m:r>
              <w:rPr>
                <w:rFonts w:ascii="Cambria Math" w:hAnsi="Cambria Math"/>
              </w:rPr>
              <m:t xml:space="preserve">ζ</m:t>
            </m:r>
          </m:e>
          <m:sub>
            <m:r>
              <w:rPr>
                <w:rFonts w:ascii="Cambria Math" w:hAnsi="Cambria Math"/>
              </w:rPr>
              <m:t xml:space="preserve">i</m:t>
            </m:r>
          </m:sub>
        </m:sSub>
      </m:oMath>
      <w:r>
        <w:rPr>
          <w:rFonts w:eastAsia="Times New Roman" w:cs="Times New Roman" w:ascii="Times New Roman" w:hAnsi="Times New Roman"/>
          <w:b w:val="false"/>
          <w:bCs w:val="false"/>
        </w:rPr>
        <w:t xml:space="preserve"> for each age group as obtained by Linton et al. [</w:t>
      </w:r>
      <w:r>
        <w:rPr>
          <w:rFonts w:eastAsia="Times New Roman" w:cs="Times New Roman" w:ascii="Times New Roman" w:hAnsi="Times New Roman"/>
          <w:b w:val="false"/>
          <w:bCs w:val="false"/>
          <w:color w:val="auto"/>
          <w:kern w:val="0"/>
          <w:sz w:val="24"/>
          <w:szCs w:val="24"/>
          <w:lang w:val="en-US" w:eastAsia="zh-CN" w:bidi="hi-IN"/>
        </w:rPr>
        <w:t>19</w:t>
      </w:r>
      <w:r>
        <w:rPr>
          <w:rFonts w:eastAsia="Times New Roman" w:cs="Times New Roman" w:ascii="Times New Roman" w:hAnsi="Times New Roman"/>
          <w:b w:val="false"/>
          <w:bCs w:val="false"/>
        </w:rPr>
        <w:t>].</w:t>
      </w:r>
    </w:p>
    <w:p>
      <w:pPr>
        <w:pStyle w:val="Heading1"/>
        <w:numPr>
          <w:ilvl w:val="0"/>
          <w:numId w:val="1"/>
        </w:numPr>
        <w:tabs>
          <w:tab w:val="clear" w:pos="720"/>
          <w:tab w:val="left" w:pos="0" w:leader="none"/>
        </w:tabs>
        <w:ind w:left="0" w:hanging="0"/>
        <w:jc w:val="left"/>
        <w:rPr>
          <w:rFonts w:ascii="Times New Roman" w:hAnsi="Times New Roman" w:eastAsia="Times New Roman" w:cs="Times New Roman"/>
        </w:rPr>
      </w:pPr>
      <w:r>
        <w:rPr>
          <w:rFonts w:eastAsia="Times New Roman" w:cs="Times New Roman" w:ascii="Times New Roman" w:hAnsi="Times New Roman"/>
        </w:rPr>
      </w:r>
    </w:p>
    <w:p>
      <w:pPr>
        <w:pStyle w:val="Heading1"/>
        <w:numPr>
          <w:ilvl w:val="0"/>
          <w:numId w:val="0"/>
        </w:numPr>
        <w:tabs>
          <w:tab w:val="clear" w:pos="720"/>
          <w:tab w:val="left" w:pos="0" w:leader="none"/>
        </w:tabs>
        <w:ind w:left="0" w:hanging="0"/>
        <w:jc w:val="left"/>
        <w:rPr>
          <w:rFonts w:ascii="Times New Roman" w:hAnsi="Times New Roman" w:eastAsia="Times New Roman" w:cs="Times New Roman"/>
        </w:rPr>
      </w:pPr>
      <w:r>
        <w:rPr>
          <w:rFonts w:eastAsia="Times New Roman" w:cs="Times New Roman" w:ascii="Times New Roman" w:hAnsi="Times New Roman"/>
          <w:sz w:val="28"/>
          <w:szCs w:val="28"/>
        </w:rPr>
        <w:t>Population data</w:t>
      </w:r>
    </w:p>
    <w:p>
      <w:pPr>
        <w:pStyle w:val="LOnormal"/>
        <w:keepNext w:val="false"/>
        <w:keepLines w:val="false"/>
        <w:widowControl/>
        <w:shd w:val="clear" w:fill="auto"/>
        <w:spacing w:lineRule="auto" w:line="240" w:before="0" w:after="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Population figures presented below are official estimates for 2020 and are available at [</w:t>
      </w:r>
      <w:r>
        <w:rPr>
          <w:rFonts w:eastAsia="Times New Roman" w:cs="Times New Roman" w:ascii="Times New Roman" w:hAnsi="Times New Roman"/>
          <w:b w:val="false"/>
          <w:i w:val="false"/>
          <w:caps w:val="false"/>
          <w:smallCaps w:val="false"/>
          <w:strike w:val="false"/>
          <w:dstrike w:val="false"/>
          <w:color w:val="000000"/>
          <w:kern w:val="0"/>
          <w:position w:val="0"/>
          <w:sz w:val="24"/>
          <w:sz w:val="24"/>
          <w:szCs w:val="24"/>
          <w:u w:val="none"/>
          <w:shd w:fill="auto" w:val="clear"/>
          <w:vertAlign w:val="baseline"/>
          <w:lang w:val="en-US" w:eastAsia="zh-CN" w:bidi="hi-IN"/>
        </w:rPr>
        <w:t>14,15</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w:t>
      </w:r>
    </w:p>
    <w:p>
      <w:pPr>
        <w:pStyle w:val="LOnormal"/>
        <w:keepNext w:val="false"/>
        <w:keepLines w:val="false"/>
        <w:widowControl/>
        <w:shd w:val="clear" w:fill="auto"/>
        <w:spacing w:lineRule="auto" w:line="276" w:before="0" w:after="14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tbl>
      <w:tblPr>
        <w:tblStyle w:val="Table4"/>
        <w:tblW w:w="9359" w:type="dxa"/>
        <w:jc w:val="left"/>
        <w:tblInd w:w="-5" w:type="dxa"/>
        <w:tblLayout w:type="fixed"/>
        <w:tblCellMar>
          <w:top w:w="0" w:type="dxa"/>
          <w:left w:w="108" w:type="dxa"/>
          <w:bottom w:w="0" w:type="dxa"/>
          <w:right w:w="108" w:type="dxa"/>
        </w:tblCellMar>
        <w:tblLook w:val="0000"/>
      </w:tblPr>
      <w:tblGrid>
        <w:gridCol w:w="1559"/>
        <w:gridCol w:w="1560"/>
        <w:gridCol w:w="1560"/>
        <w:gridCol w:w="1560"/>
        <w:gridCol w:w="1559"/>
        <w:gridCol w:w="1560"/>
      </w:tblGrid>
      <w:tr>
        <w:trPr/>
        <w:tc>
          <w:tcPr>
            <w:tcW w:w="1559"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Age group</w:t>
            </w:r>
          </w:p>
        </w:tc>
        <w:tc>
          <w:tcPr>
            <w:tcW w:w="1560"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 – 9</w:t>
            </w:r>
          </w:p>
        </w:tc>
        <w:tc>
          <w:tcPr>
            <w:tcW w:w="1560"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10 – 19</w:t>
            </w:r>
          </w:p>
        </w:tc>
        <w:tc>
          <w:tcPr>
            <w:tcW w:w="1560"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20 – 29</w:t>
            </w:r>
          </w:p>
        </w:tc>
        <w:tc>
          <w:tcPr>
            <w:tcW w:w="1559"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30 – 39</w:t>
            </w:r>
          </w:p>
        </w:tc>
        <w:tc>
          <w:tcPr>
            <w:tcW w:w="1560"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40 – 49</w:t>
            </w:r>
          </w:p>
        </w:tc>
      </w:tr>
      <w:tr>
        <w:trPr/>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Population</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1 569 846</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1 641 743</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1 827 397</w:t>
            </w:r>
          </w:p>
        </w:tc>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2 044 130</w:t>
            </w:r>
          </w:p>
        </w:tc>
        <w:tc>
          <w:tcPr>
            <w:tcW w:w="1560"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1 815 252</w:t>
            </w:r>
          </w:p>
        </w:tc>
      </w:tr>
      <w:tr>
        <w:trPr/>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Age group</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50 – 59</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60 – 69</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70 – 79</w:t>
            </w:r>
          </w:p>
        </w:tc>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80</w:t>
            </w:r>
          </w:p>
        </w:tc>
        <w:tc>
          <w:tcPr>
            <w:tcW w:w="1560" w:type="dxa"/>
            <w:tcBorders>
              <w:left w:val="single" w:sz="4" w:space="0" w:color="000000"/>
              <w:bottom w:val="single" w:sz="4" w:space="0" w:color="000000"/>
              <w:right w:val="single" w:sz="4" w:space="0" w:color="000000"/>
            </w:tcBorders>
          </w:tcPr>
          <w:p>
            <w:pPr>
              <w:pStyle w:val="LOnormal"/>
              <w:widowControl w:val="false"/>
              <w:jc w:val="left"/>
              <w:rPr>
                <w:rFonts w:ascii="Times New Roman" w:hAnsi="Times New Roman" w:eastAsia="Times New Roman" w:cs="Times New Roman"/>
                <w:b w:val="false"/>
                <w:b w:val="false"/>
                <w:i w:val="false"/>
                <w:i w:val="false"/>
                <w:strike w:val="false"/>
                <w:dstrike w:val="false"/>
                <w:color w:val="000000"/>
                <w:sz w:val="24"/>
                <w:szCs w:val="24"/>
                <w:u w:val="none"/>
              </w:rPr>
            </w:pPr>
            <w:r>
              <w:rPr>
                <w:rFonts w:eastAsia="Times New Roman" w:cs="Times New Roman" w:ascii="Times New Roman" w:hAnsi="Times New Roman"/>
                <w:b w:val="false"/>
                <w:i w:val="false"/>
                <w:strike w:val="false"/>
                <w:dstrike w:val="false"/>
                <w:color w:val="000000"/>
                <w:sz w:val="24"/>
                <w:szCs w:val="24"/>
                <w:u w:val="none"/>
              </w:rPr>
            </w:r>
          </w:p>
        </w:tc>
      </w:tr>
      <w:tr>
        <w:trPr/>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Population</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1 443 720</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1 083 124</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589 507</w:t>
            </w:r>
          </w:p>
        </w:tc>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310 513</w:t>
            </w:r>
          </w:p>
        </w:tc>
        <w:tc>
          <w:tcPr>
            <w:tcW w:w="1560" w:type="dxa"/>
            <w:tcBorders>
              <w:left w:val="single" w:sz="4" w:space="0" w:color="000000"/>
              <w:bottom w:val="single" w:sz="4" w:space="0" w:color="000000"/>
              <w:right w:val="single" w:sz="4" w:space="0" w:color="000000"/>
            </w:tcBorders>
          </w:tcPr>
          <w:p>
            <w:pPr>
              <w:pStyle w:val="LOnormal"/>
              <w:widowControl w:val="false"/>
              <w:jc w:val="left"/>
              <w:rPr>
                <w:rFonts w:ascii="Times New Roman" w:hAnsi="Times New Roman" w:eastAsia="Times New Roman" w:cs="Times New Roman"/>
                <w:b w:val="false"/>
                <w:b w:val="false"/>
                <w:i w:val="false"/>
                <w:i w:val="false"/>
                <w:strike w:val="false"/>
                <w:dstrike w:val="false"/>
                <w:color w:val="000000"/>
                <w:sz w:val="24"/>
                <w:szCs w:val="24"/>
                <w:u w:val="none"/>
              </w:rPr>
            </w:pPr>
            <w:r>
              <w:rPr>
                <w:rFonts w:eastAsia="Times New Roman" w:cs="Times New Roman" w:ascii="Times New Roman" w:hAnsi="Times New Roman"/>
                <w:b w:val="false"/>
                <w:i w:val="false"/>
                <w:strike w:val="false"/>
                <w:dstrike w:val="false"/>
                <w:color w:val="000000"/>
                <w:sz w:val="24"/>
                <w:szCs w:val="24"/>
                <w:u w:val="none"/>
              </w:rPr>
            </w:r>
          </w:p>
        </w:tc>
      </w:tr>
    </w:tbl>
    <w:p>
      <w:pPr>
        <w:pStyle w:val="Heading1"/>
        <w:numPr>
          <w:ilvl w:val="0"/>
          <w:numId w:val="0"/>
        </w:numPr>
        <w:tabs>
          <w:tab w:val="clear" w:pos="720"/>
          <w:tab w:val="left" w:pos="0" w:leader="none"/>
        </w:tabs>
        <w:ind w:left="0" w:hanging="0"/>
        <w:jc w:val="left"/>
        <w:rPr>
          <w:rFonts w:ascii="Times New Roman" w:hAnsi="Times New Roman" w:eastAsia="Times New Roman" w:cs="Times New Roman"/>
        </w:rPr>
      </w:pPr>
      <w:r>
        <w:rPr>
          <w:rFonts w:eastAsia="Times New Roman" w:cs="Times New Roman" w:ascii="Times New Roman" w:hAnsi="Times New Roman"/>
          <w:sz w:val="24"/>
          <w:szCs w:val="24"/>
        </w:rPr>
        <w:t>Table S</w:t>
      </w:r>
      <w:r>
        <w:rPr>
          <w:rFonts w:eastAsia="Times New Roman" w:cs="Times New Roman" w:ascii="Times New Roman" w:hAnsi="Times New Roman"/>
          <w:b/>
          <w:bCs/>
          <w:color w:val="auto"/>
          <w:kern w:val="0"/>
          <w:sz w:val="24"/>
          <w:szCs w:val="24"/>
          <w:lang w:val="en-US" w:eastAsia="zh-CN" w:bidi="hi-IN"/>
        </w:rPr>
        <w:t>3</w:t>
      </w:r>
      <w:r>
        <w:rPr>
          <w:rFonts w:eastAsia="Times New Roman" w:cs="Times New Roman" w:ascii="Times New Roman" w:hAnsi="Times New Roman"/>
          <w:sz w:val="24"/>
          <w:szCs w:val="24"/>
        </w:rPr>
        <w:t xml:space="preserve">: </w:t>
      </w:r>
      <w:r>
        <w:rPr>
          <w:rFonts w:eastAsia="Times New Roman" w:cs="Times New Roman" w:ascii="Times New Roman" w:hAnsi="Times New Roman"/>
          <w:b w:val="false"/>
          <w:bCs w:val="false"/>
          <w:sz w:val="24"/>
          <w:szCs w:val="24"/>
        </w:rPr>
        <w:t>Age groups and respective population for the city of São Paulo.</w:t>
      </w:r>
    </w:p>
    <w:p>
      <w:pPr>
        <w:pStyle w:val="Heading1"/>
        <w:numPr>
          <w:ilvl w:val="0"/>
          <w:numId w:val="1"/>
        </w:numPr>
        <w:tabs>
          <w:tab w:val="clear" w:pos="720"/>
          <w:tab w:val="left" w:pos="0" w:leader="none"/>
        </w:tabs>
        <w:ind w:left="0" w:hanging="0"/>
        <w:jc w:val="left"/>
        <w:rPr>
          <w:rFonts w:ascii="Times New Roman" w:hAnsi="Times New Roman" w:eastAsia="Times New Roman" w:cs="Times New Roman"/>
        </w:rPr>
      </w:pPr>
      <w:r>
        <w:rPr>
          <w:rFonts w:eastAsia="Times New Roman" w:cs="Times New Roman" w:ascii="Times New Roman" w:hAnsi="Times New Roman"/>
        </w:rPr>
      </w:r>
    </w:p>
    <w:tbl>
      <w:tblPr>
        <w:tblStyle w:val="Table5"/>
        <w:tblW w:w="9359" w:type="dxa"/>
        <w:jc w:val="left"/>
        <w:tblInd w:w="-5" w:type="dxa"/>
        <w:tblLayout w:type="fixed"/>
        <w:tblCellMar>
          <w:top w:w="0" w:type="dxa"/>
          <w:left w:w="108" w:type="dxa"/>
          <w:bottom w:w="0" w:type="dxa"/>
          <w:right w:w="108" w:type="dxa"/>
        </w:tblCellMar>
        <w:tblLook w:val="0000"/>
      </w:tblPr>
      <w:tblGrid>
        <w:gridCol w:w="1559"/>
        <w:gridCol w:w="1560"/>
        <w:gridCol w:w="1560"/>
        <w:gridCol w:w="1560"/>
        <w:gridCol w:w="1559"/>
        <w:gridCol w:w="1560"/>
      </w:tblGrid>
      <w:tr>
        <w:trPr/>
        <w:tc>
          <w:tcPr>
            <w:tcW w:w="1559"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Age group</w:t>
            </w:r>
          </w:p>
        </w:tc>
        <w:tc>
          <w:tcPr>
            <w:tcW w:w="1560"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 – 9</w:t>
            </w:r>
          </w:p>
        </w:tc>
        <w:tc>
          <w:tcPr>
            <w:tcW w:w="1560"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10 – 19</w:t>
            </w:r>
          </w:p>
        </w:tc>
        <w:tc>
          <w:tcPr>
            <w:tcW w:w="1560"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20 – 29</w:t>
            </w:r>
          </w:p>
        </w:tc>
        <w:tc>
          <w:tcPr>
            <w:tcW w:w="1559"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30 – 39</w:t>
            </w:r>
          </w:p>
        </w:tc>
        <w:tc>
          <w:tcPr>
            <w:tcW w:w="1560"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40 – 49</w:t>
            </w:r>
          </w:p>
        </w:tc>
      </w:tr>
      <w:tr>
        <w:trPr/>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Population</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1 403 318</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1 437 763</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1 721 149</w:t>
            </w:r>
          </w:p>
        </w:tc>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1 726 904</w:t>
            </w:r>
          </w:p>
        </w:tc>
        <w:tc>
          <w:tcPr>
            <w:tcW w:w="1560"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1 519 290</w:t>
            </w:r>
          </w:p>
        </w:tc>
      </w:tr>
      <w:tr>
        <w:trPr/>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Age group</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50 – 59</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60 – 69</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70 – 79</w:t>
            </w:r>
          </w:p>
        </w:tc>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80</w:t>
            </w:r>
          </w:p>
        </w:tc>
        <w:tc>
          <w:tcPr>
            <w:tcW w:w="1560" w:type="dxa"/>
            <w:tcBorders>
              <w:left w:val="single" w:sz="4" w:space="0" w:color="000000"/>
              <w:bottom w:val="single" w:sz="4" w:space="0" w:color="000000"/>
              <w:right w:val="single" w:sz="4" w:space="0" w:color="000000"/>
            </w:tcBorders>
          </w:tcPr>
          <w:p>
            <w:pPr>
              <w:pStyle w:val="LOnormal"/>
              <w:widowControl w:val="false"/>
              <w:jc w:val="left"/>
              <w:rPr>
                <w:rFonts w:ascii="Times New Roman" w:hAnsi="Times New Roman" w:eastAsia="Times New Roman" w:cs="Times New Roman"/>
                <w:b w:val="false"/>
                <w:b w:val="false"/>
                <w:i w:val="false"/>
                <w:i w:val="false"/>
                <w:strike w:val="false"/>
                <w:dstrike w:val="false"/>
                <w:color w:val="000000"/>
                <w:sz w:val="24"/>
                <w:szCs w:val="24"/>
                <w:u w:val="none"/>
              </w:rPr>
            </w:pPr>
            <w:r>
              <w:rPr>
                <w:rFonts w:eastAsia="Times New Roman" w:cs="Times New Roman" w:ascii="Times New Roman" w:hAnsi="Times New Roman"/>
                <w:b w:val="false"/>
                <w:i w:val="false"/>
                <w:strike w:val="false"/>
                <w:dstrike w:val="false"/>
                <w:color w:val="000000"/>
                <w:sz w:val="24"/>
                <w:szCs w:val="24"/>
                <w:u w:val="none"/>
              </w:rPr>
            </w:r>
          </w:p>
        </w:tc>
      </w:tr>
      <w:tr>
        <w:trPr/>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Population</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1 470 842</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1 166 751</w:t>
            </w:r>
          </w:p>
        </w:tc>
        <w:tc>
          <w:tcPr>
            <w:tcW w:w="156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650 898</w:t>
            </w:r>
          </w:p>
        </w:tc>
        <w:tc>
          <w:tcPr>
            <w:tcW w:w="155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326 058</w:t>
            </w:r>
          </w:p>
        </w:tc>
        <w:tc>
          <w:tcPr>
            <w:tcW w:w="1560" w:type="dxa"/>
            <w:tcBorders>
              <w:left w:val="single" w:sz="4" w:space="0" w:color="000000"/>
              <w:bottom w:val="single" w:sz="4" w:space="0" w:color="000000"/>
              <w:right w:val="single" w:sz="4" w:space="0" w:color="000000"/>
            </w:tcBorders>
          </w:tcPr>
          <w:p>
            <w:pPr>
              <w:pStyle w:val="LOnormal"/>
              <w:widowControl w:val="false"/>
              <w:jc w:val="left"/>
              <w:rPr>
                <w:rFonts w:ascii="Times New Roman" w:hAnsi="Times New Roman" w:eastAsia="Times New Roman" w:cs="Times New Roman"/>
                <w:b w:val="false"/>
                <w:b w:val="false"/>
                <w:i w:val="false"/>
                <w:i w:val="false"/>
                <w:strike w:val="false"/>
                <w:dstrike w:val="false"/>
                <w:color w:val="000000"/>
                <w:sz w:val="24"/>
                <w:szCs w:val="24"/>
                <w:u w:val="none"/>
              </w:rPr>
            </w:pPr>
            <w:r>
              <w:rPr>
                <w:rFonts w:eastAsia="Times New Roman" w:cs="Times New Roman" w:ascii="Times New Roman" w:hAnsi="Times New Roman"/>
                <w:b w:val="false"/>
                <w:i w:val="false"/>
                <w:strike w:val="false"/>
                <w:dstrike w:val="false"/>
                <w:color w:val="000000"/>
                <w:sz w:val="24"/>
                <w:szCs w:val="24"/>
                <w:u w:val="none"/>
              </w:rPr>
            </w:r>
          </w:p>
        </w:tc>
      </w:tr>
    </w:tbl>
    <w:p>
      <w:pPr>
        <w:pStyle w:val="LOnormal"/>
        <w:jc w:val="left"/>
        <w:rPr>
          <w:rFonts w:ascii="Times New Roman" w:hAnsi="Times New Roman" w:eastAsia="Times New Roman" w:cs="Times New Roman"/>
        </w:rPr>
      </w:pPr>
      <w:r>
        <w:rPr>
          <w:rFonts w:eastAsia="Times New Roman" w:cs="Times New Roman" w:ascii="Times New Roman" w:hAnsi="Times New Roman"/>
          <w:b/>
        </w:rPr>
        <w:t>Table S</w:t>
      </w:r>
      <w:r>
        <w:rPr>
          <w:rFonts w:eastAsia="Times New Roman" w:cs="Times New Roman" w:ascii="Times New Roman" w:hAnsi="Times New Roman"/>
          <w:b/>
          <w:color w:val="auto"/>
          <w:kern w:val="0"/>
          <w:sz w:val="24"/>
          <w:szCs w:val="24"/>
          <w:lang w:val="en-US" w:eastAsia="zh-CN" w:bidi="hi-IN"/>
        </w:rPr>
        <w:t>4</w:t>
      </w:r>
      <w:r>
        <w:rPr>
          <w:rFonts w:eastAsia="Times New Roman" w:cs="Times New Roman" w:ascii="Times New Roman" w:hAnsi="Times New Roman"/>
          <w:b/>
        </w:rPr>
        <w:t xml:space="preserve">: </w:t>
      </w:r>
      <w:r>
        <w:rPr>
          <w:rFonts w:eastAsia="Times New Roman" w:cs="Times New Roman" w:ascii="Times New Roman" w:hAnsi="Times New Roman"/>
          <w:b w:val="false"/>
          <w:bCs w:val="false"/>
        </w:rPr>
        <w:t>Age groups and respective population for the state of Rio Grande do Sul.</w:t>
      </w:r>
    </w:p>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LOnormal"/>
        <w:jc w:val="left"/>
        <w:rPr>
          <w:rFonts w:ascii="Times New Roman" w:hAnsi="Times New Roman" w:eastAsia="Times New Roman" w:cs="Times New Roman"/>
        </w:rPr>
      </w:pPr>
      <w:r>
        <w:rPr>
          <w:rFonts w:eastAsia="Times New Roman" w:cs="Times New Roman" w:ascii="Times New Roman" w:hAnsi="Times New Roman"/>
        </w:rPr>
      </w:r>
    </w:p>
    <w:tbl>
      <w:tblPr>
        <w:tblStyle w:val="Table6"/>
        <w:tblW w:w="9359" w:type="dxa"/>
        <w:jc w:val="left"/>
        <w:tblInd w:w="-5" w:type="dxa"/>
        <w:tblLayout w:type="fixed"/>
        <w:tblCellMar>
          <w:top w:w="0" w:type="dxa"/>
          <w:left w:w="108" w:type="dxa"/>
          <w:bottom w:w="0" w:type="dxa"/>
          <w:right w:w="108" w:type="dxa"/>
        </w:tblCellMar>
        <w:tblLook w:val="0000"/>
      </w:tblPr>
      <w:tblGrid>
        <w:gridCol w:w="2339"/>
        <w:gridCol w:w="2340"/>
        <w:gridCol w:w="2343"/>
        <w:gridCol w:w="2336"/>
      </w:tblGrid>
      <w:tr>
        <w:trPr/>
        <w:tc>
          <w:tcPr>
            <w:tcW w:w="2339"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City</w:t>
            </w:r>
          </w:p>
        </w:tc>
        <w:tc>
          <w:tcPr>
            <w:tcW w:w="2340"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Population</w:t>
            </w:r>
          </w:p>
        </w:tc>
        <w:tc>
          <w:tcPr>
            <w:tcW w:w="2343" w:type="dxa"/>
            <w:tcBorders>
              <w:top w:val="single" w:sz="4" w:space="0" w:color="000000"/>
              <w:left w:val="thickThinMediumGap" w:sz="2"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City</w:t>
            </w:r>
          </w:p>
        </w:tc>
        <w:tc>
          <w:tcPr>
            <w:tcW w:w="2336"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Population</w:t>
            </w:r>
          </w:p>
        </w:tc>
      </w:tr>
      <w:tr>
        <w:trPr/>
        <w:tc>
          <w:tcPr>
            <w:tcW w:w="233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Maceió</w:t>
            </w:r>
          </w:p>
        </w:tc>
        <w:tc>
          <w:tcPr>
            <w:tcW w:w="234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1 018 948</w:t>
            </w:r>
          </w:p>
        </w:tc>
        <w:tc>
          <w:tcPr>
            <w:tcW w:w="2343" w:type="dxa"/>
            <w:tcBorders>
              <w:left w:val="thickThinMediumGap" w:sz="2"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Curitiba</w:t>
            </w:r>
          </w:p>
        </w:tc>
        <w:tc>
          <w:tcPr>
            <w:tcW w:w="2336"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1 933 105</w:t>
            </w:r>
          </w:p>
        </w:tc>
      </w:tr>
      <w:tr>
        <w:trPr/>
        <w:tc>
          <w:tcPr>
            <w:tcW w:w="233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Manaus</w:t>
            </w:r>
          </w:p>
        </w:tc>
        <w:tc>
          <w:tcPr>
            <w:tcW w:w="234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2 182 763</w:t>
            </w:r>
          </w:p>
        </w:tc>
        <w:tc>
          <w:tcPr>
            <w:tcW w:w="2343" w:type="dxa"/>
            <w:tcBorders>
              <w:left w:val="thickThinMediumGap" w:sz="2"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Rio de Janeiro</w:t>
            </w:r>
          </w:p>
        </w:tc>
        <w:tc>
          <w:tcPr>
            <w:tcW w:w="2336"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6 718 903</w:t>
            </w:r>
          </w:p>
        </w:tc>
      </w:tr>
      <w:tr>
        <w:trPr/>
        <w:tc>
          <w:tcPr>
            <w:tcW w:w="233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Salvador</w:t>
            </w:r>
          </w:p>
        </w:tc>
        <w:tc>
          <w:tcPr>
            <w:tcW w:w="234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2 872 347</w:t>
            </w:r>
          </w:p>
        </w:tc>
        <w:tc>
          <w:tcPr>
            <w:tcW w:w="2343" w:type="dxa"/>
            <w:tcBorders>
              <w:left w:val="thickThinMediumGap" w:sz="2"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São Gonçalo</w:t>
            </w:r>
          </w:p>
        </w:tc>
        <w:tc>
          <w:tcPr>
            <w:tcW w:w="2336"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1 084 839</w:t>
            </w:r>
          </w:p>
        </w:tc>
      </w:tr>
      <w:tr>
        <w:trPr/>
        <w:tc>
          <w:tcPr>
            <w:tcW w:w="233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Fortaleza</w:t>
            </w:r>
          </w:p>
        </w:tc>
        <w:tc>
          <w:tcPr>
            <w:tcW w:w="234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2 669 342</w:t>
            </w:r>
          </w:p>
        </w:tc>
        <w:tc>
          <w:tcPr>
            <w:tcW w:w="2343" w:type="dxa"/>
            <w:tcBorders>
              <w:left w:val="thickThinMediumGap" w:sz="2"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Porto Alegre</w:t>
            </w:r>
          </w:p>
        </w:tc>
        <w:tc>
          <w:tcPr>
            <w:tcW w:w="2336"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1 483 771</w:t>
            </w:r>
          </w:p>
        </w:tc>
      </w:tr>
      <w:tr>
        <w:trPr/>
        <w:tc>
          <w:tcPr>
            <w:tcW w:w="233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Goiânia</w:t>
            </w:r>
          </w:p>
        </w:tc>
        <w:tc>
          <w:tcPr>
            <w:tcW w:w="234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1 516 113</w:t>
            </w:r>
          </w:p>
        </w:tc>
        <w:tc>
          <w:tcPr>
            <w:tcW w:w="2343" w:type="dxa"/>
            <w:tcBorders>
              <w:left w:val="thickThinMediumGap" w:sz="2"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Campinas</w:t>
            </w:r>
          </w:p>
        </w:tc>
        <w:tc>
          <w:tcPr>
            <w:tcW w:w="2336"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1 204 073</w:t>
            </w:r>
          </w:p>
        </w:tc>
      </w:tr>
      <w:tr>
        <w:trPr/>
        <w:tc>
          <w:tcPr>
            <w:tcW w:w="233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São Luís</w:t>
            </w:r>
          </w:p>
        </w:tc>
        <w:tc>
          <w:tcPr>
            <w:tcW w:w="234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1 101 884</w:t>
            </w:r>
          </w:p>
        </w:tc>
        <w:tc>
          <w:tcPr>
            <w:tcW w:w="2343" w:type="dxa"/>
            <w:tcBorders>
              <w:left w:val="thickThinMediumGap" w:sz="2"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Guarulhos</w:t>
            </w:r>
          </w:p>
        </w:tc>
        <w:tc>
          <w:tcPr>
            <w:tcW w:w="2336"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1 379 182</w:t>
            </w:r>
          </w:p>
        </w:tc>
      </w:tr>
      <w:tr>
        <w:trPr/>
        <w:tc>
          <w:tcPr>
            <w:tcW w:w="233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Belo Horizonte</w:t>
            </w:r>
          </w:p>
        </w:tc>
        <w:tc>
          <w:tcPr>
            <w:tcW w:w="234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2 512 070</w:t>
            </w:r>
          </w:p>
        </w:tc>
        <w:tc>
          <w:tcPr>
            <w:tcW w:w="2343" w:type="dxa"/>
            <w:tcBorders>
              <w:left w:val="thickThinMediumGap" w:sz="2"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São Paulo</w:t>
            </w:r>
          </w:p>
        </w:tc>
        <w:tc>
          <w:tcPr>
            <w:tcW w:w="2336"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12 252 023</w:t>
            </w:r>
          </w:p>
        </w:tc>
      </w:tr>
      <w:tr>
        <w:trPr/>
        <w:tc>
          <w:tcPr>
            <w:tcW w:w="233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Belém</w:t>
            </w:r>
          </w:p>
        </w:tc>
        <w:tc>
          <w:tcPr>
            <w:tcW w:w="234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1 492 745</w:t>
            </w:r>
          </w:p>
        </w:tc>
        <w:tc>
          <w:tcPr>
            <w:tcW w:w="2343" w:type="dxa"/>
            <w:tcBorders>
              <w:left w:val="thickThinMediumGap" w:sz="2"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Brasília</w:t>
            </w:r>
          </w:p>
        </w:tc>
        <w:tc>
          <w:tcPr>
            <w:tcW w:w="2336"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3 055 149</w:t>
            </w:r>
          </w:p>
        </w:tc>
      </w:tr>
      <w:tr>
        <w:trPr/>
        <w:tc>
          <w:tcPr>
            <w:tcW w:w="233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Recife</w:t>
            </w:r>
          </w:p>
        </w:tc>
        <w:tc>
          <w:tcPr>
            <w:tcW w:w="2340"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1 645 727</w:t>
            </w:r>
          </w:p>
        </w:tc>
        <w:tc>
          <w:tcPr>
            <w:tcW w:w="2343" w:type="dxa"/>
            <w:tcBorders>
              <w:left w:val="thickThinMediumGap" w:sz="2" w:space="0" w:color="000000"/>
              <w:bottom w:val="single" w:sz="4" w:space="0" w:color="000000"/>
            </w:tcBorders>
          </w:tcPr>
          <w:p>
            <w:pPr>
              <w:pStyle w:val="LOnormal"/>
              <w:widowControl w:val="false"/>
              <w:jc w:val="left"/>
              <w:rPr>
                <w:rFonts w:ascii="Times New Roman" w:hAnsi="Times New Roman" w:eastAsia="Times New Roman" w:cs="Times New Roman"/>
                <w:b w:val="false"/>
                <w:b w:val="false"/>
                <w:i w:val="false"/>
                <w:i w:val="false"/>
                <w:strike w:val="false"/>
                <w:dstrike w:val="false"/>
                <w:color w:val="000000"/>
                <w:sz w:val="24"/>
                <w:szCs w:val="24"/>
                <w:u w:val="none"/>
              </w:rPr>
            </w:pPr>
            <w:r>
              <w:rPr>
                <w:rFonts w:eastAsia="Times New Roman" w:cs="Times New Roman" w:ascii="Times New Roman" w:hAnsi="Times New Roman"/>
                <w:b w:val="false"/>
                <w:i w:val="false"/>
                <w:strike w:val="false"/>
                <w:dstrike w:val="false"/>
                <w:color w:val="000000"/>
                <w:sz w:val="24"/>
                <w:szCs w:val="24"/>
                <w:u w:val="none"/>
              </w:rPr>
            </w:r>
          </w:p>
        </w:tc>
        <w:tc>
          <w:tcPr>
            <w:tcW w:w="2336" w:type="dxa"/>
            <w:tcBorders>
              <w:left w:val="single" w:sz="4" w:space="0" w:color="000000"/>
              <w:bottom w:val="single" w:sz="4" w:space="0" w:color="000000"/>
              <w:right w:val="single" w:sz="4" w:space="0" w:color="000000"/>
            </w:tcBorders>
          </w:tcPr>
          <w:p>
            <w:pPr>
              <w:pStyle w:val="LOnormal"/>
              <w:widowControl w:val="false"/>
              <w:jc w:val="left"/>
              <w:rPr>
                <w:rFonts w:ascii="Times New Roman" w:hAnsi="Times New Roman" w:eastAsia="Times New Roman" w:cs="Times New Roman"/>
                <w:b w:val="false"/>
                <w:b w:val="false"/>
                <w:i w:val="false"/>
                <w:i w:val="false"/>
                <w:strike w:val="false"/>
                <w:dstrike w:val="false"/>
                <w:color w:val="000000"/>
                <w:sz w:val="24"/>
                <w:szCs w:val="24"/>
                <w:u w:val="none"/>
              </w:rPr>
            </w:pPr>
            <w:r>
              <w:rPr>
                <w:rFonts w:eastAsia="Times New Roman" w:cs="Times New Roman" w:ascii="Times New Roman" w:hAnsi="Times New Roman"/>
                <w:b w:val="false"/>
                <w:i w:val="false"/>
                <w:strike w:val="false"/>
                <w:dstrike w:val="false"/>
                <w:color w:val="000000"/>
                <w:sz w:val="24"/>
                <w:szCs w:val="24"/>
                <w:u w:val="none"/>
              </w:rPr>
            </w:r>
          </w:p>
        </w:tc>
      </w:tr>
    </w:tbl>
    <w:p>
      <w:pPr>
        <w:pStyle w:val="LOnormal"/>
        <w:tabs>
          <w:tab w:val="clear" w:pos="720"/>
          <w:tab w:val="left" w:pos="0" w:leader="none"/>
        </w:tabs>
        <w:ind w:left="0" w:hanging="0"/>
        <w:jc w:val="left"/>
        <w:rPr>
          <w:rFonts w:ascii="Times New Roman" w:hAnsi="Times New Roman" w:eastAsia="Times New Roman" w:cs="Times New Roman"/>
        </w:rPr>
      </w:pPr>
      <w:r>
        <w:rPr>
          <w:rFonts w:eastAsia="Times New Roman" w:cs="Times New Roman" w:ascii="Times New Roman" w:hAnsi="Times New Roman"/>
        </w:rPr>
      </w:r>
    </w:p>
    <w:p>
      <w:pPr>
        <w:pStyle w:val="LOnormal"/>
        <w:tabs>
          <w:tab w:val="clear" w:pos="720"/>
          <w:tab w:val="left" w:pos="0" w:leader="none"/>
        </w:tabs>
        <w:ind w:left="0" w:hanging="0"/>
        <w:jc w:val="left"/>
        <w:rPr>
          <w:rFonts w:ascii="Times New Roman" w:hAnsi="Times New Roman" w:eastAsia="Times New Roman" w:cs="Times New Roman"/>
        </w:rPr>
      </w:pPr>
      <w:r>
        <w:rPr>
          <w:rFonts w:eastAsia="Times New Roman" w:cs="Times New Roman" w:ascii="Times New Roman" w:hAnsi="Times New Roman"/>
          <w:b/>
        </w:rPr>
        <w:t>Table S</w:t>
      </w:r>
      <w:r>
        <w:rPr>
          <w:rFonts w:eastAsia="Times New Roman" w:cs="Times New Roman" w:ascii="Times New Roman" w:hAnsi="Times New Roman"/>
          <w:b/>
          <w:color w:val="auto"/>
          <w:kern w:val="0"/>
          <w:sz w:val="24"/>
          <w:szCs w:val="24"/>
          <w:lang w:val="en-US" w:eastAsia="zh-CN" w:bidi="hi-IN"/>
        </w:rPr>
        <w:t>5</w:t>
      </w:r>
      <w:r>
        <w:rPr>
          <w:rFonts w:eastAsia="Times New Roman" w:cs="Times New Roman" w:ascii="Times New Roman" w:hAnsi="Times New Roman"/>
          <w:b/>
        </w:rPr>
        <w:t xml:space="preserve">: </w:t>
      </w:r>
      <w:r>
        <w:rPr>
          <w:rFonts w:eastAsia="Times New Roman" w:cs="Times New Roman" w:ascii="Times New Roman" w:hAnsi="Times New Roman"/>
          <w:b w:val="false"/>
          <w:bCs w:val="false"/>
        </w:rPr>
        <w:t>Brazilian municipalities with a population over one million and the respective total population.</w:t>
      </w:r>
    </w:p>
    <w:p>
      <w:pPr>
        <w:pStyle w:val="LOnormal"/>
        <w:tabs>
          <w:tab w:val="clear" w:pos="720"/>
          <w:tab w:val="left" w:pos="0" w:leader="none"/>
        </w:tabs>
        <w:ind w:left="0" w:hanging="0"/>
        <w:jc w:val="left"/>
        <w:rPr>
          <w:rFonts w:ascii="Times New Roman" w:hAnsi="Times New Roman" w:eastAsia="Times New Roman" w:cs="Times New Roman"/>
          <w:b/>
          <w:b/>
        </w:rPr>
      </w:pPr>
      <w:r>
        <w:rPr>
          <w:rFonts w:eastAsia="Times New Roman" w:cs="Times New Roman" w:ascii="Times New Roman" w:hAnsi="Times New Roman"/>
          <w:b/>
        </w:rPr>
      </w:r>
    </w:p>
    <w:p>
      <w:pPr>
        <w:pStyle w:val="LOnormal"/>
        <w:tabs>
          <w:tab w:val="clear" w:pos="720"/>
          <w:tab w:val="left" w:pos="0" w:leader="none"/>
        </w:tabs>
        <w:ind w:left="0" w:hanging="0"/>
        <w:jc w:val="left"/>
        <w:rPr>
          <w:rFonts w:ascii="Times New Roman" w:hAnsi="Times New Roman" w:eastAsia="Times New Roman" w:cs="Times New Roman"/>
        </w:rPr>
      </w:pPr>
      <w:r>
        <w:rPr>
          <w:rFonts w:eastAsia="Times New Roman" w:cs="Times New Roman" w:ascii="Times New Roman" w:hAnsi="Times New Roman"/>
        </w:rPr>
      </w:r>
    </w:p>
    <w:p>
      <w:pPr>
        <w:pStyle w:val="LOnormal"/>
        <w:tabs>
          <w:tab w:val="clear" w:pos="720"/>
          <w:tab w:val="left" w:pos="0" w:leader="none"/>
        </w:tabs>
        <w:ind w:left="0" w:hanging="0"/>
        <w:jc w:val="left"/>
        <w:rPr>
          <w:rFonts w:ascii="Times New Roman" w:hAnsi="Times New Roman" w:eastAsia="Times New Roman" w:cs="Times New Roman"/>
        </w:rPr>
      </w:pPr>
      <w:r>
        <w:rPr>
          <w:rFonts w:eastAsia="Times New Roman" w:cs="Times New Roman" w:ascii="Times New Roman" w:hAnsi="Times New Roman"/>
        </w:rPr>
      </w:r>
    </w:p>
    <w:tbl>
      <w:tblPr>
        <w:tblStyle w:val="Table7"/>
        <w:tblW w:w="9334" w:type="dxa"/>
        <w:jc w:val="left"/>
        <w:tblInd w:w="20" w:type="dxa"/>
        <w:tblLayout w:type="fixed"/>
        <w:tblCellMar>
          <w:top w:w="0" w:type="dxa"/>
          <w:left w:w="108" w:type="dxa"/>
          <w:bottom w:w="0" w:type="dxa"/>
          <w:right w:w="108" w:type="dxa"/>
        </w:tblCellMar>
        <w:tblLook w:val="0000"/>
      </w:tblPr>
      <w:tblGrid>
        <w:gridCol w:w="1527"/>
        <w:gridCol w:w="1564"/>
        <w:gridCol w:w="1563"/>
        <w:gridCol w:w="1555"/>
        <w:gridCol w:w="1569"/>
        <w:gridCol w:w="1555"/>
      </w:tblGrid>
      <w:tr>
        <w:trPr/>
        <w:tc>
          <w:tcPr>
            <w:tcW w:w="1527"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Age group</w:t>
            </w:r>
          </w:p>
        </w:tc>
        <w:tc>
          <w:tcPr>
            <w:tcW w:w="1564"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0 – 9</w:t>
            </w:r>
          </w:p>
        </w:tc>
        <w:tc>
          <w:tcPr>
            <w:tcW w:w="1563"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10 – 19</w:t>
            </w:r>
          </w:p>
        </w:tc>
        <w:tc>
          <w:tcPr>
            <w:tcW w:w="1555"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20 – 29</w:t>
            </w:r>
          </w:p>
        </w:tc>
        <w:tc>
          <w:tcPr>
            <w:tcW w:w="1569"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30 – 39</w:t>
            </w:r>
          </w:p>
        </w:tc>
        <w:tc>
          <w:tcPr>
            <w:tcW w:w="1555"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40 – 49</w:t>
            </w:r>
          </w:p>
        </w:tc>
      </w:tr>
      <w:tr>
        <w:trPr/>
        <w:tc>
          <w:tcPr>
            <w:tcW w:w="1527"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Population</w:t>
            </w:r>
          </w:p>
        </w:tc>
        <w:tc>
          <w:tcPr>
            <w:tcW w:w="156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1 403 318</w:t>
            </w:r>
          </w:p>
        </w:tc>
        <w:tc>
          <w:tcPr>
            <w:tcW w:w="1563"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1 437 763</w:t>
            </w:r>
          </w:p>
        </w:tc>
        <w:tc>
          <w:tcPr>
            <w:tcW w:w="1555"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1 721 149</w:t>
            </w:r>
          </w:p>
        </w:tc>
        <w:tc>
          <w:tcPr>
            <w:tcW w:w="156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1 726 904</w:t>
            </w:r>
          </w:p>
        </w:tc>
        <w:tc>
          <w:tcPr>
            <w:tcW w:w="155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1 519 290</w:t>
            </w:r>
          </w:p>
        </w:tc>
      </w:tr>
      <w:tr>
        <w:trPr/>
        <w:tc>
          <w:tcPr>
            <w:tcW w:w="1527"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Age group</w:t>
            </w:r>
          </w:p>
        </w:tc>
        <w:tc>
          <w:tcPr>
            <w:tcW w:w="156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50 – 59</w:t>
            </w:r>
          </w:p>
        </w:tc>
        <w:tc>
          <w:tcPr>
            <w:tcW w:w="1563"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60 – 69</w:t>
            </w:r>
          </w:p>
        </w:tc>
        <w:tc>
          <w:tcPr>
            <w:tcW w:w="1555"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70 – 79</w:t>
            </w:r>
          </w:p>
        </w:tc>
        <w:tc>
          <w:tcPr>
            <w:tcW w:w="156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m:oMath xmlns:m="http://schemas.openxmlformats.org/officeDocument/2006/math"/>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80</w:t>
            </w:r>
          </w:p>
        </w:tc>
        <w:tc>
          <w:tcPr>
            <w:tcW w:w="1555" w:type="dxa"/>
            <w:tcBorders>
              <w:left w:val="single" w:sz="4" w:space="0" w:color="000000"/>
              <w:bottom w:val="single" w:sz="4" w:space="0" w:color="000000"/>
              <w:right w:val="single" w:sz="4" w:space="0" w:color="000000"/>
            </w:tcBorders>
          </w:tcPr>
          <w:p>
            <w:pPr>
              <w:pStyle w:val="LOnormal"/>
              <w:widowControl w:val="false"/>
              <w:jc w:val="left"/>
              <w:rPr>
                <w:rFonts w:ascii="Times New Roman" w:hAnsi="Times New Roman" w:eastAsia="Times New Roman" w:cs="Times New Roman"/>
                <w:b w:val="false"/>
                <w:b w:val="false"/>
                <w:i w:val="false"/>
                <w:i w:val="false"/>
                <w:strike w:val="false"/>
                <w:dstrike w:val="false"/>
                <w:color w:val="000000"/>
                <w:sz w:val="24"/>
                <w:szCs w:val="24"/>
                <w:u w:val="none"/>
              </w:rPr>
            </w:pPr>
            <w:r>
              <w:rPr>
                <w:rFonts w:eastAsia="Times New Roman" w:cs="Times New Roman" w:ascii="Times New Roman" w:hAnsi="Times New Roman"/>
                <w:b w:val="false"/>
                <w:i w:val="false"/>
                <w:strike w:val="false"/>
                <w:dstrike w:val="false"/>
                <w:color w:val="000000"/>
                <w:sz w:val="24"/>
                <w:szCs w:val="24"/>
                <w:u w:val="none"/>
              </w:rPr>
            </w:r>
          </w:p>
        </w:tc>
      </w:tr>
      <w:tr>
        <w:trPr/>
        <w:tc>
          <w:tcPr>
            <w:tcW w:w="1527"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Population</w:t>
            </w:r>
          </w:p>
        </w:tc>
        <w:tc>
          <w:tcPr>
            <w:tcW w:w="1564"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1 470 842</w:t>
            </w:r>
          </w:p>
        </w:tc>
        <w:tc>
          <w:tcPr>
            <w:tcW w:w="1563"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1 166 751</w:t>
            </w:r>
          </w:p>
        </w:tc>
        <w:tc>
          <w:tcPr>
            <w:tcW w:w="1555"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650 898</w:t>
            </w:r>
          </w:p>
        </w:tc>
        <w:tc>
          <w:tcPr>
            <w:tcW w:w="1569"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43"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326 058</w:t>
            </w:r>
          </w:p>
        </w:tc>
        <w:tc>
          <w:tcPr>
            <w:tcW w:w="1555" w:type="dxa"/>
            <w:tcBorders>
              <w:left w:val="single" w:sz="4" w:space="0" w:color="000000"/>
              <w:bottom w:val="single" w:sz="4" w:space="0" w:color="000000"/>
              <w:right w:val="single" w:sz="4" w:space="0" w:color="000000"/>
            </w:tcBorders>
          </w:tcPr>
          <w:p>
            <w:pPr>
              <w:pStyle w:val="LOnormal"/>
              <w:widowControl w:val="false"/>
              <w:jc w:val="left"/>
              <w:rPr>
                <w:rFonts w:ascii="Times New Roman" w:hAnsi="Times New Roman" w:eastAsia="Times New Roman" w:cs="Times New Roman"/>
                <w:b w:val="false"/>
                <w:b w:val="false"/>
                <w:i w:val="false"/>
                <w:i w:val="false"/>
                <w:strike w:val="false"/>
                <w:dstrike w:val="false"/>
                <w:color w:val="000000"/>
                <w:sz w:val="24"/>
                <w:szCs w:val="24"/>
                <w:u w:val="none"/>
              </w:rPr>
            </w:pPr>
            <w:r>
              <w:rPr>
                <w:rFonts w:eastAsia="Times New Roman" w:cs="Times New Roman" w:ascii="Times New Roman" w:hAnsi="Times New Roman"/>
                <w:b w:val="false"/>
                <w:i w:val="false"/>
                <w:strike w:val="false"/>
                <w:dstrike w:val="false"/>
                <w:color w:val="000000"/>
                <w:sz w:val="24"/>
                <w:szCs w:val="24"/>
                <w:u w:val="none"/>
              </w:rPr>
            </w:r>
          </w:p>
        </w:tc>
      </w:tr>
    </w:tbl>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LOnormal"/>
        <w:jc w:val="left"/>
        <w:rPr>
          <w:rFonts w:ascii="Times New Roman" w:hAnsi="Times New Roman" w:eastAsia="Times New Roman" w:cs="Times New Roman"/>
        </w:rPr>
      </w:pPr>
      <w:r>
        <w:rPr>
          <w:rFonts w:eastAsia="Times New Roman" w:cs="Times New Roman" w:ascii="Times New Roman" w:hAnsi="Times New Roman"/>
          <w:b/>
        </w:rPr>
        <w:t>Table S</w:t>
      </w:r>
      <w:r>
        <w:rPr>
          <w:rFonts w:eastAsia="Times New Roman" w:cs="Times New Roman" w:ascii="Times New Roman" w:hAnsi="Times New Roman"/>
          <w:b/>
          <w:color w:val="auto"/>
          <w:kern w:val="0"/>
          <w:sz w:val="24"/>
          <w:szCs w:val="24"/>
          <w:lang w:val="en-US" w:eastAsia="zh-CN" w:bidi="hi-IN"/>
        </w:rPr>
        <w:t>6</w:t>
      </w:r>
      <w:r>
        <w:rPr>
          <w:rFonts w:eastAsia="Times New Roman" w:cs="Times New Roman" w:ascii="Times New Roman" w:hAnsi="Times New Roman"/>
          <w:b/>
        </w:rPr>
        <w:t xml:space="preserve">: </w:t>
      </w:r>
      <w:r>
        <w:rPr>
          <w:rFonts w:eastAsia="Times New Roman" w:cs="Times New Roman" w:ascii="Times New Roman" w:hAnsi="Times New Roman"/>
          <w:b w:val="false"/>
          <w:bCs w:val="false"/>
        </w:rPr>
        <w:t>Age groups and respective population for the state of Rio Grande do Sul.</w:t>
      </w:r>
    </w:p>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LOnormal"/>
        <w:jc w:val="left"/>
        <w:rPr>
          <w:rFonts w:ascii="Times New Roman" w:hAnsi="Times New Roman" w:eastAsia="Times New Roman" w:cs="Times New Roman"/>
        </w:rPr>
      </w:pPr>
      <w:r>
        <w:rPr>
          <w:rFonts w:eastAsia="Times New Roman" w:cs="Times New Roman" w:ascii="Times New Roman" w:hAnsi="Times New Roman"/>
        </w:rPr>
      </w:r>
    </w:p>
    <w:p>
      <w:pPr>
        <w:pStyle w:val="LOnormal"/>
        <w:keepNext w:val="false"/>
        <w:keepLines w:val="false"/>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Attack rate in each Brazilian state</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w:t>
      </w:r>
    </w:p>
    <w:tbl>
      <w:tblPr>
        <w:tblStyle w:val="Table8"/>
        <w:tblW w:w="8443" w:type="dxa"/>
        <w:jc w:val="left"/>
        <w:tblInd w:w="285" w:type="dxa"/>
        <w:tblLayout w:type="fixed"/>
        <w:tblCellMar>
          <w:top w:w="0" w:type="dxa"/>
          <w:left w:w="108" w:type="dxa"/>
          <w:bottom w:w="0" w:type="dxa"/>
          <w:right w:w="108" w:type="dxa"/>
        </w:tblCellMar>
        <w:tblLook w:val="0000"/>
      </w:tblPr>
      <w:tblGrid>
        <w:gridCol w:w="1646"/>
        <w:gridCol w:w="842"/>
        <w:gridCol w:w="2045"/>
        <w:gridCol w:w="851"/>
        <w:gridCol w:w="2153"/>
        <w:gridCol w:w="905"/>
      </w:tblGrid>
      <w:tr>
        <w:trPr/>
        <w:tc>
          <w:tcPr>
            <w:tcW w:w="1646"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State</w:t>
            </w:r>
          </w:p>
        </w:tc>
        <w:tc>
          <w:tcPr>
            <w:tcW w:w="842"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AR %</w:t>
            </w:r>
          </w:p>
        </w:tc>
        <w:tc>
          <w:tcPr>
            <w:tcW w:w="2045"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State</w:t>
            </w:r>
          </w:p>
        </w:tc>
        <w:tc>
          <w:tcPr>
            <w:tcW w:w="851"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AR %</w:t>
            </w:r>
          </w:p>
        </w:tc>
        <w:tc>
          <w:tcPr>
            <w:tcW w:w="2153"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State</w:t>
            </w:r>
          </w:p>
        </w:tc>
        <w:tc>
          <w:tcPr>
            <w:tcW w:w="905"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AR %</w:t>
            </w:r>
          </w:p>
        </w:tc>
      </w:tr>
      <w:tr>
        <w:trPr>
          <w:trHeight w:val="415" w:hRule="atLeast"/>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Acre</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highlight w:val="white"/>
                <w:u w:val="none"/>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12.2</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Maranhão</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9.8</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Rio de Janeiro</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30.1</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Alagoas</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11.9</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Mato Grosso</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27.5</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Rio Grande do Norte</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13.3</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Amapá</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16.2</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Mato Grosso do Sul</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18.6</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Rio Grande do Sul</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15.5</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Amazonas</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21.9</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Minas Gerais</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12.5</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Rondônia</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14.9</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Bahia</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9.6</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Pará</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11.1</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Roraima</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18.9</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Ceará</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16.5</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Paraíba</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14.3</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Santa Catarina</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14.9</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Distrito Federal</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29.1</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Paraná</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14.4</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São Paulo</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21.0</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Espírito Santo</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26.8</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Pernambuco</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15.5</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Sergipe</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17.5</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Goiás</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19.5</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Piauí</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13.5</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Tocantins</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16.4</w:t>
            </w:r>
          </w:p>
        </w:tc>
      </w:tr>
    </w:tbl>
    <w:p>
      <w:pPr>
        <w:pStyle w:val="LOnormal"/>
        <w:keepNext w:val="false"/>
        <w:keepLines w:val="false"/>
        <w:widowControl/>
        <w:shd w:val="clear" w:fill="auto"/>
        <w:spacing w:lineRule="auto" w:line="276" w:before="0" w:after="14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Table S</w:t>
      </w:r>
      <w:r>
        <w:rPr>
          <w:rFonts w:eastAsia="Times New Roman" w:cs="Times New Roman" w:ascii="Times New Roman" w:hAnsi="Times New Roman"/>
          <w:b/>
          <w:i w:val="false"/>
          <w:caps w:val="false"/>
          <w:smallCaps w:val="false"/>
          <w:strike w:val="false"/>
          <w:dstrike w:val="false"/>
          <w:color w:val="000000"/>
          <w:kern w:val="0"/>
          <w:position w:val="0"/>
          <w:sz w:val="24"/>
          <w:sz w:val="24"/>
          <w:szCs w:val="24"/>
          <w:u w:val="none"/>
          <w:shd w:fill="auto" w:val="clear"/>
          <w:vertAlign w:val="baseline"/>
          <w:lang w:val="en-US" w:eastAsia="zh-CN" w:bidi="hi-IN"/>
        </w:rPr>
        <w:t>7</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b w:val="false"/>
          <w:bCs w:val="false"/>
          <w:i w:val="false"/>
          <w:caps w:val="false"/>
          <w:smallCaps w:val="false"/>
          <w:strike w:val="false"/>
          <w:dstrike w:val="false"/>
          <w:color w:val="000000"/>
          <w:position w:val="0"/>
          <w:sz w:val="24"/>
          <w:sz w:val="24"/>
          <w:szCs w:val="24"/>
          <w:u w:val="none"/>
          <w:shd w:fill="auto" w:val="clear"/>
          <w:vertAlign w:val="baseline"/>
        </w:rPr>
        <w:t>Attack rate estimated in each Brazilian state at January, 1</w:t>
      </w:r>
      <w:r>
        <w:rPr>
          <w:rFonts w:eastAsia="Times New Roman" w:cs="Times New Roman" w:ascii="Times New Roman" w:hAnsi="Times New Roman"/>
          <w:b w:val="false"/>
          <w:bCs w:val="false"/>
          <w:i w:val="false"/>
          <w:caps w:val="false"/>
          <w:smallCaps w:val="false"/>
          <w:strike w:val="false"/>
          <w:dstrike w:val="false"/>
          <w:color w:val="000000"/>
          <w:sz w:val="24"/>
          <w:szCs w:val="24"/>
          <w:u w:val="none"/>
          <w:shd w:fill="auto" w:val="clear"/>
          <w:vertAlign w:val="superscript"/>
        </w:rPr>
        <w:t>st</w:t>
      </w:r>
      <w:r>
        <w:rPr>
          <w:rFonts w:eastAsia="Times New Roman" w:cs="Times New Roman" w:ascii="Times New Roman" w:hAnsi="Times New Roman"/>
          <w:b w:val="false"/>
          <w:bCs w:val="false"/>
          <w:i w:val="false"/>
          <w:caps w:val="false"/>
          <w:smallCaps w:val="false"/>
          <w:strike w:val="false"/>
          <w:dstrike w:val="false"/>
          <w:color w:val="000000"/>
          <w:position w:val="0"/>
          <w:sz w:val="24"/>
          <w:sz w:val="24"/>
          <w:szCs w:val="24"/>
          <w:u w:val="none"/>
          <w:shd w:fill="auto" w:val="clear"/>
          <w:vertAlign w:val="baseline"/>
        </w:rPr>
        <w:t xml:space="preserve"> 2021.</w:t>
      </w:r>
    </w:p>
    <w:p>
      <w:pPr>
        <w:pStyle w:val="LOnormal"/>
        <w:keepNext w:val="false"/>
        <w:keepLines w:val="false"/>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Liberation Serif" w:hAnsi="Liberation Serif" w:eastAsia="Liberation Serif" w:cs="Liberation Serif"/>
          <w:b/>
          <w:b/>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i w:val="false"/>
          <w:caps w:val="false"/>
          <w:smallCaps w:val="false"/>
          <w:strike w:val="false"/>
          <w:dstrike w:val="false"/>
          <w:color w:val="000000"/>
          <w:position w:val="0"/>
          <w:sz w:val="24"/>
          <w:sz w:val="24"/>
          <w:szCs w:val="24"/>
          <w:u w:val="none"/>
          <w:shd w:fill="auto" w:val="clear"/>
          <w:vertAlign w:val="baseline"/>
        </w:rPr>
      </w:r>
    </w:p>
    <w:tbl>
      <w:tblPr>
        <w:tblStyle w:val="Table9"/>
        <w:tblW w:w="8443" w:type="dxa"/>
        <w:jc w:val="left"/>
        <w:tblInd w:w="285" w:type="dxa"/>
        <w:tblLayout w:type="fixed"/>
        <w:tblCellMar>
          <w:top w:w="0" w:type="dxa"/>
          <w:left w:w="108" w:type="dxa"/>
          <w:bottom w:w="0" w:type="dxa"/>
          <w:right w:w="108" w:type="dxa"/>
        </w:tblCellMar>
        <w:tblLook w:val="0000"/>
      </w:tblPr>
      <w:tblGrid>
        <w:gridCol w:w="1646"/>
        <w:gridCol w:w="842"/>
        <w:gridCol w:w="2045"/>
        <w:gridCol w:w="851"/>
        <w:gridCol w:w="2153"/>
        <w:gridCol w:w="905"/>
      </w:tblGrid>
      <w:tr>
        <w:trPr/>
        <w:tc>
          <w:tcPr>
            <w:tcW w:w="1646"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State</w:t>
            </w:r>
          </w:p>
        </w:tc>
        <w:tc>
          <w:tcPr>
            <w:tcW w:w="842"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AR %</w:t>
            </w:r>
          </w:p>
        </w:tc>
        <w:tc>
          <w:tcPr>
            <w:tcW w:w="2045"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State</w:t>
            </w:r>
          </w:p>
        </w:tc>
        <w:tc>
          <w:tcPr>
            <w:tcW w:w="851"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AR %</w:t>
            </w:r>
          </w:p>
        </w:tc>
        <w:tc>
          <w:tcPr>
            <w:tcW w:w="2153" w:type="dxa"/>
            <w:tcBorders>
              <w:top w:val="single" w:sz="4" w:space="0" w:color="000000"/>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State</w:t>
            </w:r>
          </w:p>
        </w:tc>
        <w:tc>
          <w:tcPr>
            <w:tcW w:w="905" w:type="dxa"/>
            <w:tcBorders>
              <w:top w:val="single" w:sz="4" w:space="0" w:color="000000"/>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AR %</w:t>
            </w:r>
          </w:p>
        </w:tc>
      </w:tr>
      <w:tr>
        <w:trPr>
          <w:trHeight w:val="415" w:hRule="atLeast"/>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Acre</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highlight w:val="white"/>
                <w:u w:val="none"/>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30.8</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Maranhão</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20.7</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Rio de Janeiro</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62.6</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Alagoas</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26.5</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Mato Grosso</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77.1</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Rio Grande do Norte</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31.2</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Amapá</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36.1</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Mato Grosso do Sul</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61.2</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Rio Grande do Sul</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49.1</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Amazonas</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54.9</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Minas Gerais</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46.2</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Rondônia</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54.3</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Bahia</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26.1</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Pará</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28.0</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Roraima</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50.9</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Ceará</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41.1</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Paraíba</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34.4</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Santa Catarina</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43.9</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Distrito Federal</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40" w:before="0" w:after="0"/>
              <w:ind w:left="0" w:right="43"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71.6</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Paraná</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51.0</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São Paulo</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55.5</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Espírito Santo</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61.8</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Pernambuco</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29.2</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Sergipe</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44.0</w:t>
            </w:r>
          </w:p>
        </w:tc>
      </w:tr>
      <w:tr>
        <w:trPr/>
        <w:tc>
          <w:tcPr>
            <w:tcW w:w="1646"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Goiás</w:t>
            </w:r>
          </w:p>
        </w:tc>
        <w:tc>
          <w:tcPr>
            <w:tcW w:w="842"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59.9</w:t>
            </w:r>
          </w:p>
        </w:tc>
        <w:tc>
          <w:tcPr>
            <w:tcW w:w="2045"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Piauí</w:t>
            </w:r>
          </w:p>
        </w:tc>
        <w:tc>
          <w:tcPr>
            <w:tcW w:w="851"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34.8</w:t>
            </w:r>
          </w:p>
        </w:tc>
        <w:tc>
          <w:tcPr>
            <w:tcW w:w="2153" w:type="dxa"/>
            <w:tcBorders>
              <w:left w:val="single" w:sz="4" w:space="0" w:color="000000"/>
              <w:bottom w:val="single" w:sz="4" w:space="0" w:color="000000"/>
            </w:tcBorders>
          </w:tcPr>
          <w:p>
            <w:pPr>
              <w:pStyle w:val="LOnormal"/>
              <w:keepNext w:val="false"/>
              <w:keepLines w:val="false"/>
              <w:widowControl w:val="false"/>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Tocantins</w:t>
            </w:r>
          </w:p>
        </w:tc>
        <w:tc>
          <w:tcPr>
            <w:tcW w:w="905" w:type="dxa"/>
            <w:tcBorders>
              <w:left w:val="single" w:sz="4" w:space="0" w:color="000000"/>
              <w:bottom w:val="single" w:sz="4" w:space="0" w:color="000000"/>
              <w:right w:val="single" w:sz="4" w:space="0" w:color="000000"/>
            </w:tcBorders>
          </w:tcPr>
          <w:p>
            <w:pPr>
              <w:pStyle w:val="LOnormal"/>
              <w:keepNext w:val="false"/>
              <w:keepLines w:val="false"/>
              <w:widowControl w:val="false"/>
              <w:shd w:val="clear" w:fill="auto"/>
              <w:spacing w:lineRule="auto" w:line="276" w:before="86" w:after="86"/>
              <w:ind w:left="0" w:right="0" w:hanging="0"/>
              <w:jc w:val="center"/>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43.6</w:t>
            </w:r>
          </w:p>
        </w:tc>
      </w:tr>
    </w:tbl>
    <w:p>
      <w:pPr>
        <w:pStyle w:val="LOnormal"/>
        <w:keepNext w:val="false"/>
        <w:keepLines w:val="false"/>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Table S</w:t>
      </w:r>
      <w:r>
        <w:rPr>
          <w:rFonts w:eastAsia="Times New Roman" w:cs="Times New Roman" w:ascii="Times New Roman" w:hAnsi="Times New Roman"/>
          <w:b/>
          <w:i w:val="false"/>
          <w:caps w:val="false"/>
          <w:smallCaps w:val="false"/>
          <w:strike w:val="false"/>
          <w:dstrike w:val="false"/>
          <w:color w:val="000000"/>
          <w:kern w:val="0"/>
          <w:position w:val="0"/>
          <w:sz w:val="24"/>
          <w:sz w:val="24"/>
          <w:szCs w:val="24"/>
          <w:u w:val="none"/>
          <w:shd w:fill="auto" w:val="clear"/>
          <w:vertAlign w:val="baseline"/>
          <w:lang w:val="en-US" w:eastAsia="zh-CN" w:bidi="hi-IN"/>
        </w:rPr>
        <w:t>8</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b w:val="false"/>
          <w:bCs w:val="false"/>
          <w:i w:val="false"/>
          <w:caps w:val="false"/>
          <w:smallCaps w:val="false"/>
          <w:strike w:val="false"/>
          <w:dstrike w:val="false"/>
          <w:color w:val="000000"/>
          <w:position w:val="0"/>
          <w:sz w:val="24"/>
          <w:sz w:val="24"/>
          <w:szCs w:val="24"/>
          <w:u w:val="none"/>
          <w:shd w:fill="auto" w:val="clear"/>
          <w:vertAlign w:val="baseline"/>
        </w:rPr>
        <w:t xml:space="preserve">Attack Rate (AR) estimated in each Brazilian state </w:t>
      </w:r>
      <w:r>
        <w:rPr>
          <w:rFonts w:eastAsia="Times New Roman" w:cs="Times New Roman" w:ascii="Times New Roman" w:hAnsi="Times New Roman"/>
          <w:b w:val="false"/>
          <w:bCs w:val="false"/>
        </w:rPr>
        <w:t>on May</w:t>
      </w:r>
      <w:r>
        <w:rPr>
          <w:rFonts w:eastAsia="Times New Roman" w:cs="Times New Roman" w:ascii="Times New Roman" w:hAnsi="Times New Roman"/>
          <w:b w:val="false"/>
          <w:bCs w:val="false"/>
          <w:i w:val="false"/>
          <w:caps w:val="false"/>
          <w:smallCaps w:val="false"/>
          <w:strike w:val="false"/>
          <w:dstrike w:val="false"/>
          <w:color w:val="000000"/>
          <w:position w:val="0"/>
          <w:sz w:val="24"/>
          <w:sz w:val="24"/>
          <w:szCs w:val="24"/>
          <w:u w:val="none"/>
          <w:shd w:fill="auto" w:val="clear"/>
          <w:vertAlign w:val="baseline"/>
        </w:rPr>
        <w:t>, 23 2021. These values are possibly overestimated due to an expected increase in mortality due to the overwhelming of the health system during a pronounced second wave in 2021. An increase in mortality due to new variants is also a possibility.</w:t>
      </w:r>
    </w:p>
    <w:p>
      <w:pPr>
        <w:pStyle w:val="LOnormal"/>
        <w:keepNext w:val="false"/>
        <w:keepLines w:val="false"/>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keepNext w:val="false"/>
        <w:keepLines w:val="false"/>
        <w:widowControl/>
        <w:shd w:val="clear" w:fill="auto"/>
        <w:spacing w:lineRule="auto" w:line="276"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Supplementary references:</w:t>
      </w:r>
    </w:p>
    <w:p>
      <w:pPr>
        <w:pStyle w:val="LOnormal"/>
        <w:keepNext w:val="false"/>
        <w:keepLines w:val="false"/>
        <w:widowControl/>
        <w:shd w:val="clear" w:fill="auto"/>
        <w:spacing w:lineRule="auto" w:line="276" w:before="86" w:after="86"/>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[32] Mossong J, Hens M, Jit M, </w:t>
      </w:r>
      <w:bookmarkStart w:id="0" w:name="author-list"/>
      <w:bookmarkEnd w:id="0"/>
      <w:r>
        <w:rPr>
          <w:rFonts w:eastAsia="Times New Roman" w:cs="Times New Roman" w:ascii="Times New Roman" w:hAnsi="Times New Roman"/>
          <w:b w:val="false"/>
          <w:i w:val="false"/>
          <w:caps w:val="false"/>
          <w:smallCaps w:val="false"/>
          <w:strike w:val="false"/>
          <w:dstrike w:val="false"/>
          <w:color w:val="000000"/>
          <w:spacing w:val="0"/>
          <w:position w:val="0"/>
          <w:sz w:val="24"/>
          <w:sz w:val="24"/>
          <w:szCs w:val="24"/>
          <w:u w:val="none"/>
          <w:effect w:val="none"/>
          <w:shd w:fill="auto" w:val="clear"/>
          <w:vertAlign w:val="baseline"/>
        </w:rPr>
        <w:t xml:space="preserve">Beutels P, </w:t>
      </w:r>
      <w:r>
        <w:rPr>
          <w:rFonts w:ascii="Times New Roman" w:hAnsi="Times New Roman"/>
          <w:b w:val="false"/>
          <w:i w:val="false"/>
          <w:caps w:val="false"/>
          <w:smallCaps w:val="false"/>
          <w:strike w:val="false"/>
          <w:dstrike w:val="false"/>
          <w:color w:val="000000"/>
          <w:spacing w:val="0"/>
          <w:sz w:val="24"/>
          <w:szCs w:val="24"/>
          <w:u w:val="none"/>
          <w:effect w:val="none"/>
        </w:rPr>
        <w:t>Auranen K, Mikolajczyk R, Massari M</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et al. </w:t>
      </w:r>
      <w:r>
        <w:rPr>
          <w:rFonts w:eastAsia="Times New Roman" w:cs="Times New Roman" w:ascii="Times New Roman" w:hAnsi="Times New Roman"/>
          <w:b w:val="false"/>
          <w:i/>
          <w:iCs/>
          <w:caps w:val="false"/>
          <w:smallCaps w:val="false"/>
          <w:strike w:val="false"/>
          <w:dstrike w:val="false"/>
          <w:color w:val="000000"/>
          <w:position w:val="0"/>
          <w:sz w:val="24"/>
          <w:sz w:val="24"/>
          <w:szCs w:val="24"/>
          <w:u w:val="none"/>
          <w:shd w:fill="auto" w:val="clear"/>
          <w:vertAlign w:val="baseline"/>
        </w:rPr>
        <w:t>Social Contacts and Mixing Patterns Relevant to the Spread of Infectious Diseases.</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PLOS Medicine 2008;</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5</w:t>
      </w:r>
      <w:r>
        <w:rPr>
          <w:rFonts w:eastAsia="Times New Roman" w:cs="Times New Roman" w:ascii="Times New Roman" w:hAnsi="Times New Roman"/>
          <w:b w:val="false"/>
          <w:bCs w:val="false"/>
          <w:i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e74. Available at: h</w:t>
      </w:r>
      <w:hyperlink r:id="rId2">
        <w:r>
          <w:rPr>
            <w:rFonts w:eastAsia="Times New Roman" w:cs="Times New Roman" w:ascii="Times New Roman" w:hAnsi="Times New Roman"/>
            <w:b w:val="false"/>
            <w:i w:val="false"/>
            <w:caps w:val="false"/>
            <w:smallCaps w:val="false"/>
            <w:strike w:val="false"/>
            <w:dstrike w:val="false"/>
            <w:color w:val="000080"/>
            <w:position w:val="0"/>
            <w:sz w:val="24"/>
            <w:sz w:val="24"/>
            <w:szCs w:val="24"/>
            <w:u w:val="single"/>
            <w:shd w:fill="auto" w:val="clear"/>
            <w:vertAlign w:val="baseline"/>
          </w:rPr>
          <w:t>ttps://doi.org/10.1371/journal.pmed.0050074</w:t>
        </w:r>
      </w:hyperlink>
    </w:p>
    <w:p>
      <w:pPr>
        <w:pStyle w:val="LOnormal"/>
        <w:keepNext w:val="false"/>
        <w:keepLines w:val="false"/>
        <w:widowControl/>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keepNext w:val="false"/>
        <w:keepLines w:val="false"/>
        <w:widowControl/>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[33] Gao F, Han L. </w:t>
      </w:r>
      <w:r>
        <w:rPr>
          <w:rFonts w:eastAsia="Times New Roman" w:cs="Times New Roman" w:ascii="Times New Roman" w:hAnsi="Times New Roman"/>
          <w:b w:val="false"/>
          <w:i/>
          <w:iCs/>
          <w:caps w:val="false"/>
          <w:smallCaps w:val="false"/>
          <w:strike w:val="false"/>
          <w:dstrike w:val="false"/>
          <w:color w:val="000000"/>
          <w:position w:val="0"/>
          <w:sz w:val="24"/>
          <w:sz w:val="24"/>
          <w:szCs w:val="24"/>
          <w:u w:val="none"/>
          <w:shd w:fill="auto" w:val="clear"/>
          <w:vertAlign w:val="baseline"/>
        </w:rPr>
        <w:t>Implementing the Nelder-Mead simplex algorithm with adaptive parameters</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Comput. Optim. Appl. 2012;</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51</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:259-277. Available at </w:t>
      </w:r>
      <w:r>
        <w:rPr>
          <w:rStyle w:val="InternetLink"/>
          <w:rFonts w:eastAsia="Times New Roman" w:cs="Times New Roman" w:ascii="Times New Roman" w:hAnsi="Times New Roman"/>
          <w:b w:val="false"/>
          <w:i w:val="false"/>
          <w:caps w:val="false"/>
          <w:smallCaps w:val="false"/>
          <w:strike w:val="false"/>
          <w:dstrike w:val="false"/>
          <w:color w:val="000080"/>
          <w:position w:val="0"/>
          <w:sz w:val="24"/>
          <w:sz w:val="24"/>
          <w:szCs w:val="24"/>
          <w:u w:val="single"/>
          <w:shd w:fill="auto" w:val="clear"/>
          <w:vertAlign w:val="baseline"/>
        </w:rPr>
        <w:t>https://doi.org/10.1007/s10589-010-9329-3</w:t>
      </w:r>
    </w:p>
    <w:p>
      <w:pPr>
        <w:pStyle w:val="LOnormal"/>
        <w:widowControl/>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widowControl/>
        <w:shd w:val="clear" w:fill="auto"/>
        <w:spacing w:lineRule="auto" w:line="276" w:before="86" w:after="86"/>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
    </w:p>
    <w:sectPr>
      <w:type w:val="nextPage"/>
      <w:pgSz w:w="11906" w:h="16838"/>
      <w:pgMar w:left="1134" w:right="1134" w:header="0" w:top="1134" w:footer="0" w:bottom="1134" w:gutter="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Georgia">
    <w:charset w:val="01"/>
    <w:family w:val="roman"/>
    <w:pitch w:val="variable"/>
  </w:font>
  <w:font w:name="Arial">
    <w:charset w:val="01"/>
    <w:family w:val="roman"/>
    <w:pitch w:val="variable"/>
  </w:font>
  <w:font w:name="Times New Roman">
    <w:charset w:val="01"/>
    <w:family w:val="roman"/>
    <w:pitch w:val="variable"/>
  </w:font>
  <w:font w:name="Noto Sans Symbols">
    <w:charset w:val="01"/>
    <w:family w:val="roman"/>
    <w:pitch w:val="variable"/>
  </w:font>
  <w:font w:name="Cambria Math">
    <w:charset w:val="01"/>
    <w:family w:val="roman"/>
    <w:pitch w:val="variable"/>
  </w:font>
  <w:font w:name="Symbol">
    <w:charset w:val="01"/>
    <w:family w:val="roman"/>
    <w:pitch w:val="variable"/>
  </w:font>
  <w:font w:name="SYmbo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
      <w:lvlJc w:val="left"/>
      <w:pPr>
        <w:tabs>
          <w:tab w:val="num" w:pos="0"/>
        </w:tabs>
        <w:ind w:left="0" w:hanging="0"/>
      </w:pPr>
    </w:lvl>
    <w:lvl w:ilvl="1">
      <w:start w:val="1"/>
      <w:numFmt w:val="decimal"/>
      <w:lvlText w:val=""/>
      <w:lvlJc w:val="left"/>
      <w:pPr>
        <w:tabs>
          <w:tab w:val="num" w:pos="0"/>
        </w:tabs>
        <w:ind w:left="0" w:hanging="0"/>
      </w:pPr>
    </w:lvl>
    <w:lvl w:ilvl="2">
      <w:start w:val="1"/>
      <w:numFmt w:val="decimal"/>
      <w:lvlText w:val=""/>
      <w:lvlJc w:val="left"/>
      <w:pPr>
        <w:tabs>
          <w:tab w:val="num" w:pos="0"/>
        </w:tabs>
        <w:ind w:left="0" w:hanging="0"/>
      </w:pPr>
    </w:lvl>
    <w:lvl w:ilvl="3">
      <w:start w:val="1"/>
      <w:numFmt w:val="decimal"/>
      <w:lvlText w:val=""/>
      <w:lvlJc w:val="left"/>
      <w:pPr>
        <w:tabs>
          <w:tab w:val="num" w:pos="0"/>
        </w:tabs>
        <w:ind w:left="0" w:hanging="0"/>
      </w:pPr>
    </w:lvl>
    <w:lvl w:ilvl="4">
      <w:start w:val="1"/>
      <w:numFmt w:val="decimal"/>
      <w:lvlText w:val=""/>
      <w:lvlJc w:val="left"/>
      <w:pPr>
        <w:tabs>
          <w:tab w:val="num" w:pos="0"/>
        </w:tabs>
        <w:ind w:left="0" w:hanging="0"/>
      </w:pPr>
    </w:lvl>
    <w:lvl w:ilvl="5">
      <w:start w:val="1"/>
      <w:numFmt w:val="decimal"/>
      <w:lvlText w:val=""/>
      <w:lvlJc w:val="left"/>
      <w:pPr>
        <w:tabs>
          <w:tab w:val="num" w:pos="0"/>
        </w:tabs>
        <w:ind w:left="0" w:hanging="0"/>
      </w:pPr>
    </w:lvl>
    <w:lvl w:ilvl="6">
      <w:start w:val="1"/>
      <w:numFmt w:val="decimal"/>
      <w:lvlText w:val=""/>
      <w:lvlJc w:val="left"/>
      <w:pPr>
        <w:tabs>
          <w:tab w:val="num" w:pos="0"/>
        </w:tabs>
        <w:ind w:left="0" w:hanging="0"/>
      </w:pPr>
    </w:lvl>
    <w:lvl w:ilvl="7">
      <w:start w:val="1"/>
      <w:numFmt w:val="decimal"/>
      <w:lvlText w:val=""/>
      <w:lvlJc w:val="left"/>
      <w:pPr>
        <w:tabs>
          <w:tab w:val="num" w:pos="0"/>
        </w:tabs>
        <w:ind w:left="0" w:hanging="0"/>
      </w:pPr>
    </w:lvl>
    <w:lvl w:ilvl="8">
      <w:start w:val="1"/>
      <w:numFmt w:val="decimal"/>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val="bestFit" w:percent="225"/>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erif" w:cs="Liberation Serif"/>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TextBody"/>
    <w:qFormat/>
    <w:pPr>
      <w:outlineLvl w:val="0"/>
    </w:pPr>
    <w:rPr>
      <w:b/>
      <w:bCs/>
      <w:sz w:val="32"/>
      <w:szCs w:val="32"/>
    </w:rPr>
  </w:style>
  <w:style w:type="paragraph" w:styleId="Heading2">
    <w:name w:val="Heading 2"/>
    <w:basedOn w:val="Heading"/>
    <w:next w:val="TextBody"/>
    <w:qFormat/>
    <w:pPr>
      <w:outlineLvl w:val="1"/>
    </w:pPr>
    <w:rPr>
      <w:b/>
      <w:bCs/>
      <w:i/>
      <w:iCs/>
      <w:sz w:val="28"/>
      <w:szCs w:val="28"/>
    </w:rPr>
  </w:style>
  <w:style w:type="paragraph" w:styleId="Heading3">
    <w:name w:val="Heading 3"/>
    <w:basedOn w:val="LOnormal"/>
    <w:next w:val="LOnormal"/>
    <w:qFormat/>
    <w:pPr>
      <w:keepNext w:val="true"/>
      <w:keepLines/>
      <w:spacing w:lineRule="auto" w:line="240" w:before="280" w:after="80"/>
    </w:pPr>
    <w:rPr>
      <w:b/>
      <w:sz w:val="28"/>
      <w:szCs w:val="28"/>
    </w:rPr>
  </w:style>
  <w:style w:type="paragraph" w:styleId="Heading4">
    <w:name w:val="Heading 4"/>
    <w:basedOn w:val="LOnormal"/>
    <w:next w:val="LOnormal"/>
    <w:qFormat/>
    <w:pPr>
      <w:keepNext w:val="true"/>
      <w:keepLines/>
      <w:spacing w:lineRule="auto" w:line="240" w:before="240" w:after="40"/>
    </w:pPr>
    <w:rPr>
      <w:b/>
      <w:sz w:val="24"/>
      <w:szCs w:val="24"/>
    </w:rPr>
  </w:style>
  <w:style w:type="paragraph" w:styleId="Heading5">
    <w:name w:val="Heading 5"/>
    <w:basedOn w:val="LOnormal"/>
    <w:next w:val="LOnormal"/>
    <w:qFormat/>
    <w:pPr>
      <w:keepNext w:val="true"/>
      <w:keepLines/>
      <w:spacing w:lineRule="auto" w:line="240" w:before="220" w:after="40"/>
    </w:pPr>
    <w:rPr>
      <w:b/>
      <w:sz w:val="22"/>
      <w:szCs w:val="22"/>
    </w:rPr>
  </w:style>
  <w:style w:type="paragraph" w:styleId="Heading6">
    <w:name w:val="Heading 6"/>
    <w:basedOn w:val="LOnormal"/>
    <w:next w:val="LOnormal"/>
    <w:qFormat/>
    <w:pPr>
      <w:keepNext w:val="true"/>
      <w:keepLines/>
      <w:spacing w:lineRule="auto" w:line="240" w:before="200" w:after="40"/>
    </w:pPr>
    <w:rPr>
      <w:b/>
      <w:sz w:val="20"/>
      <w:szCs w:val="20"/>
    </w:rPr>
  </w:style>
  <w:style w:type="character" w:styleId="Definition">
    <w:name w:val="Definition"/>
    <w:qFormat/>
    <w:rPr/>
  </w:style>
  <w:style w:type="character" w:styleId="InternetLink">
    <w:name w:val="Hyperlink"/>
    <w:rPr>
      <w:color w:val="000080"/>
      <w:u w:val="single"/>
    </w:rPr>
  </w:style>
  <w:style w:type="character" w:styleId="Bullets">
    <w:name w:val="Bullets"/>
    <w:qFormat/>
    <w:rPr>
      <w:rFonts w:ascii="OpenSymbol" w:hAnsi="OpenSymbol" w:eastAsia="OpenSymbol" w:cs="OpenSymbol"/>
    </w:rPr>
  </w:style>
  <w:style w:type="paragraph" w:styleId="Heading">
    <w:name w:val="Heading"/>
    <w:basedOn w:val="LOnormal"/>
    <w:next w:val="TextBody"/>
    <w:qFormat/>
    <w:pPr>
      <w:keepNext w:val="true"/>
      <w:spacing w:before="240" w:after="120"/>
    </w:pPr>
    <w:rPr>
      <w:rFonts w:ascii="Liberation Sans" w:hAnsi="Liberation Sans" w:eastAsia="Noto Sans CJK SC" w:cs="Noto Sans Devanagari"/>
      <w:sz w:val="28"/>
      <w:szCs w:val="28"/>
    </w:rPr>
  </w:style>
  <w:style w:type="paragraph" w:styleId="TextBody">
    <w:name w:val="Body Text"/>
    <w:basedOn w:val="LOnormal"/>
    <w:pPr>
      <w:spacing w:lineRule="auto" w:line="276" w:before="0" w:after="140"/>
    </w:pPr>
    <w:rPr/>
  </w:style>
  <w:style w:type="paragraph" w:styleId="List">
    <w:name w:val="List"/>
    <w:basedOn w:val="TextBody"/>
    <w:pPr/>
    <w:rPr>
      <w:rFonts w:cs="Noto Sans Devanagari"/>
    </w:rPr>
  </w:style>
  <w:style w:type="paragraph" w:styleId="Caption">
    <w:name w:val="Caption"/>
    <w:basedOn w:val="LOnormal"/>
    <w:qFormat/>
    <w:pPr>
      <w:suppressLineNumbers/>
      <w:spacing w:before="120" w:after="120"/>
    </w:pPr>
    <w:rPr>
      <w:rFonts w:cs="Noto Sans Devanagari"/>
      <w:i/>
      <w:iCs/>
      <w:sz w:val="24"/>
      <w:szCs w:val="24"/>
    </w:rPr>
  </w:style>
  <w:style w:type="paragraph" w:styleId="Index">
    <w:name w:val="Index"/>
    <w:basedOn w:val="LOnormal"/>
    <w:qFormat/>
    <w:pPr>
      <w:suppressLineNumbers/>
    </w:pPr>
    <w:rPr>
      <w:rFonts w:cs="Noto Sans Devanagari"/>
    </w:rPr>
  </w:style>
  <w:style w:type="paragraph" w:styleId="LOnormal" w:default="1">
    <w:name w:val="LO-normal"/>
    <w:qFormat/>
    <w:pPr>
      <w:widowControl/>
      <w:suppressAutoHyphens w:val="true"/>
      <w:bidi w:val="0"/>
      <w:spacing w:before="0" w:after="0"/>
      <w:jc w:val="left"/>
    </w:pPr>
    <w:rPr>
      <w:rFonts w:ascii="Liberation Serif" w:hAnsi="Liberation Serif" w:eastAsia="Liberation Serif" w:cs="Liberation Serif"/>
      <w:color w:val="auto"/>
      <w:kern w:val="0"/>
      <w:sz w:val="24"/>
      <w:szCs w:val="24"/>
      <w:lang w:val="en-US" w:eastAsia="zh-CN" w:bidi="hi-IN"/>
    </w:rPr>
  </w:style>
  <w:style w:type="paragraph" w:styleId="Title">
    <w:name w:val="Title"/>
    <w:basedOn w:val="Heading"/>
    <w:next w:val="TextBody"/>
    <w:qFormat/>
    <w:pPr>
      <w:jc w:val="center"/>
    </w:pPr>
    <w:rPr>
      <w:b/>
      <w:bCs/>
      <w:sz w:val="56"/>
      <w:szCs w:val="56"/>
    </w:rPr>
  </w:style>
  <w:style w:type="paragraph" w:styleId="Firstparagraph">
    <w:name w:val="First paragraph"/>
    <w:basedOn w:val="LOnormal"/>
    <w:next w:val="TextBody"/>
    <w:qFormat/>
    <w:pPr/>
    <w:rPr/>
  </w:style>
  <w:style w:type="paragraph" w:styleId="TableContents">
    <w:name w:val="Table Contents"/>
    <w:basedOn w:val="LOnormal"/>
    <w:qFormat/>
    <w:pPr>
      <w:suppressLineNumbers/>
      <w:ind w:left="43" w:right="43" w:hanging="0"/>
    </w:pPr>
    <w:rPr/>
  </w:style>
  <w:style w:type="paragraph" w:styleId="TableHeading">
    <w:name w:val="Table Heading"/>
    <w:basedOn w:val="TableContents"/>
    <w:qFormat/>
    <w:pPr>
      <w:suppressLineNumbers/>
      <w:jc w:val="center"/>
    </w:pPr>
    <w:rPr>
      <w:b/>
      <w:bCs/>
    </w:rPr>
  </w:style>
  <w:style w:type="paragraph" w:styleId="Subtitle">
    <w:name w:val="Subtitle"/>
    <w:basedOn w:val="LOnormal"/>
    <w:next w:val="LOnormal"/>
    <w:qFormat/>
    <w:pPr>
      <w:keepNext w:val="true"/>
      <w:keepLines/>
      <w:spacing w:lineRule="auto" w:line="240" w:before="360" w:after="80"/>
    </w:pPr>
    <w:rPr>
      <w:rFonts w:ascii="Georgia" w:hAnsi="Georgia" w:eastAsia="Georgia" w:cs="Georgia"/>
      <w:i/>
      <w:color w:val="666666"/>
      <w:sz w:val="48"/>
      <w:szCs w:val="48"/>
    </w:rPr>
  </w:style>
  <w:style w:type="paragraph" w:styleId="Symbol">
    <w:name w:val="Symbol"/>
    <w:basedOn w:val="LOnormal"/>
    <w:qFormat/>
    <w:pPr>
      <w:keepNext w:val="false"/>
      <w:keepLines w:val="false"/>
      <w:widowControl/>
      <w:shd w:val="clear" w:fill="auto"/>
      <w:spacing w:lineRule="auto" w:line="276" w:before="0" w:after="140"/>
      <w:ind w:left="0" w:right="0" w:hanging="0"/>
      <w:jc w:val="both"/>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oi.org/10.1371/journal.pmed.0050074"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gQLpYEvYQcDj2Zjr2ILApkOQ4qOg==">AMUW2mWbewxcVS2R6caDy8plKut0gm0zppopBzj5m57JvEVGln4liPj9//UeSlFGhcc7NwhdX/FTZqt0vW326bl8ksyerZucfWRJ7V6Ms/N5uVVdN4lCr4I=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6905</TotalTime>
  <Application>LibreOffice/7.0.6.2$Linux_X86_64 LibreOffice_project/00$Build-2</Application>
  <AppVersion>15.0000</AppVersion>
  <Pages>6</Pages>
  <Words>1683</Words>
  <Characters>8014</Characters>
  <CharactersWithSpaces>9510</CharactersWithSpaces>
  <Paragraphs>327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2021-04-20T18:29:38Z</dcterms:created>
  <dc:creator/>
  <dc:description/>
  <dc:language>pt-BR</dc:language>
  <cp:lastModifiedBy/>
  <dcterms:modified xsi:type="dcterms:W3CDTF">2021-07-05T18:27:19Z</dcterms:modified>
  <cp:revision>38</cp:revision>
  <dc:subject/>
  <dc:title/>
</cp:coreProperties>
</file>

<file path=docProps/custom.xml><?xml version="1.0" encoding="utf-8"?>
<Properties xmlns="http://schemas.openxmlformats.org/officeDocument/2006/custom-properties" xmlns:vt="http://schemas.openxmlformats.org/officeDocument/2006/docPropsVTypes"/>
</file>