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A9671">
      <w:pPr>
        <w:spacing w:line="360" w:lineRule="auto"/>
        <w:jc w:val="left"/>
        <w:rPr>
          <w:rFonts w:hint="default" w:ascii="Times New Roman Bold" w:hAnsi="Times New Roman Bold" w:cs="Times New Roman Bold"/>
          <w:b/>
          <w:bCs/>
          <w:sz w:val="21"/>
          <w:szCs w:val="21"/>
        </w:rPr>
      </w:pPr>
      <w:r>
        <w:rPr>
          <w:rFonts w:hint="default" w:ascii="Times New Roman Bold" w:hAnsi="Times New Roman Bold" w:cs="Times New Roman Bold"/>
          <w:b/>
          <w:bCs/>
          <w:sz w:val="21"/>
          <w:szCs w:val="21"/>
        </w:rPr>
        <w:t>Supplementary Material</w:t>
      </w:r>
    </w:p>
    <w:p w14:paraId="447A9D54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  <w:color w:val="auto"/>
          <w:lang w:val="en-US" w:eastAsia="zh-CN"/>
        </w:rPr>
        <w:t>The Association of Irritant</w:t>
      </w:r>
      <w:r>
        <w:rPr>
          <w:rFonts w:hint="eastAsia" w:ascii="Times New Roman Bold" w:hAnsi="Times New Roman Bold" w:cs="Times New Roman Bold"/>
          <w:b/>
          <w:bCs/>
          <w:color w:val="auto"/>
          <w:lang w:val="en-US" w:eastAsia="zh-CN"/>
        </w:rPr>
        <w:t xml:space="preserve"> Administration</w:t>
      </w:r>
      <w:r>
        <w:rPr>
          <w:rFonts w:hint="default" w:ascii="Times New Roman Bold" w:hAnsi="Times New Roman Bold" w:cs="Times New Roman Bold"/>
          <w:b/>
          <w:bCs/>
          <w:color w:val="auto"/>
          <w:lang w:val="en-US" w:eastAsia="zh-CN"/>
        </w:rPr>
        <w:t xml:space="preserve"> Via Midline Catheter</w:t>
      </w:r>
      <w:r>
        <w:rPr>
          <w:rFonts w:hint="eastAsia" w:ascii="Times New Roman Bold" w:hAnsi="Times New Roman Bold" w:cs="Times New Roman Bold"/>
          <w:b/>
          <w:bCs/>
          <w:color w:val="auto"/>
          <w:lang w:val="en-US" w:eastAsia="zh-CN"/>
        </w:rPr>
        <w:t>s</w:t>
      </w:r>
      <w:r>
        <w:rPr>
          <w:rFonts w:hint="default" w:ascii="Times New Roman Bold" w:hAnsi="Times New Roman Bold" w:cs="Times New Roman Bold"/>
          <w:b/>
          <w:bCs/>
          <w:color w:val="auto"/>
          <w:lang w:val="en-US" w:eastAsia="zh-CN"/>
        </w:rPr>
        <w:t xml:space="preserve"> with Catheter-related Complications: A Longitudinal Cohort Study</w:t>
      </w:r>
    </w:p>
    <w:p w14:paraId="28549B52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3A56E179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4C8D9B3B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7174890E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62088671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07849421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2687197C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001AB450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21254AEC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0681E711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2028CE97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55B05D34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069CBC94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63551DBD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029A2E33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1B78130D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3BCBBB8D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0A452991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59FABF5B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09B6D8D8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7062A1AF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108F0141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23A165B4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50ED9AB8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466D067E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4D0D7734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77E94C69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7B02C70B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0E15E64C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23EED0FA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79EAFBB6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66B3156F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1D6AA3B0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458F1B91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48D226FF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55038752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647DDCA5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3F45F950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755BD0D0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  <w:bookmarkStart w:id="0" w:name="_GoBack"/>
      <w:bookmarkEnd w:id="0"/>
    </w:p>
    <w:p w14:paraId="10C95CB6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1C423954">
      <w:pPr>
        <w:rPr>
          <w:rFonts w:hint="default" w:ascii="Times New Roman Bold" w:hAnsi="Times New Roman Bold" w:cs="Times New Roman Bold"/>
          <w:b/>
          <w:bCs w:val="0"/>
          <w:sz w:val="21"/>
          <w:szCs w:val="21"/>
          <w:lang w:val="en-US" w:eastAsia="zh-CN"/>
        </w:rPr>
      </w:pPr>
    </w:p>
    <w:p w14:paraId="6BBAC6B0">
      <w:pPr>
        <w:jc w:val="center"/>
        <w:rPr>
          <w:rFonts w:hint="default" w:ascii="Times New Roman Bold" w:hAnsi="Times New Roman Bold" w:cs="Times New Roman Bold"/>
          <w:b/>
          <w:bCs/>
          <w:sz w:val="21"/>
          <w:szCs w:val="21"/>
        </w:rPr>
      </w:pPr>
      <w:r>
        <w:rPr>
          <w:rFonts w:hint="default" w:ascii="Times New Roman Bold" w:hAnsi="Times New Roman Bold" w:cs="Times New Roman Bold"/>
          <w:b/>
          <w:bCs/>
          <w:sz w:val="21"/>
          <w:szCs w:val="21"/>
        </w:rPr>
        <w:t>CONTENTS</w:t>
      </w:r>
    </w:p>
    <w:p w14:paraId="1A10332A">
      <w:pPr>
        <w:widowControl/>
        <w:spacing w:line="480" w:lineRule="auto"/>
        <w:rPr>
          <w:rFonts w:hint="default" w:ascii="Times New Roman" w:hAnsi="Times New Roman" w:eastAsia="等线" w:cs="Times New Roman"/>
          <w:sz w:val="21"/>
          <w:szCs w:val="21"/>
          <w:lang w:val="en-US" w:eastAsia="zh-CN"/>
        </w:rPr>
      </w:pPr>
      <w:r>
        <w:rPr>
          <w:rFonts w:hint="default" w:ascii="Times New Roman Bold" w:hAnsi="Times New Roman Bold" w:eastAsia="等线" w:cs="Times New Roman Bold"/>
          <w:b/>
          <w:bCs/>
          <w:sz w:val="21"/>
          <w:szCs w:val="21"/>
          <w:lang w:val="en-US" w:eastAsia="zh-CN"/>
        </w:rPr>
        <w:t>Table S1.</w:t>
      </w:r>
      <w:r>
        <w:rPr>
          <w:rFonts w:hint="default" w:ascii="Times New Roman" w:hAnsi="Times New Roman" w:eastAsia="等线" w:cs="Times New Roman"/>
          <w:sz w:val="21"/>
          <w:szCs w:val="21"/>
          <w:lang w:val="en-US" w:eastAsia="zh-CN"/>
        </w:rPr>
        <w:t xml:space="preserve"> Phlebitis scale.</w:t>
      </w:r>
    </w:p>
    <w:p w14:paraId="05606A68">
      <w:pPr>
        <w:widowControl/>
        <w:spacing w:line="480" w:lineRule="auto"/>
        <w:rPr>
          <w:rFonts w:hint="default" w:ascii="Times New Roman" w:hAnsi="Times New Roman" w:eastAsia="等线" w:cs="Times New Roman"/>
          <w:sz w:val="21"/>
          <w:szCs w:val="21"/>
          <w:lang w:val="en-US" w:eastAsia="zh-CN"/>
        </w:rPr>
      </w:pPr>
      <w:r>
        <w:rPr>
          <w:rFonts w:hint="default" w:ascii="Times New Roman Bold" w:hAnsi="Times New Roman Bold" w:eastAsia="等线" w:cs="Times New Roman Bold"/>
          <w:b/>
          <w:bCs/>
          <w:sz w:val="21"/>
          <w:szCs w:val="21"/>
          <w:lang w:val="en-US" w:eastAsia="zh-CN"/>
        </w:rPr>
        <w:t>Table S2.</w:t>
      </w:r>
      <w:r>
        <w:rPr>
          <w:rFonts w:hint="default" w:ascii="Times New Roman" w:hAnsi="Times New Roman" w:eastAsia="等线" w:cs="Times New Roman"/>
          <w:sz w:val="21"/>
          <w:szCs w:val="21"/>
          <w:lang w:val="en-US" w:eastAsia="zh-CN"/>
        </w:rPr>
        <w:t xml:space="preserve"> Infiltration scale.</w:t>
      </w:r>
    </w:p>
    <w:p w14:paraId="02733778">
      <w:pPr>
        <w:widowControl/>
        <w:spacing w:line="480" w:lineRule="auto"/>
        <w:rPr>
          <w:rFonts w:hint="default" w:ascii="Times New Roman" w:hAnsi="Times New Roman" w:eastAsia="等线" w:cs="Times New Roman"/>
          <w:sz w:val="21"/>
          <w:szCs w:val="21"/>
          <w:lang w:val="en-US" w:eastAsia="zh-CN"/>
        </w:rPr>
      </w:pPr>
      <w:r>
        <w:rPr>
          <w:rFonts w:hint="default" w:ascii="Times New Roman Bold" w:hAnsi="Times New Roman Bold" w:eastAsia="等线" w:cs="Times New Roman Bold"/>
          <w:b/>
          <w:bCs/>
          <w:sz w:val="21"/>
          <w:szCs w:val="21"/>
          <w:lang w:val="en-US" w:eastAsia="zh-CN"/>
        </w:rPr>
        <w:t>Table S3.</w:t>
      </w:r>
      <w:r>
        <w:rPr>
          <w:rFonts w:hint="default" w:ascii="Times New Roman" w:hAnsi="Times New Roman" w:eastAsia="等线" w:cs="Times New Roman"/>
          <w:sz w:val="21"/>
          <w:szCs w:val="21"/>
          <w:lang w:val="en-US" w:eastAsia="zh-CN"/>
        </w:rPr>
        <w:t xml:space="preserve"> List of irritants identified in the included patients.</w:t>
      </w:r>
    </w:p>
    <w:p w14:paraId="43873044">
      <w:pPr>
        <w:widowControl/>
        <w:spacing w:line="480" w:lineRule="auto"/>
        <w:rPr>
          <w:rFonts w:hint="default" w:ascii="Times New Roman" w:hAnsi="Times New Roman" w:eastAsia="等线" w:cs="Times New Roman"/>
          <w:sz w:val="21"/>
          <w:szCs w:val="21"/>
          <w:lang w:val="en-US" w:eastAsia="zh-CN"/>
        </w:rPr>
      </w:pPr>
      <w:r>
        <w:rPr>
          <w:rFonts w:hint="default" w:ascii="Times New Roman Bold" w:hAnsi="Times New Roman Bold" w:eastAsia="等线" w:cs="Times New Roman Bold"/>
          <w:b/>
          <w:bCs/>
          <w:sz w:val="21"/>
          <w:szCs w:val="21"/>
          <w:lang w:val="en-US" w:eastAsia="zh-CN"/>
        </w:rPr>
        <w:t>Table S4.</w:t>
      </w:r>
      <w:r>
        <w:rPr>
          <w:rFonts w:hint="default" w:ascii="Times New Roman" w:hAnsi="Times New Roman" w:eastAsia="等线" w:cs="Times New Roman"/>
          <w:sz w:val="21"/>
          <w:szCs w:val="21"/>
          <w:lang w:val="en-US" w:eastAsia="zh-CN"/>
        </w:rPr>
        <w:t xml:space="preserve"> Multivariable logistic regression analyses of factors associated with catheter-related complication after propensity score matching. </w:t>
      </w:r>
    </w:p>
    <w:p w14:paraId="23E36261">
      <w:pPr>
        <w:widowControl/>
        <w:spacing w:line="480" w:lineRule="auto"/>
        <w:rPr>
          <w:rFonts w:hint="default" w:ascii="Times New Roman" w:hAnsi="Times New Roman" w:eastAsia="等线" w:cs="Times New Roman"/>
          <w:sz w:val="21"/>
          <w:szCs w:val="21"/>
          <w:lang w:val="en-US" w:eastAsia="zh-CN"/>
        </w:rPr>
      </w:pPr>
      <w:r>
        <w:rPr>
          <w:rFonts w:hint="default" w:ascii="Times New Roman Bold" w:hAnsi="Times New Roman Bold" w:eastAsia="等线" w:cs="Times New Roman Bold"/>
          <w:b/>
          <w:bCs/>
          <w:sz w:val="21"/>
          <w:szCs w:val="21"/>
          <w:lang w:val="en-US" w:eastAsia="zh-CN"/>
        </w:rPr>
        <w:t>Table S5.</w:t>
      </w:r>
      <w:r>
        <w:rPr>
          <w:rFonts w:hint="default" w:ascii="Times New Roman" w:hAnsi="Times New Roman" w:eastAsia="等线" w:cs="Times New Roman"/>
          <w:sz w:val="21"/>
          <w:szCs w:val="21"/>
          <w:lang w:val="en-US" w:eastAsia="zh-CN"/>
        </w:rPr>
        <w:t xml:space="preserve"> Sensitivity analyses of orthopedic patients.</w:t>
      </w:r>
    </w:p>
    <w:p w14:paraId="281C50A4">
      <w:pPr>
        <w:widowControl/>
        <w:spacing w:line="480" w:lineRule="auto"/>
        <w:rPr>
          <w:rFonts w:ascii="Times New Roman" w:hAnsi="Times New Roman" w:eastAsia="楷体" w:cs="Times New Roman"/>
          <w:color w:val="FF0000"/>
          <w:sz w:val="21"/>
          <w:szCs w:val="21"/>
        </w:rPr>
      </w:pPr>
    </w:p>
    <w:p w14:paraId="5F3FA9ED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7EEF4831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683A35B3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2C71C45A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7A78C8AE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6808D7A4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4F2EFA29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61619367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3C41564C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2C1D2B5F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204A5C71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4F73B0D9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6CF1DB8D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68E58FE2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70D363DD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262E5E83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2BDFFB1D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3903F6DE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0627B903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3A73D843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25A0B2F4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5D54ACEE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393093CD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41113448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1D3717DC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23D8F8FA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41419A16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01128A77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469123F3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11509CCF">
      <w:pPr>
        <w:jc w:val="both"/>
      </w:pPr>
      <w:r>
        <w:drawing>
          <wp:inline distT="0" distB="0" distL="114300" distR="114300">
            <wp:extent cx="5269865" cy="2304415"/>
            <wp:effectExtent l="0" t="0" r="1333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AAB42">
      <w:pPr>
        <w:jc w:val="both"/>
      </w:pPr>
    </w:p>
    <w:p w14:paraId="6DCED92C">
      <w:pPr>
        <w:jc w:val="both"/>
      </w:pPr>
    </w:p>
    <w:p w14:paraId="45EAB1FD">
      <w:pPr>
        <w:jc w:val="both"/>
      </w:pPr>
    </w:p>
    <w:p w14:paraId="6B6AA281">
      <w:pPr>
        <w:jc w:val="both"/>
      </w:pPr>
    </w:p>
    <w:p w14:paraId="02E5EB55">
      <w:pPr>
        <w:jc w:val="both"/>
      </w:pPr>
    </w:p>
    <w:p w14:paraId="1DE001D4">
      <w:pPr>
        <w:jc w:val="both"/>
      </w:pPr>
    </w:p>
    <w:p w14:paraId="58B27505">
      <w:pPr>
        <w:jc w:val="both"/>
      </w:pPr>
    </w:p>
    <w:p w14:paraId="0E637276">
      <w:pPr>
        <w:jc w:val="both"/>
      </w:pPr>
    </w:p>
    <w:p w14:paraId="589086D5">
      <w:pPr>
        <w:jc w:val="both"/>
      </w:pPr>
    </w:p>
    <w:p w14:paraId="0D67E05C">
      <w:pPr>
        <w:jc w:val="both"/>
      </w:pPr>
    </w:p>
    <w:p w14:paraId="16678EDA">
      <w:p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3208655"/>
            <wp:effectExtent l="0" t="0" r="10795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0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22F17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039DB6F3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7E0E3B0E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70C34DF0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72922E6E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319AC80E">
      <w:pPr>
        <w:widowControl/>
        <w:spacing w:line="480" w:lineRule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Hans"/>
        </w:rPr>
      </w:pPr>
      <w:r>
        <w:rPr>
          <w:rFonts w:hint="default" w:ascii="Times New Roman Bold Italic" w:hAnsi="Times New Roman Bold Italic" w:eastAsia="等线" w:cs="Times New Roman Bold Italic"/>
          <w:b/>
          <w:bCs/>
          <w:i/>
          <w:iCs/>
          <w:sz w:val="21"/>
          <w:szCs w:val="21"/>
        </w:rPr>
        <w:t>Table S</w:t>
      </w:r>
      <w:r>
        <w:rPr>
          <w:rFonts w:hint="default" w:ascii="Times New Roman Bold Italic" w:hAnsi="Times New Roman Bold Italic" w:eastAsia="等线" w:cs="Times New Roman Bold Italic"/>
          <w:b/>
          <w:bCs/>
          <w:i/>
          <w:iCs/>
          <w:sz w:val="21"/>
          <w:szCs w:val="21"/>
          <w:lang w:val="en-US" w:eastAsia="zh-CN"/>
        </w:rPr>
        <w:t>3</w:t>
      </w:r>
      <w:r>
        <w:rPr>
          <w:rFonts w:ascii="Times New Roman" w:hAnsi="Times New Roman" w:eastAsia="等线" w:cs="Times New Roman"/>
          <w:b/>
          <w:bCs/>
          <w:sz w:val="21"/>
          <w:szCs w:val="21"/>
        </w:rPr>
        <w:t>.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Hans"/>
        </w:rPr>
        <w:t xml:space="preserve">List of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i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Hans"/>
        </w:rPr>
        <w:t>rritants identified in the included patients.</w:t>
      </w:r>
    </w:p>
    <w:tbl>
      <w:tblPr>
        <w:tblStyle w:val="4"/>
        <w:tblpPr w:leftFromText="180" w:rightFromText="180" w:vertAnchor="text" w:horzAnchor="page" w:tblpXSpec="center" w:tblpY="278"/>
        <w:tblOverlap w:val="never"/>
        <w:tblW w:w="9421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2037"/>
        <w:gridCol w:w="1327"/>
        <w:gridCol w:w="2645"/>
        <w:gridCol w:w="1362"/>
      </w:tblGrid>
      <w:tr w14:paraId="07CEF71B">
        <w:trPr>
          <w:trHeight w:val="485" w:hRule="atLeast"/>
          <w:jc w:val="center"/>
        </w:trPr>
        <w:tc>
          <w:tcPr>
            <w:tcW w:w="205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12A19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Classification</w:t>
            </w:r>
          </w:p>
        </w:tc>
        <w:tc>
          <w:tcPr>
            <w:tcW w:w="2037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25F9F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Drug (Brand Name)</w:t>
            </w:r>
          </w:p>
        </w:tc>
        <w:tc>
          <w:tcPr>
            <w:tcW w:w="1327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2AC72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Diluent</w:t>
            </w:r>
          </w:p>
        </w:tc>
        <w:tc>
          <w:tcPr>
            <w:tcW w:w="2645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00C98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Basis for inclusion</w:t>
            </w:r>
          </w:p>
        </w:tc>
        <w:tc>
          <w:tcPr>
            <w:tcW w:w="1362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7DB30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Reference(s)</w:t>
            </w:r>
          </w:p>
        </w:tc>
      </w:tr>
      <w:tr w14:paraId="6E26C603">
        <w:trPr>
          <w:trHeight w:val="335" w:hRule="atLeast"/>
          <w:jc w:val="center"/>
        </w:trPr>
        <w:tc>
          <w:tcPr>
            <w:tcW w:w="2050" w:type="dxa"/>
            <w:vMerge w:val="restart"/>
            <w:tcBorders>
              <w:top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FB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Anti-infective drugs</w:t>
            </w:r>
          </w:p>
        </w:tc>
        <w:tc>
          <w:tcPr>
            <w:tcW w:w="2037" w:type="dxa"/>
            <w:tcBorders>
              <w:top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D1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Acyclovir</w:t>
            </w:r>
          </w:p>
        </w:tc>
        <w:tc>
          <w:tcPr>
            <w:tcW w:w="1327" w:type="dxa"/>
            <w:tcBorders>
              <w:top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C8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NS</w:t>
            </w:r>
          </w:p>
        </w:tc>
        <w:tc>
          <w:tcPr>
            <w:tcW w:w="2645" w:type="dxa"/>
            <w:tcBorders>
              <w:top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BB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PH&gt;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62" w:type="dxa"/>
            <w:tcBorders>
              <w:top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8E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20, 21</w:t>
            </w:r>
          </w:p>
        </w:tc>
      </w:tr>
      <w:tr w14:paraId="1DD0A4AD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6D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11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Amikacin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7D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NS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55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PH&lt;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6C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78BA88E3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AA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37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Cefepime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7E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NS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DD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PH&lt;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76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0E9CB5B8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A5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C9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Cefazolin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38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NS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E8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PH&lt;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17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133C2E99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6B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A6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Ciprofloxacin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35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C8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PH&lt;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C8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20, 21</w:t>
            </w:r>
          </w:p>
        </w:tc>
      </w:tr>
      <w:tr w14:paraId="0F6A67D2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91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6B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4874CB" w:themeColor="accent1"/>
                <w:kern w:val="0"/>
                <w:sz w:val="22"/>
                <w:szCs w:val="22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/>
              </w:rPr>
              <w:t>Cisatracurium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14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NS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F5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PH&lt;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7F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01240678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95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64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Daptomycin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26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NS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FF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PH&lt;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C0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5690BFB9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34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6F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  <w:t>Ganciclovir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C3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NS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2C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PH&gt;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87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5F162BA8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BC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B7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  <w:t>L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  <w:t>i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  <w:t>nezolid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96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F0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PH&lt;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9D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16533BEA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E9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46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  <w:t>Vancomycin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0A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NS/ 5% GS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AC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PH&lt;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0F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20, 21</w:t>
            </w:r>
          </w:p>
        </w:tc>
      </w:tr>
      <w:tr w14:paraId="6CA19CD8">
        <w:trPr>
          <w:trHeight w:val="335" w:hRule="atLeast"/>
          <w:jc w:val="center"/>
        </w:trPr>
        <w:tc>
          <w:tcPr>
            <w:tcW w:w="205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75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Antiarrhythmics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1A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iodarone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BB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5% GS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31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PH&lt;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FF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20, 21</w:t>
            </w:r>
          </w:p>
        </w:tc>
      </w:tr>
      <w:tr w14:paraId="6B1F4374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B8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3A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molol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F5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AC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pH＜5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8A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 w14:paraId="229D946F">
        <w:trPr>
          <w:trHeight w:val="335" w:hRule="atLeast"/>
          <w:jc w:val="center"/>
        </w:trPr>
        <w:tc>
          <w:tcPr>
            <w:tcW w:w="205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CB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igestive-related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drug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46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  <w:t>Omeprazole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AC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NS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C3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PH&gt;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9B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25699C4A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75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0F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  <w:t>Ondansetron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2F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NS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10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PH&lt;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15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521FE4FE">
        <w:trPr>
          <w:trHeight w:val="335" w:hRule="atLeast"/>
          <w:jc w:val="center"/>
        </w:trPr>
        <w:tc>
          <w:tcPr>
            <w:tcW w:w="205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86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Vasoactive drugs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99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  <w:t>Milrinone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A5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NS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0D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PH&lt;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15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4AAF0332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F5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1B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  <w:t>Urapidil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67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NS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B6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Osmolarity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&gt; 600 mOSM/L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2C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4B1743C4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99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8B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  <w:t>Dobutamine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F8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NS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0B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PH&lt;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7D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20, 21</w:t>
            </w:r>
          </w:p>
        </w:tc>
      </w:tr>
      <w:tr w14:paraId="79D93E3D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05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8E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Dopamine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79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NS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D1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PH&lt;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AE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20, 21</w:t>
            </w:r>
          </w:p>
        </w:tc>
      </w:tr>
      <w:tr w14:paraId="58F0630D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80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C4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Epinephrine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20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5% GS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82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PH&lt;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94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 w14:paraId="401069F5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2C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CA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Nimodipine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AE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96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Osmolarity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&gt; 600 mOSM/L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1A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3BD324DE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F2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2C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Nitroglycerin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3C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NS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6B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Osmolarity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&gt; 600 mOSM/L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35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6AB2C110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18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36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C00000"/>
                <w:kern w:val="0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Norepinephrine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0E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5% GS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05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PH&lt;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37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20, 21</w:t>
            </w:r>
          </w:p>
        </w:tc>
      </w:tr>
      <w:tr w14:paraId="10465C92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AD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C0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Remifentanil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28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NS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6B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PH&lt;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C1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709DF40C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9B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D9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Nicardipine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D1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NS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92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EB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 w14:paraId="682BB3C3">
        <w:trPr>
          <w:trHeight w:val="335" w:hRule="atLeast"/>
          <w:jc w:val="center"/>
        </w:trPr>
        <w:tc>
          <w:tcPr>
            <w:tcW w:w="205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21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Sedatives and analgesics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BC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  <w:t>Valproic acid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DE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NS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DE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Osmolarity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&gt; 600 mOSM/L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E0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3490C0EC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91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DB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  <w:t>Midazolam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5D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NS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DE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PH&lt;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90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631AEF27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4B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B9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  <w:t>Diazepam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EA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8D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8C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 w14:paraId="09140438">
        <w:trPr>
          <w:trHeight w:val="335" w:hRule="atLeast"/>
          <w:jc w:val="center"/>
        </w:trPr>
        <w:tc>
          <w:tcPr>
            <w:tcW w:w="205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FA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Other drugs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08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  <w:t>Iron sucrose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C1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NS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00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PH&gt;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5A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0DC35036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A9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99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Vasopressin (mannitol et.c)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22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6F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Osmolarity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&gt; 600 mOSM/L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EA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20, 21</w:t>
            </w:r>
          </w:p>
        </w:tc>
      </w:tr>
      <w:tr w14:paraId="67A4D065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A1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52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  <w:t>Potassium chloride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E6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NS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70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PH&lt;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9C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20, 21</w:t>
            </w:r>
          </w:p>
        </w:tc>
      </w:tr>
      <w:tr w14:paraId="25F9E798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CB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00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  <w:t>R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  <w:t>o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  <w:t>curonium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0F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NS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C9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PH&lt;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8B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6764F875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29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0F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  <w:t>S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  <w:t>o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  <w:t>dium Bicarbonate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11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80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Osmolarity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&gt; 600 mOSM/L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89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20, 21</w:t>
            </w:r>
          </w:p>
        </w:tc>
      </w:tr>
      <w:tr w14:paraId="686FF6BF">
        <w:trPr>
          <w:trHeight w:val="383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51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53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  <w:t>Calcium chloride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B8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NS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BB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PH&lt;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40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20, 21</w:t>
            </w:r>
          </w:p>
        </w:tc>
      </w:tr>
      <w:tr w14:paraId="0AD6A6AD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9E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0E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  <w:t>Insulin human regular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6A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5% GS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E2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PH&lt;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5E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30E2594A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39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9C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  <w:t>Sodium Chloride (≥2%)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D7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33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22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 w14:paraId="7134DA8F">
        <w:trPr>
          <w:trHeight w:val="335" w:hRule="atLeast"/>
          <w:jc w:val="center"/>
        </w:trPr>
        <w:tc>
          <w:tcPr>
            <w:tcW w:w="2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D7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97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lang w:val="en-US" w:eastAsia="zh-CN"/>
              </w:rPr>
              <w:t>PN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F2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32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22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</w:tbl>
    <w:p w14:paraId="6FC252AE">
      <w:pPr>
        <w:widowControl/>
        <w:spacing w:line="480" w:lineRule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Hans"/>
        </w:rPr>
      </w:pPr>
      <w:r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  <w:t>Abbreviation: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5%GS, 5% glucose solution; NA, not available; NS, normal saline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; PN, parenteralnutrition;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Osmolarity expressed in mOsm/L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.</w:t>
      </w:r>
    </w:p>
    <w:p w14:paraId="68A06546">
      <w:pPr>
        <w:widowControl/>
        <w:spacing w:line="480" w:lineRule="auto"/>
      </w:pPr>
      <w:r>
        <w:drawing>
          <wp:inline distT="0" distB="0" distL="114300" distR="114300">
            <wp:extent cx="5269865" cy="5427345"/>
            <wp:effectExtent l="0" t="0" r="13335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42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E0378">
      <w:pPr>
        <w:widowControl/>
        <w:spacing w:line="480" w:lineRule="auto"/>
      </w:pPr>
    </w:p>
    <w:p w14:paraId="07B99AC9">
      <w:pPr>
        <w:widowControl/>
        <w:spacing w:line="480" w:lineRule="auto"/>
      </w:pPr>
    </w:p>
    <w:p w14:paraId="393114AA">
      <w:pPr>
        <w:widowControl/>
        <w:spacing w:line="480" w:lineRule="auto"/>
      </w:pPr>
    </w:p>
    <w:p w14:paraId="79A4AEB8">
      <w:pPr>
        <w:widowControl/>
        <w:spacing w:line="480" w:lineRule="auto"/>
      </w:pPr>
    </w:p>
    <w:p w14:paraId="4DDAAF0E">
      <w:pPr>
        <w:widowControl/>
        <w:spacing w:line="480" w:lineRule="auto"/>
      </w:pPr>
    </w:p>
    <w:p w14:paraId="1B5E388D">
      <w:pPr>
        <w:widowControl/>
        <w:spacing w:line="480" w:lineRule="auto"/>
      </w:pPr>
    </w:p>
    <w:p w14:paraId="4099D6B9">
      <w:pPr>
        <w:widowControl/>
        <w:spacing w:line="480" w:lineRule="auto"/>
      </w:pPr>
    </w:p>
    <w:p w14:paraId="48E551AA">
      <w:pPr>
        <w:widowControl/>
        <w:spacing w:line="480" w:lineRule="auto"/>
      </w:pPr>
    </w:p>
    <w:p w14:paraId="5CF3CE2E">
      <w:pPr>
        <w:widowControl/>
        <w:spacing w:line="480" w:lineRule="auto"/>
      </w:pPr>
      <w:r>
        <w:drawing>
          <wp:inline distT="0" distB="0" distL="114300" distR="114300">
            <wp:extent cx="5271135" cy="5375275"/>
            <wp:effectExtent l="0" t="0" r="1206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37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D0BF4">
      <w:pPr>
        <w:widowControl/>
        <w:spacing w:line="480" w:lineRule="auto"/>
      </w:pPr>
    </w:p>
    <w:p w14:paraId="0562E637">
      <w:pPr>
        <w:widowControl/>
        <w:spacing w:line="480" w:lineRule="auto"/>
      </w:pPr>
    </w:p>
    <w:p w14:paraId="37CB5D2F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2E8F55D5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29282344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22D48146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4FF4AD66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3F55A3FC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5E4903F8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45DB1D06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5BF84890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1DA96FB0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152AE698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p w14:paraId="1DBA8BBC">
      <w:pPr>
        <w:jc w:val="both"/>
        <w:rPr>
          <w:rFonts w:hint="default" w:ascii="Times New Roman Bold" w:hAnsi="Times New Roman Bold" w:cs="Times New Roman Bold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703020202090204"/>
    <w:charset w:val="00"/>
    <w:family w:val="auto"/>
    <w:pitch w:val="default"/>
    <w:sig w:usb0="00000287" w:usb1="00000000" w:usb2="00000000" w:usb3="00000000" w:csb0="200000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UZFEBK Calibri-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SFont&lt;0xf27ae592c8ad5f23&gt;">
    <w:altName w:val="苹方-简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7E43C7"/>
    <w:rsid w:val="326FE30C"/>
    <w:rsid w:val="3D8736AF"/>
    <w:rsid w:val="3EFFDF06"/>
    <w:rsid w:val="5CFF034E"/>
    <w:rsid w:val="5FFF936E"/>
    <w:rsid w:val="737D1BB1"/>
    <w:rsid w:val="73CB5443"/>
    <w:rsid w:val="78FE7B04"/>
    <w:rsid w:val="7DF121C5"/>
    <w:rsid w:val="7F7C5A73"/>
    <w:rsid w:val="7FF4596E"/>
    <w:rsid w:val="7FF775FD"/>
    <w:rsid w:val="BEEF37CA"/>
    <w:rsid w:val="D4DFEDDF"/>
    <w:rsid w:val="DE4FE368"/>
    <w:rsid w:val="FAAFF3B3"/>
    <w:rsid w:val="FB7F5383"/>
    <w:rsid w:val="FDAF45A6"/>
    <w:rsid w:val="FE7D4DD1"/>
    <w:rsid w:val="FE7E43C7"/>
    <w:rsid w:val="FEC43E75"/>
    <w:rsid w:val="FF7FD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sz w:val="32"/>
    </w:rPr>
  </w:style>
  <w:style w:type="paragraph" w:styleId="3">
    <w:name w:val="Normal (Web)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s8"/>
    <w:basedOn w:val="6"/>
    <w:uiPriority w:val="0"/>
    <w:rPr>
      <w:rFonts w:hint="default" w:ascii="Trebuchet MS" w:hAnsi="Trebuchet MS" w:cs="Trebuchet MS"/>
      <w:b/>
      <w:bCs/>
      <w:color w:val="FFFFFF"/>
      <w:sz w:val="16"/>
      <w:szCs w:val="16"/>
    </w:rPr>
  </w:style>
  <w:style w:type="character" w:customStyle="1" w:styleId="9">
    <w:name w:val="s17"/>
    <w:basedOn w:val="6"/>
    <w:uiPriority w:val="0"/>
    <w:rPr>
      <w:rFonts w:hint="default" w:ascii="Helvetica" w:hAnsi="Helvetica" w:eastAsia="Helvetica" w:cs="Helvetica"/>
      <w:color w:val="000000"/>
      <w:sz w:val="17"/>
      <w:szCs w:val="17"/>
    </w:rPr>
  </w:style>
  <w:style w:type="character" w:customStyle="1" w:styleId="10">
    <w:name w:val="s16"/>
    <w:basedOn w:val="6"/>
    <w:uiPriority w:val="0"/>
    <w:rPr>
      <w:rFonts w:ascii="UZFEBK Calibri-Light" w:hAnsi="UZFEBK Calibri-Light" w:eastAsia="serif" w:cs="serif"/>
      <w:color w:val="000000"/>
      <w:sz w:val="17"/>
      <w:szCs w:val="17"/>
    </w:rPr>
  </w:style>
  <w:style w:type="character" w:customStyle="1" w:styleId="11">
    <w:name w:val="s9"/>
    <w:basedOn w:val="6"/>
    <w:uiPriority w:val="0"/>
    <w:rPr>
      <w:rFonts w:hint="default" w:ascii="Trebuchet MS" w:hAnsi="Trebuchet MS" w:cs="Trebuchet MS"/>
      <w:b/>
      <w:bCs/>
      <w:color w:val="FFFFFF"/>
      <w:sz w:val="16"/>
      <w:szCs w:val="16"/>
    </w:rPr>
  </w:style>
  <w:style w:type="character" w:customStyle="1" w:styleId="12">
    <w:name w:val="s12"/>
    <w:basedOn w:val="6"/>
    <w:uiPriority w:val="0"/>
    <w:rPr>
      <w:rFonts w:hint="default" w:ascii="Helvetica" w:hAnsi="Helvetica" w:eastAsia="Helvetica" w:cs="Helvetica"/>
      <w:color w:val="FFFFFF"/>
      <w:sz w:val="17"/>
      <w:szCs w:val="17"/>
    </w:rPr>
  </w:style>
  <w:style w:type="character" w:customStyle="1" w:styleId="13">
    <w:name w:val="s14"/>
    <w:basedOn w:val="6"/>
    <w:uiPriority w:val="0"/>
    <w:rPr>
      <w:rFonts w:hint="default" w:ascii="UZFEBK Calibri-Light" w:hAnsi="UZFEBK Calibri-Light" w:eastAsia="serif" w:cs="serif"/>
      <w:color w:val="000000"/>
      <w:sz w:val="17"/>
      <w:szCs w:val="17"/>
    </w:rPr>
  </w:style>
  <w:style w:type="character" w:customStyle="1" w:styleId="14">
    <w:name w:val="s19"/>
    <w:basedOn w:val="6"/>
    <w:uiPriority w:val="0"/>
    <w:rPr>
      <w:rFonts w:hint="default" w:ascii="NSFont&lt;0xf27ae592c8ad5f23&gt;" w:hAnsi="NSFont&lt;0xf27ae592c8ad5f23&gt;" w:eastAsia="NSFont&lt;0xf27ae592c8ad5f23&gt;" w:cs="NSFont&lt;0xf27ae592c8ad5f23&gt;"/>
      <w:color w:val="000000"/>
      <w:sz w:val="17"/>
      <w:szCs w:val="17"/>
    </w:rPr>
  </w:style>
  <w:style w:type="character" w:customStyle="1" w:styleId="15">
    <w:name w:val="s18"/>
    <w:basedOn w:val="6"/>
    <w:uiPriority w:val="0"/>
    <w:rPr>
      <w:rFonts w:hint="default" w:ascii="Helvetica" w:hAnsi="Helvetica" w:eastAsia="Helvetica" w:cs="Helvetica"/>
      <w:color w:val="000000"/>
      <w:sz w:val="17"/>
      <w:szCs w:val="17"/>
    </w:rPr>
  </w:style>
  <w:style w:type="character" w:customStyle="1" w:styleId="16">
    <w:name w:val="s11"/>
    <w:basedOn w:val="6"/>
    <w:uiPriority w:val="0"/>
    <w:rPr>
      <w:rFonts w:hint="default" w:ascii="Trebuchet MS" w:hAnsi="Trebuchet MS" w:cs="Trebuchet MS"/>
      <w:b/>
      <w:bCs/>
      <w:color w:val="FFFFFF"/>
      <w:sz w:val="17"/>
      <w:szCs w:val="17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Office_6.8.1.8848_F1E327BC-269C-435d-A152-05C5408002CA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2024-06-22T09:46:00Z</dcterms:created>
  <dc:creator>z</dc:creator>
  <cp:lastModifiedBy>z</cp:lastModifiedBy>
  <dcterms:modified xsi:type="dcterms:W3CDTF">2024-11-25T22:13:28Z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2052-6.8.1.8848</vt:lpwstr>
  </property>
  <property fmtid="{D5CDD505-2E9C-101B-9397-08002B2CF9AE}" pid="3" name="ICV">
    <vt:lpwstr>2297E486CE9EBA2AF4854467A02D73A7_43</vt:lpwstr>
  </property>
</Properties>
</file>