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4903A" w14:textId="77777777" w:rsidR="00153934" w:rsidRDefault="00153934" w:rsidP="00153934">
      <w:pPr>
        <w:rPr>
          <w:rFonts w:ascii="Times New Roman Bold" w:hAnsi="Times New Roman Bold" w:cs="Times New Roman Bold"/>
          <w:b/>
          <w:bCs/>
        </w:rPr>
      </w:pPr>
      <w:r>
        <w:rPr>
          <w:rFonts w:ascii="Times New Roman Bold" w:hAnsi="Times New Roman Bold" w:cs="Times New Roman Bold"/>
          <w:b/>
          <w:bCs/>
        </w:rPr>
        <w:t>Table 1. Summary of study objectives and end points.</w:t>
      </w:r>
    </w:p>
    <w:tbl>
      <w:tblPr>
        <w:tblStyle w:val="TableGrid"/>
        <w:tblW w:w="0" w:type="auto"/>
        <w:tblLook w:val="04A0" w:firstRow="1" w:lastRow="0" w:firstColumn="1" w:lastColumn="0" w:noHBand="0" w:noVBand="1"/>
      </w:tblPr>
      <w:tblGrid>
        <w:gridCol w:w="1737"/>
        <w:gridCol w:w="7613"/>
      </w:tblGrid>
      <w:tr w:rsidR="00153934" w14:paraId="26B23C99" w14:textId="77777777" w:rsidTr="00663018">
        <w:tc>
          <w:tcPr>
            <w:tcW w:w="1838" w:type="dxa"/>
          </w:tcPr>
          <w:p w14:paraId="169DD6F1" w14:textId="77777777" w:rsidR="00153934" w:rsidRDefault="00153934" w:rsidP="00663018">
            <w:pPr>
              <w:rPr>
                <w:b/>
                <w:bCs/>
              </w:rPr>
            </w:pPr>
            <w:r>
              <w:rPr>
                <w:b/>
                <w:bCs/>
              </w:rPr>
              <w:t>Study Objectives</w:t>
            </w:r>
          </w:p>
        </w:tc>
        <w:tc>
          <w:tcPr>
            <w:tcW w:w="8505" w:type="dxa"/>
          </w:tcPr>
          <w:p w14:paraId="404B952C" w14:textId="77777777" w:rsidR="00153934" w:rsidRDefault="00153934" w:rsidP="00663018">
            <w:pPr>
              <w:rPr>
                <w:b/>
                <w:bCs/>
                <w:u w:val="single"/>
              </w:rPr>
            </w:pPr>
            <w:r>
              <w:rPr>
                <w:b/>
                <w:bCs/>
                <w:u w:val="single"/>
              </w:rPr>
              <w:t>• Primary</w:t>
            </w:r>
          </w:p>
          <w:p w14:paraId="2EA6869D" w14:textId="77777777" w:rsidR="00153934" w:rsidRDefault="00153934" w:rsidP="00663018">
            <w:r>
              <w:t>To evaluate the efficacy of induction chemo</w:t>
            </w:r>
            <w:r>
              <w:rPr>
                <w:rFonts w:hint="eastAsia"/>
              </w:rPr>
              <w:t>immuno</w:t>
            </w:r>
            <w:r>
              <w:t xml:space="preserve">therapy combined with concurrent chemoradiotherapy in the treatment of patients with locally advanced inoperable esophageal squamous </w:t>
            </w:r>
            <w:r>
              <w:rPr>
                <w:rFonts w:hint="eastAsia"/>
              </w:rPr>
              <w:t>carci</w:t>
            </w:r>
            <w:r>
              <w:t>noma.</w:t>
            </w:r>
          </w:p>
          <w:p w14:paraId="4586EF67" w14:textId="77777777" w:rsidR="00153934" w:rsidRDefault="00153934" w:rsidP="00663018">
            <w:pPr>
              <w:rPr>
                <w:b/>
                <w:bCs/>
                <w:u w:val="single"/>
              </w:rPr>
            </w:pPr>
            <w:r>
              <w:rPr>
                <w:b/>
                <w:bCs/>
                <w:u w:val="single"/>
              </w:rPr>
              <w:t>• Secondary</w:t>
            </w:r>
          </w:p>
          <w:p w14:paraId="649B2F5D" w14:textId="77777777" w:rsidR="00153934" w:rsidRDefault="00153934" w:rsidP="00663018">
            <w:r>
              <w:t xml:space="preserve">To evaluate the </w:t>
            </w:r>
            <w:r>
              <w:rPr>
                <w:rFonts w:hint="eastAsia"/>
              </w:rPr>
              <w:t>sa</w:t>
            </w:r>
            <w:r>
              <w:t>fety of induction chemoimmunotherapy combined with concurrent chemoradiotherapy in the treatment of patients with locally advanced inoperable esophageal squamous carcinoma.</w:t>
            </w:r>
          </w:p>
          <w:p w14:paraId="3074E0AC" w14:textId="77777777" w:rsidR="00153934" w:rsidRDefault="00153934" w:rsidP="00663018">
            <w:pPr>
              <w:rPr>
                <w:b/>
                <w:bCs/>
                <w:u w:val="single"/>
              </w:rPr>
            </w:pPr>
            <w:r>
              <w:rPr>
                <w:b/>
                <w:bCs/>
                <w:u w:val="single"/>
              </w:rPr>
              <w:t>• Translational/exploratory</w:t>
            </w:r>
          </w:p>
          <w:p w14:paraId="0EDBF0D1" w14:textId="77777777" w:rsidR="00153934" w:rsidRDefault="00153934" w:rsidP="00663018">
            <w:r>
              <w:t xml:space="preserve">The relationship between PD-L1 expression in </w:t>
            </w:r>
            <w:r>
              <w:rPr>
                <w:rFonts w:hint="eastAsia"/>
              </w:rPr>
              <w:t>t</w:t>
            </w:r>
            <w:r>
              <w:t>umor tissue, immune microenvironment, plasma cytokines and efficacy.</w:t>
            </w:r>
          </w:p>
        </w:tc>
      </w:tr>
      <w:tr w:rsidR="00153934" w14:paraId="3D5DC482" w14:textId="77777777" w:rsidTr="00663018">
        <w:tc>
          <w:tcPr>
            <w:tcW w:w="1838" w:type="dxa"/>
          </w:tcPr>
          <w:p w14:paraId="1ECB75AD" w14:textId="77777777" w:rsidR="00153934" w:rsidRDefault="00153934" w:rsidP="00663018">
            <w:pPr>
              <w:rPr>
                <w:b/>
                <w:bCs/>
              </w:rPr>
            </w:pPr>
            <w:r>
              <w:rPr>
                <w:b/>
                <w:bCs/>
              </w:rPr>
              <w:t>End points</w:t>
            </w:r>
          </w:p>
        </w:tc>
        <w:tc>
          <w:tcPr>
            <w:tcW w:w="8505" w:type="dxa"/>
          </w:tcPr>
          <w:p w14:paraId="7E6E3B3F" w14:textId="77777777" w:rsidR="00153934" w:rsidRDefault="00153934" w:rsidP="00663018">
            <w:pPr>
              <w:rPr>
                <w:b/>
                <w:bCs/>
                <w:u w:val="single"/>
              </w:rPr>
            </w:pPr>
            <w:r>
              <w:rPr>
                <w:b/>
                <w:bCs/>
                <w:u w:val="single"/>
              </w:rPr>
              <w:t>• Primary</w:t>
            </w:r>
          </w:p>
          <w:p w14:paraId="65E3D213" w14:textId="77777777" w:rsidR="00153934" w:rsidRDefault="00153934" w:rsidP="00663018">
            <w:r>
              <w:t>PFS assessed by the investigators</w:t>
            </w:r>
          </w:p>
          <w:p w14:paraId="6FFF1C35" w14:textId="77777777" w:rsidR="00153934" w:rsidRDefault="00153934" w:rsidP="00663018">
            <w:pPr>
              <w:rPr>
                <w:b/>
                <w:bCs/>
                <w:u w:val="single"/>
              </w:rPr>
            </w:pPr>
            <w:r>
              <w:rPr>
                <w:b/>
                <w:bCs/>
                <w:u w:val="single"/>
              </w:rPr>
              <w:t>• Secondary</w:t>
            </w:r>
          </w:p>
          <w:p w14:paraId="28EA2061" w14:textId="77777777" w:rsidR="00153934" w:rsidRDefault="00153934" w:rsidP="00663018">
            <w:r>
              <w:t>Objective response rate (ORR)</w:t>
            </w:r>
          </w:p>
          <w:p w14:paraId="38E8FE48" w14:textId="77777777" w:rsidR="00153934" w:rsidRDefault="00153934" w:rsidP="00663018">
            <w:r>
              <w:t>Overall survival (OS)</w:t>
            </w:r>
          </w:p>
          <w:p w14:paraId="5D6FF036" w14:textId="77777777" w:rsidR="00153934" w:rsidRDefault="00153934" w:rsidP="00663018">
            <w:r>
              <w:t>Duration of response (DoR)</w:t>
            </w:r>
          </w:p>
          <w:p w14:paraId="2A5F4293" w14:textId="77777777" w:rsidR="00153934" w:rsidRDefault="00153934" w:rsidP="00663018">
            <w:r>
              <w:t>Safety: Adverse event (AE), serious adverse time (SAE).</w:t>
            </w:r>
          </w:p>
          <w:p w14:paraId="2389DE04" w14:textId="77777777" w:rsidR="00153934" w:rsidRDefault="00153934" w:rsidP="00663018">
            <w:pPr>
              <w:rPr>
                <w:b/>
                <w:bCs/>
                <w:u w:val="single"/>
              </w:rPr>
            </w:pPr>
            <w:r>
              <w:rPr>
                <w:b/>
                <w:bCs/>
                <w:u w:val="single"/>
              </w:rPr>
              <w:t>• Exploratory</w:t>
            </w:r>
          </w:p>
          <w:p w14:paraId="7B170668" w14:textId="77777777" w:rsidR="00153934" w:rsidRDefault="00153934" w:rsidP="00663018">
            <w:r>
              <w:t xml:space="preserve">The relationship between PD-L1 expression in </w:t>
            </w:r>
            <w:r>
              <w:rPr>
                <w:rFonts w:hint="eastAsia"/>
              </w:rPr>
              <w:t>t</w:t>
            </w:r>
            <w:r>
              <w:t>umor tissue, immune microenvironment, plasma cytokines and efficacy.</w:t>
            </w:r>
          </w:p>
        </w:tc>
      </w:tr>
    </w:tbl>
    <w:p w14:paraId="51488B76" w14:textId="77777777" w:rsidR="00153934" w:rsidRDefault="00153934" w:rsidP="00153934">
      <w:pPr>
        <w:rPr>
          <w:rFonts w:ascii="Times New Roman" w:hAnsi="Times New Roman" w:cs="Times New Roman"/>
        </w:rPr>
      </w:pPr>
    </w:p>
    <w:p w14:paraId="671B1EB5" w14:textId="77777777" w:rsidR="00153934" w:rsidRDefault="00153934" w:rsidP="00153934">
      <w:pPr>
        <w:rPr>
          <w:rFonts w:ascii="Times New Roman Bold" w:hAnsi="Times New Roman Bold" w:cs="Times New Roman Bold"/>
          <w:b/>
          <w:bCs/>
        </w:rPr>
      </w:pPr>
      <w:r>
        <w:rPr>
          <w:rFonts w:ascii="Times New Roman Bold" w:hAnsi="Times New Roman Bold" w:cs="Times New Roman Bold"/>
          <w:b/>
          <w:bCs/>
        </w:rPr>
        <w:t>Table 2. Eligibility criteria for enrollment.</w:t>
      </w:r>
    </w:p>
    <w:tbl>
      <w:tblPr>
        <w:tblStyle w:val="TableGrid"/>
        <w:tblW w:w="0" w:type="auto"/>
        <w:tblLook w:val="04A0" w:firstRow="1" w:lastRow="0" w:firstColumn="1" w:lastColumn="0" w:noHBand="0" w:noVBand="1"/>
      </w:tblPr>
      <w:tblGrid>
        <w:gridCol w:w="3826"/>
        <w:gridCol w:w="5524"/>
      </w:tblGrid>
      <w:tr w:rsidR="00153934" w14:paraId="426CF862" w14:textId="77777777" w:rsidTr="00663018">
        <w:tc>
          <w:tcPr>
            <w:tcW w:w="4148" w:type="dxa"/>
          </w:tcPr>
          <w:p w14:paraId="1675F4BA" w14:textId="77777777" w:rsidR="00153934" w:rsidRDefault="00153934" w:rsidP="00663018">
            <w:r>
              <w:t>Inclusion criteria</w:t>
            </w:r>
          </w:p>
        </w:tc>
        <w:tc>
          <w:tcPr>
            <w:tcW w:w="6053" w:type="dxa"/>
          </w:tcPr>
          <w:p w14:paraId="463A376C" w14:textId="77777777" w:rsidR="00153934" w:rsidRDefault="00153934" w:rsidP="00663018">
            <w:r>
              <w:t>Exclusion criteria</w:t>
            </w:r>
          </w:p>
        </w:tc>
      </w:tr>
      <w:tr w:rsidR="00153934" w14:paraId="303FC6C1" w14:textId="77777777" w:rsidTr="00663018">
        <w:tc>
          <w:tcPr>
            <w:tcW w:w="4148" w:type="dxa"/>
          </w:tcPr>
          <w:p w14:paraId="6981B2BF" w14:textId="77777777" w:rsidR="00153934" w:rsidRDefault="00153934" w:rsidP="00663018">
            <w:r>
              <w:t>1. Patients voluntarily participated in this study, signed informed consent, had good compliance, and cooperated with follow-up visits;</w:t>
            </w:r>
          </w:p>
          <w:p w14:paraId="2FB33FDA" w14:textId="77777777" w:rsidR="00153934" w:rsidRDefault="00153934" w:rsidP="00663018">
            <w:r>
              <w:t>2. 18-75 years old;</w:t>
            </w:r>
          </w:p>
          <w:p w14:paraId="0AA54858" w14:textId="77777777" w:rsidR="00153934" w:rsidRDefault="00153934" w:rsidP="00663018">
            <w:r>
              <w:t>3.Histologically confirmed locally advanced esophageal squamous cell carcinoma with clinical stage II-IVA (according to AJCC 8th, the pre-treatment clinical stage is cT1N2-3M0, cT2-4bN0-3M0), unresectable (including unresectable, or with contraindications or refusal to undergo surgery);</w:t>
            </w:r>
          </w:p>
          <w:p w14:paraId="01D509A6" w14:textId="77777777" w:rsidR="00153934" w:rsidRDefault="00153934" w:rsidP="00663018">
            <w:r>
              <w:t>4. At least one lesion measurable and/or unmeasurable as defined by solid tumor response Evaluation Criteria (RECIST v1.1);</w:t>
            </w:r>
          </w:p>
          <w:p w14:paraId="64DFE930" w14:textId="77777777" w:rsidR="00153934" w:rsidRDefault="00153934" w:rsidP="00663018">
            <w:r>
              <w:t>5. Patients have not received any systemic anti-tumor therapy (including but not limited to systemic chemotherapy, radiotherapy, molecular targeted drug therapy, immunotherapy, biotherapy, local therapy and other investigational therapeutic drugs, etc.);</w:t>
            </w:r>
          </w:p>
          <w:p w14:paraId="7D01C601" w14:textId="77777777" w:rsidR="00153934" w:rsidRDefault="00153934" w:rsidP="00663018">
            <w:r>
              <w:t>6. ECOG Performance Status 0–1;</w:t>
            </w:r>
          </w:p>
          <w:p w14:paraId="481616F7" w14:textId="77777777" w:rsidR="00153934" w:rsidRDefault="00153934" w:rsidP="00663018">
            <w:r>
              <w:t xml:space="preserve">7. Fresh or archived tumor tissue samples (fresh samples are preferred) within 6 months should be provided for biomarker </w:t>
            </w:r>
            <w:r>
              <w:lastRenderedPageBreak/>
              <w:t>(e.g. PD-L1) analysis. FFPE tumor tissue blocks or at least 5 unstained FFPE tumor slices with a thickness of 3-5μm;</w:t>
            </w:r>
          </w:p>
          <w:p w14:paraId="127BCC4A" w14:textId="77777777" w:rsidR="00153934" w:rsidRDefault="00153934" w:rsidP="00663018">
            <w:r>
              <w:t>8. Predicted life expectancy of at least 3 months;</w:t>
            </w:r>
          </w:p>
          <w:p w14:paraId="3258DC18" w14:textId="77777777" w:rsidR="00153934" w:rsidRDefault="00153934" w:rsidP="00663018">
            <w:r>
              <w:t>9. Adequate vital organ functions meets the following requirements. Patients must be free of blood transfusion and G-CSF within 2 weeks before screening) :</w:t>
            </w:r>
          </w:p>
          <w:p w14:paraId="16005AD0" w14:textId="77777777" w:rsidR="00153934" w:rsidRDefault="00153934" w:rsidP="00663018">
            <w:r>
              <w:t>• Absolute neutrophil count (ANC) ≥1.5×10</w:t>
            </w:r>
            <w:r>
              <w:rPr>
                <w:vertAlign w:val="superscript"/>
              </w:rPr>
              <w:t>9</w:t>
            </w:r>
            <w:r>
              <w:t>/L;</w:t>
            </w:r>
          </w:p>
          <w:p w14:paraId="26A8AC17" w14:textId="77777777" w:rsidR="00153934" w:rsidRDefault="00153934" w:rsidP="00663018">
            <w:r>
              <w:t>• Platelets ≥100×10</w:t>
            </w:r>
            <w:r>
              <w:rPr>
                <w:vertAlign w:val="superscript"/>
              </w:rPr>
              <w:t>9</w:t>
            </w:r>
            <w:r>
              <w:t>/L;</w:t>
            </w:r>
          </w:p>
          <w:p w14:paraId="2FDEAF9F" w14:textId="77777777" w:rsidR="00153934" w:rsidRDefault="00153934" w:rsidP="00663018">
            <w:r>
              <w:t>• Hemoglobin ≥9g/dL;</w:t>
            </w:r>
          </w:p>
          <w:p w14:paraId="0D042242" w14:textId="77777777" w:rsidR="00153934" w:rsidRDefault="00153934" w:rsidP="00663018">
            <w:r>
              <w:t>• Serum albumin ≥2.8g/dL;</w:t>
            </w:r>
          </w:p>
          <w:p w14:paraId="72A2F9FE" w14:textId="77777777" w:rsidR="00153934" w:rsidRDefault="00153934" w:rsidP="00663018">
            <w:r>
              <w:t>• Total bilirubin ≤1.5 × ULN, ALT, AST, alkaline phosphatase (ALP) ≤2.5 × ULN;</w:t>
            </w:r>
          </w:p>
          <w:p w14:paraId="715D7211" w14:textId="77777777" w:rsidR="00153934" w:rsidRDefault="00153934" w:rsidP="00663018">
            <w:r>
              <w:t>• Serum creatinine ≤1.5 × ULN or creatinine clearance ≥60mL/min (calculated according to the Cockcroft-Gault formula);</w:t>
            </w:r>
          </w:p>
          <w:p w14:paraId="28EDEC7D" w14:textId="77777777" w:rsidR="00153934" w:rsidRDefault="00153934" w:rsidP="00663018">
            <w:r>
              <w:t>• International Standardized ratio (INR) and activated partial thromboplastin time (APTT) ≤1.5× ULN (for stable dose anticoagulants such as low molecular weight heparin or warfarin and INR within the intended therapeutic range of anticoagulants can be screened);</w:t>
            </w:r>
          </w:p>
          <w:p w14:paraId="4A964A0E" w14:textId="77777777" w:rsidR="00153934" w:rsidRDefault="00153934" w:rsidP="00663018">
            <w:r>
              <w:t>10. Fertile subjects who had a negative serum pregnancy test within 72 hours prior to the first use of the study drug and agreed to use effective contraception from the date of signing the informed consent until 180 days after the last use of the study drug.</w:t>
            </w:r>
          </w:p>
        </w:tc>
        <w:tc>
          <w:tcPr>
            <w:tcW w:w="6053" w:type="dxa"/>
          </w:tcPr>
          <w:p w14:paraId="02A3E257" w14:textId="77777777" w:rsidR="00153934" w:rsidRDefault="00153934" w:rsidP="00663018">
            <w:r>
              <w:lastRenderedPageBreak/>
              <w:t>1. History of esophageal cancer surgery;</w:t>
            </w:r>
          </w:p>
          <w:p w14:paraId="642EE29E" w14:textId="77777777" w:rsidR="00153934" w:rsidRDefault="00153934" w:rsidP="00663018">
            <w:r>
              <w:t>2. Previous history of fistula caused by primary tumor infiltration;</w:t>
            </w:r>
          </w:p>
          <w:p w14:paraId="75B8BE62" w14:textId="77777777" w:rsidR="00153934" w:rsidRDefault="00153934" w:rsidP="00663018">
            <w:r>
              <w:t>3.High risk of gastrointestinal bleeding, esophageal fistula or esophageal perforation;</w:t>
            </w:r>
          </w:p>
          <w:p w14:paraId="4B6CB787" w14:textId="77777777" w:rsidR="00153934" w:rsidRDefault="00153934" w:rsidP="00663018">
            <w:r>
              <w:t>4. Poor nutritional status and weight loss of ≥10% within 2 months before screening;</w:t>
            </w:r>
          </w:p>
          <w:p w14:paraId="24C98EAF" w14:textId="77777777" w:rsidR="00153934" w:rsidRDefault="00153934" w:rsidP="00663018">
            <w:r>
              <w:t>5. Major surgery or severe trauma within 4 weeks prior to the first use of the study drug;</w:t>
            </w:r>
          </w:p>
          <w:p w14:paraId="6373A4D7" w14:textId="77777777" w:rsidR="00153934" w:rsidRDefault="00153934" w:rsidP="00663018">
            <w:r>
              <w:t>6. Uncontrolled pleural effusion, pericardial effusion or ascites requir</w:t>
            </w:r>
            <w:r>
              <w:rPr>
                <w:rFonts w:hint="eastAsia"/>
              </w:rPr>
              <w:t>ed</w:t>
            </w:r>
            <w:r>
              <w:t xml:space="preserve"> repeated drainage;</w:t>
            </w:r>
          </w:p>
          <w:p w14:paraId="6687C111" w14:textId="77777777" w:rsidR="00153934" w:rsidRDefault="00153934" w:rsidP="00663018">
            <w:r>
              <w:t>7. Have received or are receiving any of the following treatment:</w:t>
            </w:r>
          </w:p>
          <w:p w14:paraId="010697C6" w14:textId="77777777" w:rsidR="00153934" w:rsidRDefault="00153934" w:rsidP="00663018">
            <w:r>
              <w:t>a. Anti-PD-1 or anti-PD-L1 or anti-CTLA-4 antibody therapy, chemotherapy, radiotherapy, targeted therapy;</w:t>
            </w:r>
          </w:p>
          <w:p w14:paraId="74F93E4C" w14:textId="77777777" w:rsidR="00153934" w:rsidRDefault="00153934" w:rsidP="00663018">
            <w:r>
              <w:t>b. Received any investigational drug within 4 weeks prior to the first use of the investigational drug;</w:t>
            </w:r>
          </w:p>
          <w:p w14:paraId="18D7F2BB" w14:textId="77777777" w:rsidR="00153934" w:rsidRDefault="00153934" w:rsidP="00663018">
            <w:r>
              <w:t>c. Requiring systemic treatment with corticosteroids (equivalent dose &gt; 10 mg prednisone per day) or other immunosuppressants within 2 weeks prior to initial use of the study drug;</w:t>
            </w:r>
          </w:p>
          <w:p w14:paraId="2F87BE63" w14:textId="77777777" w:rsidR="00153934" w:rsidRDefault="00153934" w:rsidP="00663018">
            <w:r>
              <w:t>d. Received anti-tumor vaccine or have received live vaccine within 4 weeks prior to the first administration of the study drug;</w:t>
            </w:r>
          </w:p>
          <w:p w14:paraId="059F9643" w14:textId="77777777" w:rsidR="00153934" w:rsidRDefault="00153934" w:rsidP="00663018">
            <w:r>
              <w:t xml:space="preserve">8. Have any active autoimmune disease or history of autoimmune disease (e.g., interstitial pneumonia, uveitis, enteritis, hepatitis, hypophysitis, vasculitis, myocarditis, nephritis, hyperthyroidism, hypothyroidism). Except for patients with vitiligo or asthma/allergies that have recovered </w:t>
            </w:r>
            <w:r>
              <w:lastRenderedPageBreak/>
              <w:t>and require no intervention as adults. Autoimmune mediated hypothyroidism treated with a stable dose of thyroid replacement hormone and type I diabetes treated with a stable dose of insulin may be included;</w:t>
            </w:r>
          </w:p>
          <w:p w14:paraId="565447F4" w14:textId="77777777" w:rsidR="00153934" w:rsidRDefault="00153934" w:rsidP="00663018">
            <w:r>
              <w:t>9. A history of immunodeficiency, including HIV testing positive, or other acquired or congenital immunodeficiency diseases, or a history of organ transplantation and allogeneic bone marrow transplantation;</w:t>
            </w:r>
          </w:p>
          <w:p w14:paraId="7A593DA5" w14:textId="77777777" w:rsidR="00153934" w:rsidRDefault="00153934" w:rsidP="00663018">
            <w:r>
              <w:t>10. Patients with uncontrolled cardiac clinical symptoms or diseases, such as (1) NYHA II and above heart failure (2) unstable angina pectoris (3) myocardial infarction within 1 year (4) Clinically significant supraventricular or ventricular arrhythmias requiring clinical intervention;</w:t>
            </w:r>
          </w:p>
          <w:p w14:paraId="4C9ED342" w14:textId="77777777" w:rsidR="00153934" w:rsidRDefault="00153934" w:rsidP="00663018">
            <w:r>
              <w:t>11. Severe infections (CTCAE &gt; II), such as severe pneumonia requiring hospitalization, bacteremia, and infection complications) occurred within 4 weeks prior to the first use of the study drug. Baseline chest imaging indicated active pulmonary inflammation, signs and symptoms of infection within 2 weeks prior to the first use of the study drug requiring treatment with oral or intravenous antibiotics;</w:t>
            </w:r>
          </w:p>
          <w:p w14:paraId="041B6F9C" w14:textId="77777777" w:rsidR="00153934" w:rsidRDefault="00153934" w:rsidP="00663018">
            <w:r>
              <w:t>12. Interstitial lung disease, non-infectious pneumonia, pulmonary function test confirmed ≥ grade 3 pulmonary insufficiency;</w:t>
            </w:r>
          </w:p>
          <w:p w14:paraId="2B9564FA" w14:textId="77777777" w:rsidR="00153934" w:rsidRDefault="00153934" w:rsidP="00663018">
            <w:r>
              <w:t>13. Patients with active pulmonary tuberculosis infection found through medical history or CT examination, or with a history of active pulmonary tuberculosis infection within 1 year before enrollment, or with a history of active pulmonary tuberculosis infection more than 1 year ago but without formal treatment;</w:t>
            </w:r>
          </w:p>
          <w:p w14:paraId="1D4F923B" w14:textId="77777777" w:rsidR="00153934" w:rsidRDefault="00153934" w:rsidP="00663018">
            <w:r>
              <w:t>14. Active hepatitis B (HBV DNA ≥ 2000 IU/mL or 104 copies/mL), hepatitis C (hepatitis C antibody positive and HCV-RNA above the lower limit of assay);</w:t>
            </w:r>
          </w:p>
          <w:p w14:paraId="10A998E2" w14:textId="77777777" w:rsidR="00153934" w:rsidRDefault="00153934" w:rsidP="00663018">
            <w:r>
              <w:t>15. Abnormal laboratory values of sodium, potassium, and calcium greater than grade 1 existed within the first 2 weeks of enrollment, and could not be improved after treatment;</w:t>
            </w:r>
          </w:p>
          <w:p w14:paraId="555AD976" w14:textId="77777777" w:rsidR="00153934" w:rsidRDefault="00153934" w:rsidP="00663018">
            <w:r>
              <w:t>16. Known allergy, hypersensitivity or contraindication to macromolecular protein preparations, or to paclitaxel or cisplatin or any component used in their preparations;</w:t>
            </w:r>
          </w:p>
          <w:p w14:paraId="19556906" w14:textId="77777777" w:rsidR="00153934" w:rsidRDefault="00153934" w:rsidP="00663018">
            <w:r>
              <w:t>17. Have been diagnosed with any other malignancies prior to initial use of the investigational drug, except malignancies with a low risk of metastasis and risk of death (5-year survival &gt; 90%), such as adequately treated basal cell or squamous cell skin cancer or cervical carcinoma in situ;</w:t>
            </w:r>
          </w:p>
          <w:p w14:paraId="7CAAC6E5" w14:textId="77777777" w:rsidR="00153934" w:rsidRDefault="00153934" w:rsidP="00663018">
            <w:r>
              <w:t>18. Pregnant or lactating women;</w:t>
            </w:r>
          </w:p>
          <w:p w14:paraId="3E9D367A" w14:textId="77777777" w:rsidR="00153934" w:rsidRDefault="00153934" w:rsidP="00663018">
            <w:r>
              <w:t>As determined by the investigator, the subjects have other factors that may cause them to be forced to terminate the study, such as other serious medical conditions (including mental illness) requiring co-treatment, recent co-existing serious medical conditions (such as myocardial infarction, cerebrovascular accident) considering a high risk of recurrence, serious abnormalities in laboratory tests, family or social factors, etc. Circumstances that may affect the safety of subjects or the collection of test data.</w:t>
            </w:r>
          </w:p>
        </w:tc>
      </w:tr>
    </w:tbl>
    <w:p w14:paraId="19B8AB30"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New Roman Bold">
    <w:panose1 w:val="02020803070505020304"/>
    <w:charset w:val="00"/>
    <w:family w:val="auto"/>
    <w:pitch w:val="default"/>
    <w:sig w:usb0="E0002AEF" w:usb1="C0007841"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934"/>
    <w:rsid w:val="00021161"/>
    <w:rsid w:val="00153934"/>
    <w:rsid w:val="002978F5"/>
    <w:rsid w:val="003852CF"/>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8EDAC"/>
  <w15:chartTrackingRefBased/>
  <w15:docId w15:val="{C4B9A673-FF5C-4B48-BE4A-BF68B9EF5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934"/>
    <w:pPr>
      <w:widowControl w:val="0"/>
      <w:spacing w:after="0" w:line="240" w:lineRule="auto"/>
      <w:jc w:val="both"/>
    </w:pPr>
    <w:rPr>
      <w:rFonts w:eastAsiaTheme="minorEastAsia"/>
      <w:sz w:val="21"/>
      <w:lang w:eastAsia="zh-CN"/>
    </w:rPr>
  </w:style>
  <w:style w:type="paragraph" w:styleId="Heading1">
    <w:name w:val="heading 1"/>
    <w:basedOn w:val="Normal"/>
    <w:next w:val="Normal"/>
    <w:link w:val="Heading1Char"/>
    <w:uiPriority w:val="9"/>
    <w:qFormat/>
    <w:rsid w:val="00153934"/>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153934"/>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153934"/>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153934"/>
    <w:pPr>
      <w:keepNext/>
      <w:keepLines/>
      <w:widowControl/>
      <w:spacing w:before="80" w:after="40" w:line="278" w:lineRule="auto"/>
      <w:jc w:val="left"/>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153934"/>
    <w:pPr>
      <w:keepNext/>
      <w:keepLines/>
      <w:widowControl/>
      <w:spacing w:before="80" w:after="40" w:line="278" w:lineRule="auto"/>
      <w:jc w:val="left"/>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153934"/>
    <w:pPr>
      <w:keepNext/>
      <w:keepLines/>
      <w:widowControl/>
      <w:spacing w:before="40" w:line="278" w:lineRule="auto"/>
      <w:jc w:val="left"/>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153934"/>
    <w:pPr>
      <w:keepNext/>
      <w:keepLines/>
      <w:widowControl/>
      <w:spacing w:before="40" w:line="278" w:lineRule="auto"/>
      <w:jc w:val="left"/>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153934"/>
    <w:pPr>
      <w:keepNext/>
      <w:keepLines/>
      <w:widowControl/>
      <w:spacing w:line="278" w:lineRule="auto"/>
      <w:jc w:val="left"/>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153934"/>
    <w:pPr>
      <w:keepNext/>
      <w:keepLines/>
      <w:widowControl/>
      <w:spacing w:line="278" w:lineRule="auto"/>
      <w:jc w:val="left"/>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9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539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539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39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39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39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39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39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3934"/>
    <w:rPr>
      <w:rFonts w:eastAsiaTheme="majorEastAsia" w:cstheme="majorBidi"/>
      <w:color w:val="272727" w:themeColor="text1" w:themeTint="D8"/>
    </w:rPr>
  </w:style>
  <w:style w:type="paragraph" w:styleId="Title">
    <w:name w:val="Title"/>
    <w:basedOn w:val="Normal"/>
    <w:next w:val="Normal"/>
    <w:link w:val="TitleChar"/>
    <w:uiPriority w:val="10"/>
    <w:qFormat/>
    <w:rsid w:val="00153934"/>
    <w:pPr>
      <w:widowControl/>
      <w:spacing w:after="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1539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3934"/>
    <w:pPr>
      <w:widowControl/>
      <w:numPr>
        <w:ilvl w:val="1"/>
      </w:numPr>
      <w:spacing w:after="160" w:line="278" w:lineRule="auto"/>
      <w:jc w:val="left"/>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1539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3934"/>
    <w:pPr>
      <w:widowControl/>
      <w:spacing w:before="160" w:after="160" w:line="278" w:lineRule="auto"/>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153934"/>
    <w:rPr>
      <w:i/>
      <w:iCs/>
      <w:color w:val="404040" w:themeColor="text1" w:themeTint="BF"/>
    </w:rPr>
  </w:style>
  <w:style w:type="paragraph" w:styleId="ListParagraph">
    <w:name w:val="List Paragraph"/>
    <w:basedOn w:val="Normal"/>
    <w:uiPriority w:val="34"/>
    <w:qFormat/>
    <w:rsid w:val="00153934"/>
    <w:pPr>
      <w:widowControl/>
      <w:spacing w:after="160" w:line="278" w:lineRule="auto"/>
      <w:ind w:left="720"/>
      <w:contextualSpacing/>
      <w:jc w:val="left"/>
    </w:pPr>
    <w:rPr>
      <w:rFonts w:eastAsiaTheme="minorHAnsi"/>
      <w:sz w:val="24"/>
      <w:lang w:eastAsia="en-US"/>
    </w:rPr>
  </w:style>
  <w:style w:type="character" w:styleId="IntenseEmphasis">
    <w:name w:val="Intense Emphasis"/>
    <w:basedOn w:val="DefaultParagraphFont"/>
    <w:uiPriority w:val="21"/>
    <w:qFormat/>
    <w:rsid w:val="00153934"/>
    <w:rPr>
      <w:i/>
      <w:iCs/>
      <w:color w:val="0F4761" w:themeColor="accent1" w:themeShade="BF"/>
    </w:rPr>
  </w:style>
  <w:style w:type="paragraph" w:styleId="IntenseQuote">
    <w:name w:val="Intense Quote"/>
    <w:basedOn w:val="Normal"/>
    <w:next w:val="Normal"/>
    <w:link w:val="IntenseQuoteChar"/>
    <w:uiPriority w:val="30"/>
    <w:qFormat/>
    <w:rsid w:val="0015393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153934"/>
    <w:rPr>
      <w:i/>
      <w:iCs/>
      <w:color w:val="0F4761" w:themeColor="accent1" w:themeShade="BF"/>
    </w:rPr>
  </w:style>
  <w:style w:type="character" w:styleId="IntenseReference">
    <w:name w:val="Intense Reference"/>
    <w:basedOn w:val="DefaultParagraphFont"/>
    <w:uiPriority w:val="32"/>
    <w:qFormat/>
    <w:rsid w:val="00153934"/>
    <w:rPr>
      <w:b/>
      <w:bCs/>
      <w:smallCaps/>
      <w:color w:val="0F4761" w:themeColor="accent1" w:themeShade="BF"/>
      <w:spacing w:val="5"/>
    </w:rPr>
  </w:style>
  <w:style w:type="table" w:styleId="TableGrid">
    <w:name w:val="Table Grid"/>
    <w:basedOn w:val="TableNormal"/>
    <w:uiPriority w:val="39"/>
    <w:rsid w:val="00153934"/>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1106</Words>
  <Characters>6305</Characters>
  <Application>Microsoft Office Word</Application>
  <DocSecurity>0</DocSecurity>
  <Lines>52</Lines>
  <Paragraphs>14</Paragraphs>
  <ScaleCrop>false</ScaleCrop>
  <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2025-05-16T14:58:00Z</dcterms:created>
  <dcterms:modified xsi:type="dcterms:W3CDTF">2025-05-16T14:58:00Z</dcterms:modified>
</cp:coreProperties>
</file>