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FA61F" w14:textId="7A0F3A47" w:rsidR="003A7EB3" w:rsidRPr="00F24F28" w:rsidRDefault="00494DF0" w:rsidP="004E4877">
      <w:pPr>
        <w:jc w:val="center"/>
        <w:rPr>
          <w:rFonts w:ascii="Times New Roman" w:hAnsi="Times New Roman" w:cs="Times New Roman"/>
          <w:b/>
          <w:bCs/>
          <w:lang w:val="en-US"/>
        </w:rPr>
      </w:pPr>
      <w:r w:rsidRPr="00F24F28">
        <w:rPr>
          <w:rFonts w:ascii="Times New Roman" w:hAnsi="Times New Roman" w:cs="Times New Roman"/>
          <w:b/>
          <w:bCs/>
          <w:lang w:val="en-US"/>
        </w:rPr>
        <w:t>Supplementary Information</w:t>
      </w:r>
      <w:r w:rsidR="004E4877" w:rsidRPr="00F24F28">
        <w:rPr>
          <w:rFonts w:ascii="Times New Roman" w:hAnsi="Times New Roman" w:cs="Times New Roman"/>
          <w:b/>
          <w:bCs/>
          <w:lang w:val="en-US"/>
        </w:rPr>
        <w:t xml:space="preserve"> </w:t>
      </w:r>
      <w:r w:rsidR="00643D07" w:rsidRPr="00F24F28">
        <w:rPr>
          <w:rFonts w:ascii="Times New Roman" w:hAnsi="Times New Roman" w:cs="Times New Roman"/>
          <w:b/>
          <w:bCs/>
          <w:lang w:val="en-US"/>
        </w:rPr>
        <w:t xml:space="preserve">for </w:t>
      </w:r>
    </w:p>
    <w:p w14:paraId="531A6949" w14:textId="77777777" w:rsidR="00E50180" w:rsidRPr="00F24F28" w:rsidRDefault="00E50180" w:rsidP="00E50180">
      <w:pPr>
        <w:jc w:val="center"/>
        <w:rPr>
          <w:rFonts w:ascii="Times New Roman" w:hAnsi="Times New Roman" w:cs="Times New Roman"/>
          <w:b/>
          <w:bCs/>
          <w:color w:val="000000" w:themeColor="text1"/>
          <w:sz w:val="36"/>
          <w:szCs w:val="36"/>
        </w:rPr>
      </w:pPr>
      <w:r w:rsidRPr="00F24F28">
        <w:rPr>
          <w:rFonts w:ascii="Times New Roman" w:hAnsi="Times New Roman" w:cs="Times New Roman"/>
          <w:b/>
          <w:bCs/>
          <w:color w:val="000000" w:themeColor="text1"/>
          <w:sz w:val="36"/>
          <w:szCs w:val="36"/>
        </w:rPr>
        <w:t>Linking phytoplankton phenology and carbon cycling to sea ice retreat timing in the Weddell Sea</w:t>
      </w:r>
    </w:p>
    <w:p w14:paraId="2304DF52" w14:textId="77777777" w:rsidR="005C63D7" w:rsidRPr="00F24F28" w:rsidRDefault="005C63D7" w:rsidP="003A7EB3">
      <w:pPr>
        <w:jc w:val="center"/>
        <w:rPr>
          <w:rFonts w:ascii="Times New Roman" w:hAnsi="Times New Roman" w:cs="Times New Roman"/>
          <w:b/>
          <w:bCs/>
          <w:lang w:val="en-US"/>
        </w:rPr>
      </w:pPr>
    </w:p>
    <w:p w14:paraId="3B4A2C67" w14:textId="77777777" w:rsidR="003A7EB3" w:rsidRPr="00F24F28" w:rsidRDefault="003A7EB3" w:rsidP="003A7EB3">
      <w:pPr>
        <w:spacing w:line="360" w:lineRule="auto"/>
        <w:rPr>
          <w:rFonts w:ascii="Times New Roman" w:hAnsi="Times New Roman" w:cs="Times New Roman"/>
          <w:color w:val="000000" w:themeColor="text1"/>
          <w:vertAlign w:val="superscript"/>
          <w:lang w:val="en-US"/>
        </w:rPr>
      </w:pPr>
      <w:r w:rsidRPr="00F24F28">
        <w:rPr>
          <w:rFonts w:ascii="Times New Roman" w:hAnsi="Times New Roman" w:cs="Times New Roman"/>
          <w:color w:val="000000" w:themeColor="text1"/>
          <w:lang w:val="en-US"/>
        </w:rPr>
        <w:t>Xiang Yang</w:t>
      </w:r>
      <w:r w:rsidRPr="00F24F28">
        <w:rPr>
          <w:rFonts w:ascii="Times New Roman" w:hAnsi="Times New Roman" w:cs="Times New Roman"/>
          <w:color w:val="000000" w:themeColor="text1"/>
          <w:vertAlign w:val="superscript"/>
          <w:lang w:val="en-US"/>
        </w:rPr>
        <w:t>1,2</w:t>
      </w:r>
      <w:r w:rsidRPr="00F24F28">
        <w:rPr>
          <w:rFonts w:ascii="Times New Roman" w:hAnsi="Times New Roman" w:cs="Times New Roman"/>
          <w:color w:val="000000" w:themeColor="text1"/>
          <w:lang w:val="en-US"/>
        </w:rPr>
        <w:t xml:space="preserve">, </w:t>
      </w:r>
      <w:bookmarkStart w:id="0" w:name="OLE_LINK311"/>
      <w:bookmarkStart w:id="1" w:name="OLE_LINK313"/>
      <w:bookmarkStart w:id="2" w:name="OLE_LINK230"/>
      <w:bookmarkStart w:id="3" w:name="OLE_LINK242"/>
      <w:r w:rsidRPr="00F24F28">
        <w:rPr>
          <w:rFonts w:ascii="Times New Roman" w:hAnsi="Times New Roman" w:cs="Times New Roman"/>
          <w:color w:val="000000" w:themeColor="text1"/>
          <w:lang w:val="en-US"/>
        </w:rPr>
        <w:t xml:space="preserve">Cathryn </w:t>
      </w:r>
      <w:bookmarkEnd w:id="0"/>
      <w:bookmarkEnd w:id="1"/>
      <w:r w:rsidRPr="00F24F28">
        <w:rPr>
          <w:rFonts w:ascii="Times New Roman" w:hAnsi="Times New Roman" w:cs="Times New Roman"/>
          <w:color w:val="000000" w:themeColor="text1"/>
          <w:lang w:val="en-US"/>
        </w:rPr>
        <w:t xml:space="preserve">A. </w:t>
      </w:r>
      <w:bookmarkStart w:id="4" w:name="OLE_LINK314"/>
      <w:bookmarkStart w:id="5" w:name="OLE_LINK326"/>
      <w:r w:rsidRPr="00F24F28">
        <w:rPr>
          <w:rFonts w:ascii="Times New Roman" w:hAnsi="Times New Roman" w:cs="Times New Roman"/>
          <w:color w:val="000000" w:themeColor="text1"/>
          <w:lang w:val="en-US"/>
        </w:rPr>
        <w:t xml:space="preserve">Wynn-Edwards </w:t>
      </w:r>
      <w:bookmarkEnd w:id="4"/>
      <w:bookmarkEnd w:id="5"/>
      <w:r w:rsidRPr="00F24F28">
        <w:rPr>
          <w:rFonts w:ascii="Times New Roman" w:hAnsi="Times New Roman" w:cs="Times New Roman"/>
          <w:color w:val="000000" w:themeColor="text1"/>
          <w:vertAlign w:val="superscript"/>
          <w:lang w:val="en-US"/>
        </w:rPr>
        <w:t>2,4</w:t>
      </w:r>
      <w:r w:rsidRPr="00F24F28">
        <w:rPr>
          <w:rFonts w:ascii="Times New Roman" w:hAnsi="Times New Roman" w:cs="Times New Roman"/>
          <w:color w:val="000000" w:themeColor="text1"/>
          <w:lang w:val="en-US"/>
        </w:rPr>
        <w:t>, Peter G. Strutton</w:t>
      </w:r>
      <w:r w:rsidRPr="00F24F28">
        <w:rPr>
          <w:rFonts w:ascii="Times New Roman" w:hAnsi="Times New Roman" w:cs="Times New Roman"/>
          <w:color w:val="000000" w:themeColor="text1"/>
          <w:vertAlign w:val="superscript"/>
          <w:lang w:val="en-US"/>
        </w:rPr>
        <w:t>1,3</w:t>
      </w:r>
      <w:r w:rsidRPr="00F24F28">
        <w:rPr>
          <w:rFonts w:ascii="Times New Roman" w:hAnsi="Times New Roman" w:cs="Times New Roman"/>
          <w:color w:val="000000" w:themeColor="text1"/>
          <w:lang w:val="en-US"/>
        </w:rPr>
        <w:t xml:space="preserve">, </w:t>
      </w:r>
      <w:bookmarkStart w:id="6" w:name="OLE_LINK327"/>
      <w:bookmarkStart w:id="7" w:name="OLE_LINK380"/>
      <w:r w:rsidRPr="00F24F28">
        <w:rPr>
          <w:rFonts w:ascii="Times New Roman" w:hAnsi="Times New Roman" w:cs="Times New Roman"/>
          <w:color w:val="000000" w:themeColor="text1"/>
          <w:lang w:val="en-US"/>
        </w:rPr>
        <w:t xml:space="preserve">Elizabeth </w:t>
      </w:r>
      <w:bookmarkEnd w:id="6"/>
      <w:bookmarkEnd w:id="7"/>
      <w:r w:rsidRPr="00F24F28">
        <w:rPr>
          <w:rFonts w:ascii="Times New Roman" w:hAnsi="Times New Roman" w:cs="Times New Roman"/>
          <w:color w:val="000000" w:themeColor="text1"/>
          <w:lang w:val="en-US"/>
        </w:rPr>
        <w:t xml:space="preserve">H. </w:t>
      </w:r>
      <w:bookmarkStart w:id="8" w:name="OLE_LINK381"/>
      <w:bookmarkStart w:id="9" w:name="OLE_LINK410"/>
      <w:r w:rsidRPr="00F24F28">
        <w:rPr>
          <w:rFonts w:ascii="Times New Roman" w:hAnsi="Times New Roman" w:cs="Times New Roman"/>
          <w:color w:val="000000" w:themeColor="text1"/>
          <w:lang w:val="en-US"/>
        </w:rPr>
        <w:t>Shadwick</w:t>
      </w:r>
      <w:r w:rsidRPr="00F24F28">
        <w:rPr>
          <w:rFonts w:ascii="Times New Roman" w:hAnsi="Times New Roman" w:cs="Times New Roman"/>
          <w:color w:val="000000" w:themeColor="text1"/>
          <w:vertAlign w:val="superscript"/>
          <w:lang w:val="en-US"/>
        </w:rPr>
        <w:t>2</w:t>
      </w:r>
      <w:bookmarkEnd w:id="8"/>
      <w:bookmarkEnd w:id="9"/>
      <w:r w:rsidRPr="00F24F28">
        <w:rPr>
          <w:rFonts w:ascii="Times New Roman" w:hAnsi="Times New Roman" w:cs="Times New Roman"/>
          <w:color w:val="000000" w:themeColor="text1"/>
          <w:vertAlign w:val="superscript"/>
          <w:lang w:val="en-US"/>
        </w:rPr>
        <w:t>,4</w:t>
      </w:r>
      <w:bookmarkEnd w:id="2"/>
      <w:bookmarkEnd w:id="3"/>
    </w:p>
    <w:p w14:paraId="27963573" w14:textId="77777777" w:rsidR="003A7EB3" w:rsidRPr="00F24F28" w:rsidRDefault="003A7EB3" w:rsidP="003A7EB3">
      <w:pPr>
        <w:spacing w:line="360" w:lineRule="auto"/>
        <w:rPr>
          <w:rFonts w:ascii="Times New Roman" w:hAnsi="Times New Roman" w:cs="Times New Roman"/>
          <w:color w:val="000000" w:themeColor="text1"/>
          <w:lang w:val="en-US"/>
        </w:rPr>
      </w:pPr>
    </w:p>
    <w:p w14:paraId="488D41F0" w14:textId="77777777" w:rsidR="003A7EB3" w:rsidRPr="00F24F28" w:rsidRDefault="003A7EB3" w:rsidP="003A7EB3">
      <w:pPr>
        <w:spacing w:line="360" w:lineRule="auto"/>
        <w:rPr>
          <w:rFonts w:ascii="Times New Roman" w:hAnsi="Times New Roman" w:cs="Times New Roman"/>
          <w:color w:val="000000" w:themeColor="text1"/>
          <w:lang w:val="en-US"/>
        </w:rPr>
      </w:pPr>
      <w:bookmarkStart w:id="10" w:name="OLE_LINK810"/>
      <w:bookmarkStart w:id="11" w:name="OLE_LINK939"/>
      <w:bookmarkStart w:id="12" w:name="OLE_LINK564"/>
      <w:r w:rsidRPr="00F24F28">
        <w:rPr>
          <w:rFonts w:ascii="Times New Roman" w:hAnsi="Times New Roman" w:cs="Times New Roman"/>
          <w:color w:val="000000" w:themeColor="text1"/>
          <w:vertAlign w:val="superscript"/>
          <w:lang w:val="en-US"/>
        </w:rPr>
        <w:t>1</w:t>
      </w:r>
      <w:r w:rsidRPr="00F24F28">
        <w:rPr>
          <w:rFonts w:ascii="Times New Roman" w:hAnsi="Times New Roman" w:cs="Times New Roman"/>
          <w:color w:val="000000" w:themeColor="text1"/>
          <w:lang w:val="en-US"/>
        </w:rPr>
        <w:t>Institute for Marine and Antarctic Studies</w:t>
      </w:r>
      <w:bookmarkEnd w:id="10"/>
      <w:bookmarkEnd w:id="11"/>
      <w:bookmarkEnd w:id="12"/>
      <w:r w:rsidRPr="00F24F28">
        <w:rPr>
          <w:rFonts w:ascii="Times New Roman" w:hAnsi="Times New Roman" w:cs="Times New Roman"/>
          <w:color w:val="000000" w:themeColor="text1"/>
          <w:lang w:val="en-US"/>
        </w:rPr>
        <w:t xml:space="preserve">, University of Tasmania, Hobart, TAS, Australia </w:t>
      </w:r>
    </w:p>
    <w:p w14:paraId="6E2760C3" w14:textId="77777777" w:rsidR="003A7EB3" w:rsidRPr="00F24F28" w:rsidRDefault="003A7EB3" w:rsidP="003A7EB3">
      <w:pPr>
        <w:spacing w:line="360" w:lineRule="auto"/>
        <w:rPr>
          <w:rFonts w:ascii="Times New Roman" w:hAnsi="Times New Roman" w:cs="Times New Roman"/>
          <w:color w:val="000000" w:themeColor="text1"/>
          <w:lang w:val="en-US"/>
        </w:rPr>
      </w:pPr>
      <w:bookmarkStart w:id="13" w:name="OLE_LINK494"/>
      <w:bookmarkStart w:id="14" w:name="OLE_LINK495"/>
      <w:r w:rsidRPr="00F24F28">
        <w:rPr>
          <w:rFonts w:ascii="Times New Roman" w:hAnsi="Times New Roman" w:cs="Times New Roman"/>
          <w:color w:val="000000" w:themeColor="text1"/>
          <w:vertAlign w:val="superscript"/>
          <w:lang w:val="en-US"/>
        </w:rPr>
        <w:t>2</w:t>
      </w:r>
      <w:r w:rsidRPr="00F24F28">
        <w:rPr>
          <w:rFonts w:ascii="Times New Roman" w:hAnsi="Times New Roman" w:cs="Times New Roman"/>
          <w:color w:val="000000" w:themeColor="text1"/>
          <w:lang w:val="en-US"/>
        </w:rPr>
        <w:t>Australian Antarctic Program Partnership</w:t>
      </w:r>
      <w:bookmarkEnd w:id="13"/>
      <w:bookmarkEnd w:id="14"/>
      <w:r w:rsidRPr="00F24F28">
        <w:rPr>
          <w:rFonts w:ascii="Times New Roman" w:hAnsi="Times New Roman" w:cs="Times New Roman"/>
          <w:color w:val="000000" w:themeColor="text1"/>
          <w:lang w:val="en-US"/>
        </w:rPr>
        <w:t xml:space="preserve">, Hobart, TAS, Australia </w:t>
      </w:r>
    </w:p>
    <w:p w14:paraId="77B80B1A" w14:textId="77777777" w:rsidR="003A7EB3" w:rsidRPr="00F24F28" w:rsidRDefault="003A7EB3" w:rsidP="003A7EB3">
      <w:pPr>
        <w:spacing w:line="360" w:lineRule="auto"/>
        <w:rPr>
          <w:rFonts w:ascii="Times New Roman" w:hAnsi="Times New Roman" w:cs="Times New Roman"/>
          <w:color w:val="000000" w:themeColor="text1"/>
        </w:rPr>
      </w:pPr>
      <w:bookmarkStart w:id="15" w:name="OLE_LINK218"/>
      <w:bookmarkStart w:id="16" w:name="OLE_LINK291"/>
      <w:r w:rsidRPr="00F24F28">
        <w:rPr>
          <w:rFonts w:ascii="Times New Roman" w:hAnsi="Times New Roman" w:cs="Times New Roman"/>
          <w:color w:val="000000" w:themeColor="text1"/>
          <w:vertAlign w:val="superscript"/>
          <w:lang w:val="en-US"/>
        </w:rPr>
        <w:t>3</w:t>
      </w:r>
      <w:r w:rsidRPr="00F24F28">
        <w:rPr>
          <w:rFonts w:ascii="Times New Roman" w:hAnsi="Times New Roman" w:cs="Times New Roman"/>
          <w:color w:val="000000" w:themeColor="text1"/>
          <w:lang w:val="en-US"/>
        </w:rPr>
        <w:t>Australian Centre for Excellence in Antarctic Science</w:t>
      </w:r>
      <w:bookmarkEnd w:id="15"/>
      <w:bookmarkEnd w:id="16"/>
      <w:r w:rsidRPr="00F24F28">
        <w:rPr>
          <w:rFonts w:ascii="Times New Roman" w:hAnsi="Times New Roman" w:cs="Times New Roman"/>
          <w:color w:val="000000" w:themeColor="text1"/>
          <w:lang w:val="en-US"/>
        </w:rPr>
        <w:t xml:space="preserve">, University of Tasmania, Hobart, TAS, Australia </w:t>
      </w:r>
    </w:p>
    <w:p w14:paraId="6A8EE4CC" w14:textId="77777777" w:rsidR="003A7EB3" w:rsidRPr="00F24F28" w:rsidRDefault="003A7EB3" w:rsidP="003A7EB3">
      <w:pPr>
        <w:spacing w:line="360" w:lineRule="auto"/>
        <w:rPr>
          <w:rFonts w:ascii="Times New Roman" w:hAnsi="Times New Roman" w:cs="Times New Roman"/>
          <w:color w:val="000000" w:themeColor="text1"/>
          <w:lang w:val="en-US"/>
        </w:rPr>
      </w:pPr>
      <w:bookmarkStart w:id="17" w:name="OLE_LINK247"/>
      <w:bookmarkStart w:id="18" w:name="OLE_LINK299"/>
      <w:bookmarkStart w:id="19" w:name="OLE_LINK300"/>
      <w:bookmarkStart w:id="20" w:name="OLE_LINK757"/>
      <w:r w:rsidRPr="00F24F28">
        <w:rPr>
          <w:rFonts w:ascii="Times New Roman" w:hAnsi="Times New Roman" w:cs="Times New Roman"/>
          <w:color w:val="000000" w:themeColor="text1"/>
          <w:vertAlign w:val="superscript"/>
        </w:rPr>
        <w:t xml:space="preserve">4 </w:t>
      </w:r>
      <w:bookmarkStart w:id="21" w:name="OLE_LINK292"/>
      <w:bookmarkStart w:id="22" w:name="OLE_LINK310"/>
      <w:r w:rsidRPr="00F24F28">
        <w:rPr>
          <w:rFonts w:ascii="Times New Roman" w:hAnsi="Times New Roman" w:cs="Times New Roman"/>
          <w:color w:val="000000" w:themeColor="text1"/>
          <w:lang w:val="en-US"/>
        </w:rPr>
        <w:t>CSIRO</w:t>
      </w:r>
      <w:bookmarkEnd w:id="21"/>
      <w:bookmarkEnd w:id="22"/>
      <w:r w:rsidRPr="00F24F28">
        <w:rPr>
          <w:rFonts w:ascii="Times New Roman" w:hAnsi="Times New Roman" w:cs="Times New Roman"/>
          <w:color w:val="000000" w:themeColor="text1"/>
          <w:lang w:val="en-US"/>
        </w:rPr>
        <w:t>, Hobart, TAS, Australia</w:t>
      </w:r>
      <w:bookmarkEnd w:id="17"/>
      <w:bookmarkEnd w:id="18"/>
    </w:p>
    <w:bookmarkEnd w:id="19"/>
    <w:bookmarkEnd w:id="20"/>
    <w:p w14:paraId="06EC45CC" w14:textId="77777777" w:rsidR="003A7EB3" w:rsidRPr="00F24F28" w:rsidRDefault="003A7EB3" w:rsidP="003A7EB3">
      <w:pPr>
        <w:spacing w:line="360" w:lineRule="auto"/>
        <w:rPr>
          <w:rFonts w:ascii="Times New Roman" w:hAnsi="Times New Roman" w:cs="Times New Roman"/>
          <w:color w:val="000000" w:themeColor="text1"/>
          <w:lang w:val="en-US"/>
        </w:rPr>
      </w:pPr>
    </w:p>
    <w:p w14:paraId="313E54DD" w14:textId="77777777" w:rsidR="003A7EB3" w:rsidRPr="00F24F28" w:rsidRDefault="003A7EB3" w:rsidP="003A7EB3">
      <w:pPr>
        <w:spacing w:line="360" w:lineRule="auto"/>
        <w:rPr>
          <w:rFonts w:ascii="Times New Roman" w:hAnsi="Times New Roman" w:cs="Times New Roman"/>
          <w:color w:val="000000" w:themeColor="text1"/>
          <w:lang w:val="en-US"/>
        </w:rPr>
      </w:pPr>
      <w:r w:rsidRPr="00F24F28">
        <w:rPr>
          <w:rFonts w:ascii="Times New Roman" w:hAnsi="Times New Roman" w:cs="Times New Roman"/>
          <w:color w:val="000000" w:themeColor="text1"/>
          <w:lang w:val="en-US"/>
        </w:rPr>
        <w:t>Corresponding author: Xiang Yang (</w:t>
      </w:r>
      <w:proofErr w:type="spellStart"/>
      <w:r w:rsidRPr="00F24F28">
        <w:rPr>
          <w:rFonts w:ascii="Times New Roman" w:hAnsi="Times New Roman" w:cs="Times New Roman"/>
          <w:color w:val="000000" w:themeColor="text1"/>
          <w:lang w:val="en-US"/>
        </w:rPr>
        <w:t>xiang.yang@utas.edu.au</w:t>
      </w:r>
      <w:proofErr w:type="spellEnd"/>
      <w:r w:rsidRPr="00F24F28">
        <w:rPr>
          <w:rFonts w:ascii="Times New Roman" w:hAnsi="Times New Roman" w:cs="Times New Roman"/>
          <w:color w:val="000000" w:themeColor="text1"/>
          <w:lang w:val="en-US"/>
        </w:rPr>
        <w:t xml:space="preserve">), </w:t>
      </w:r>
      <w:proofErr w:type="spellStart"/>
      <w:r w:rsidRPr="00F24F28">
        <w:rPr>
          <w:rFonts w:ascii="Times New Roman" w:hAnsi="Times New Roman" w:cs="Times New Roman"/>
          <w:color w:val="000000" w:themeColor="text1"/>
          <w:lang w:val="en-US"/>
        </w:rPr>
        <w:t>ORCiD</w:t>
      </w:r>
      <w:proofErr w:type="spellEnd"/>
      <w:r w:rsidRPr="00F24F28">
        <w:rPr>
          <w:rFonts w:ascii="Times New Roman" w:hAnsi="Times New Roman" w:cs="Times New Roman"/>
          <w:color w:val="000000" w:themeColor="text1"/>
          <w:lang w:val="en-US"/>
        </w:rPr>
        <w:t>: 0000-0002-0616-0967</w:t>
      </w:r>
    </w:p>
    <w:p w14:paraId="3C443854" w14:textId="77777777" w:rsidR="003A7EB3" w:rsidRPr="00F24F28" w:rsidRDefault="003A7EB3">
      <w:pPr>
        <w:rPr>
          <w:rFonts w:ascii="Times New Roman" w:hAnsi="Times New Roman" w:cs="Times New Roman"/>
          <w:lang w:val="en-US"/>
        </w:rPr>
      </w:pPr>
    </w:p>
    <w:p w14:paraId="423B5F6B" w14:textId="7F43448D" w:rsidR="003A7EB3" w:rsidRPr="00F24F28" w:rsidRDefault="003A7EB3">
      <w:pPr>
        <w:rPr>
          <w:rFonts w:ascii="Times New Roman" w:hAnsi="Times New Roman" w:cs="Times New Roman"/>
          <w:lang w:val="en-US"/>
        </w:rPr>
      </w:pPr>
      <w:r w:rsidRPr="00F24F28">
        <w:rPr>
          <w:rFonts w:ascii="Times New Roman" w:hAnsi="Times New Roman" w:cs="Times New Roman"/>
          <w:lang w:val="en-US"/>
        </w:rPr>
        <w:br w:type="page"/>
      </w:r>
    </w:p>
    <w:p w14:paraId="5A5A587A" w14:textId="35046145" w:rsidR="003A7EB3" w:rsidRPr="00F24F28" w:rsidRDefault="00B42480">
      <w:pPr>
        <w:rPr>
          <w:rFonts w:ascii="Times New Roman" w:hAnsi="Times New Roman" w:cs="Times New Roman"/>
          <w:b/>
          <w:bCs/>
          <w:sz w:val="28"/>
          <w:szCs w:val="28"/>
          <w:lang w:val="en-US"/>
        </w:rPr>
      </w:pPr>
      <w:r w:rsidRPr="00F24F28">
        <w:rPr>
          <w:rFonts w:ascii="Times New Roman" w:hAnsi="Times New Roman" w:cs="Times New Roman"/>
          <w:b/>
          <w:bCs/>
          <w:sz w:val="28"/>
          <w:szCs w:val="28"/>
          <w:lang w:val="en-US"/>
        </w:rPr>
        <w:lastRenderedPageBreak/>
        <w:t>Table of contents</w:t>
      </w:r>
    </w:p>
    <w:p w14:paraId="257BEF3E" w14:textId="75F0D434" w:rsidR="00B42480" w:rsidRPr="00F24F28" w:rsidRDefault="009743C8" w:rsidP="003A7EB3">
      <w:pPr>
        <w:rPr>
          <w:rFonts w:ascii="Times New Roman" w:hAnsi="Times New Roman" w:cs="Times New Roman"/>
          <w:lang w:val="en-US"/>
        </w:rPr>
      </w:pPr>
      <w:r w:rsidRPr="00F24F28">
        <w:rPr>
          <w:rFonts w:ascii="Times New Roman" w:hAnsi="Times New Roman" w:cs="Times New Roman"/>
          <w:lang w:val="en-US"/>
        </w:rPr>
        <w:t>Ra</w:t>
      </w:r>
      <w:r w:rsidR="455B9AA9" w:rsidRPr="00F24F28">
        <w:rPr>
          <w:rFonts w:ascii="Times New Roman" w:hAnsi="Times New Roman" w:cs="Times New Roman"/>
          <w:lang w:val="en-US"/>
        </w:rPr>
        <w:t>n</w:t>
      </w:r>
      <w:r w:rsidRPr="00F24F28">
        <w:rPr>
          <w:rFonts w:ascii="Times New Roman" w:hAnsi="Times New Roman" w:cs="Times New Roman"/>
          <w:lang w:val="en-US"/>
        </w:rPr>
        <w:t xml:space="preserve">dom forest model </w:t>
      </w:r>
      <w:r w:rsidR="00F66BF7" w:rsidRPr="00F24F28">
        <w:rPr>
          <w:rFonts w:ascii="Times New Roman" w:hAnsi="Times New Roman" w:cs="Times New Roman"/>
          <w:lang w:val="en-US"/>
        </w:rPr>
        <w:t xml:space="preserve">fitting performance </w:t>
      </w:r>
    </w:p>
    <w:p w14:paraId="1E74865A" w14:textId="34D0ED02" w:rsidR="00F66BF7" w:rsidRPr="00F24F28" w:rsidRDefault="00F66BF7" w:rsidP="003A7EB3">
      <w:pPr>
        <w:rPr>
          <w:rFonts w:ascii="Times New Roman" w:hAnsi="Times New Roman" w:cs="Times New Roman"/>
          <w:lang w:val="en-US"/>
        </w:rPr>
      </w:pPr>
      <w:r w:rsidRPr="00F24F28">
        <w:rPr>
          <w:rFonts w:ascii="Times New Roman" w:hAnsi="Times New Roman" w:cs="Times New Roman"/>
          <w:lang w:val="en-US"/>
        </w:rPr>
        <w:t>Figure S1 to S7</w:t>
      </w:r>
    </w:p>
    <w:p w14:paraId="68773E8D" w14:textId="0A8E5F36" w:rsidR="00F66BF7" w:rsidRPr="00F24F28" w:rsidRDefault="00F66BF7" w:rsidP="003A7EB3">
      <w:pPr>
        <w:rPr>
          <w:rFonts w:ascii="Times New Roman" w:hAnsi="Times New Roman" w:cs="Times New Roman"/>
          <w:lang w:val="en-US"/>
        </w:rPr>
      </w:pPr>
      <w:r w:rsidRPr="00F24F28">
        <w:rPr>
          <w:rFonts w:ascii="Times New Roman" w:hAnsi="Times New Roman" w:cs="Times New Roman"/>
          <w:lang w:val="en-US"/>
        </w:rPr>
        <w:t>Table S1 to S2</w:t>
      </w:r>
    </w:p>
    <w:p w14:paraId="4A9A686C" w14:textId="10757EC9" w:rsidR="00B42480" w:rsidRPr="00F24F28" w:rsidRDefault="00F66BF7">
      <w:pPr>
        <w:rPr>
          <w:rFonts w:ascii="Times New Roman" w:hAnsi="Times New Roman" w:cs="Times New Roman"/>
          <w:lang w:val="en-US"/>
        </w:rPr>
      </w:pPr>
      <w:r w:rsidRPr="00F24F28">
        <w:rPr>
          <w:rFonts w:ascii="Times New Roman" w:hAnsi="Times New Roman" w:cs="Times New Roman"/>
          <w:lang w:val="en-US"/>
        </w:rPr>
        <w:br w:type="page"/>
      </w:r>
    </w:p>
    <w:p w14:paraId="5DD1B182" w14:textId="669161F1" w:rsidR="004A4F2E" w:rsidRPr="00F24F28" w:rsidRDefault="00206D59" w:rsidP="00C74C3E">
      <w:pPr>
        <w:rPr>
          <w:rFonts w:ascii="Times New Roman" w:hAnsi="Times New Roman" w:cs="Times New Roman"/>
          <w:b/>
          <w:bCs/>
          <w:lang w:val="en-US"/>
        </w:rPr>
      </w:pPr>
      <w:r w:rsidRPr="00F24F28">
        <w:rPr>
          <w:rFonts w:ascii="Times New Roman" w:hAnsi="Times New Roman" w:cs="Times New Roman"/>
          <w:b/>
          <w:bCs/>
          <w:lang w:val="en-US"/>
        </w:rPr>
        <w:lastRenderedPageBreak/>
        <w:t xml:space="preserve">Random forest model </w:t>
      </w:r>
      <w:r w:rsidR="00331B54" w:rsidRPr="00F24F28">
        <w:rPr>
          <w:rFonts w:ascii="Times New Roman" w:hAnsi="Times New Roman" w:cs="Times New Roman"/>
          <w:b/>
          <w:bCs/>
          <w:lang w:val="en-US"/>
        </w:rPr>
        <w:t>fitting</w:t>
      </w:r>
      <w:r w:rsidR="00845F73" w:rsidRPr="00F24F28">
        <w:rPr>
          <w:rFonts w:ascii="Times New Roman" w:hAnsi="Times New Roman" w:cs="Times New Roman"/>
          <w:b/>
          <w:bCs/>
          <w:lang w:val="en-US"/>
        </w:rPr>
        <w:t xml:space="preserve"> </w:t>
      </w:r>
      <w:r w:rsidR="00EB50EE" w:rsidRPr="00F24F28">
        <w:rPr>
          <w:rFonts w:ascii="Times New Roman" w:hAnsi="Times New Roman" w:cs="Times New Roman"/>
          <w:b/>
          <w:bCs/>
          <w:lang w:val="en-US"/>
        </w:rPr>
        <w:t>performance</w:t>
      </w:r>
    </w:p>
    <w:p w14:paraId="2593E635" w14:textId="5A7E10DB" w:rsidR="001E4438" w:rsidRPr="00F24F28" w:rsidRDefault="001E4438" w:rsidP="003D26A4">
      <w:pPr>
        <w:spacing w:after="240" w:line="360" w:lineRule="auto"/>
        <w:rPr>
          <w:rFonts w:ascii="Times New Roman" w:hAnsi="Times New Roman" w:cs="Times New Roman"/>
          <w:lang w:val="en-US"/>
        </w:rPr>
      </w:pPr>
      <w:r w:rsidRPr="00F24F28">
        <w:rPr>
          <w:rFonts w:ascii="Times New Roman" w:hAnsi="Times New Roman" w:cs="Times New Roman"/>
          <w:lang w:val="en-US"/>
        </w:rPr>
        <w:t>Given the limited number of observations and the discontinuous nature of float data, we could not set aside an independent validation group, unlike shipboard studies</w:t>
      </w:r>
      <w:r w:rsidR="00E21150" w:rsidRPr="00F24F28">
        <w:rPr>
          <w:rFonts w:ascii="Times New Roman" w:hAnsi="Times New Roman" w:cs="Times New Roman"/>
          <w:lang w:val="en-US"/>
        </w:rPr>
        <w:fldChar w:fldCharType="begin"/>
      </w:r>
      <w:r w:rsidR="00C11C2B" w:rsidRPr="00F24F28">
        <w:rPr>
          <w:rFonts w:ascii="Times New Roman" w:hAnsi="Times New Roman" w:cs="Times New Roman"/>
          <w:lang w:val="en-US"/>
        </w:rPr>
        <w:instrText xml:space="preserve"> ADDIN ZOTERO_ITEM CSL_CITATION {"citationID":"41A2JOIL","properties":{"formattedCitation":"\\super 1,2\\nosupersub{}","plainCitation":"1,2","noteIndex":0},"citationItems":[{"id":2360,"uris":["http://zotero.org/users/local/PymyVoI5/items/4IGPLDRE"],"itemData":{"id":2360,"type":"article-journal","abstract":"The capacity of CO2 uptake in the Chukchi Sea is particularly sensitive to rapid physical and biological changes. However, scarce field observations pose a challenge in understanding the long-term trend of CO2 uptake capacity on this continental shelf. We adopted a machine-learning-based approach to construct a 17-years (2003–2019) long-term time series of summer sea surface partial pressure of CO2 (pCO2) from remote sensing products. We show that the long-term increase in CO2 uptake capacity can be attributed to strong and enhanced biological uptake. In addition, the intraseasonal variability of surface pCO2 in early summer confirms the crucial role of sea ice melt and the subsequently enhanced photosynthesis as soon as the surface ocean converts into an open system. Our results thus highlight the use of remote sensing data in interpolating/extrapolating the highly dynamic carbonate system in the continental shelf sea and shed light into future studies involving machine learning or algorithms.","container-title":"Geophysical Research Letters","DOI":"10.1029/2021GL093844","ISSN":"0094-8276, 1944-8007","issue":"15","journalAbbreviation":"Geophysical Research Letters","language":"en","page":"e2021GL093844","source":"DOI.org (Crossref)","title":"Increase in CO&lt;sub&gt;2&lt;/sub&gt; Uptake Capacity in the Arctic Chukchi Sea During Summer Revealed by Satellite‐Based Estimation","volume":"48","author":[{"family":"Tu","given":"Zebin"},{"family":"Le","given":"Chengfeng"},{"family":"Bai","given":"Yan"},{"family":"Jiang","given":"Zongpei"},{"family":"Wu","given":"Yingxu"},{"family":"Ouyang","given":"Zhangxian"},{"family":"Cai","given":"Wei‐Jun"},{"family":"Qi","given":"Di"}],"issued":{"date-parts":[["2021",8]]}}},{"id":2297,"uris":["http://zotero.org/users/local/PymyVoI5/items/X38SW8MU"],"itemData":{"id":2297,"type":"article-journal","abstract":"The absorption of atmospheric carbon dioxide (CO2) in the Southern Ocean represents a critical component of the global oceanic carbon budget. Previous assessments of air‐sea carbon flux variations and long‐term trends in polar regions during winter have faced limitations due to scarce field data and the lack of ocean color satellite imagery, causing uncertainties in estimating CO2 flux estimation. This study utilized the Cloud‐Aerosol Lidar and Infrared Pathfinder Satellite Observation satellite to construct a continuous 16‐year (2006–2021) time series of sea surface partial pressure of CO2 (pCO2) in the Southern Ocean. Our findings revealed that the polar region in South Ocean acts as a carbon sink in winter, with CO2 flux of </w:instrText>
      </w:r>
      <w:r w:rsidR="00C11C2B" w:rsidRPr="00F24F28">
        <w:rPr>
          <w:rFonts w:ascii="Cambria Math" w:hAnsi="Cambria Math" w:cs="Cambria Math"/>
          <w:lang w:val="en-US"/>
        </w:rPr>
        <w:instrText>∼</w:instrText>
      </w:r>
      <w:r w:rsidR="00C11C2B" w:rsidRPr="00F24F28">
        <w:rPr>
          <w:rFonts w:ascii="Times New Roman" w:hAnsi="Times New Roman" w:cs="Times New Roman"/>
          <w:lang w:val="en-US"/>
        </w:rPr>
        <w:instrText xml:space="preserve">30 TgC in high‐latitude areas (South of 50°S). This work highlights the efficacy of active remote sensing for monitoring sea surface pCO2 and contributes insights into the dynamic carbonate systems of the Southern Ocean.","container-title":"Geophysical Research Letters","DOI":"10.1029/2024GL108335","ISSN":"0094-8276, 1944-8007","issue":"12","journalAbbreviation":"Geophysical Research Letters","language":"en","page":"e2024GL108335","source":"DOI.org (Crossref)","title":"Revisiting Winter Southern Ocean CO&lt;sub&gt;2&lt;/sub&gt; Uptake Based on CALIPSO Observations","volume":"51","author":[{"family":"Huang","given":"Hao"},{"family":"Zhang","given":"Ke"},{"family":"Zhang","given":"Zhaoru"},{"family":"Smith","given":"Walker"},{"family":"He","given":"Jianfeng"},{"family":"Liu","given":"Na"},{"family":"Le","given":"Chengfeng"}],"issued":{"date-parts":[["2024",6,28]]}}}],"schema":"https://github.com/citation-style-language/schema/raw/master/csl-citation.json"} </w:instrText>
      </w:r>
      <w:r w:rsidR="00E21150" w:rsidRPr="00F24F28">
        <w:rPr>
          <w:rFonts w:ascii="Times New Roman" w:hAnsi="Times New Roman" w:cs="Times New Roman"/>
          <w:lang w:val="en-US"/>
        </w:rPr>
        <w:fldChar w:fldCharType="separate"/>
      </w:r>
      <w:r w:rsidR="00C11C2B" w:rsidRPr="00F24F28">
        <w:rPr>
          <w:rFonts w:ascii="Times New Roman" w:hAnsi="Times New Roman" w:cs="Times New Roman"/>
          <w:kern w:val="0"/>
          <w:vertAlign w:val="superscript"/>
          <w:lang w:val="en-GB"/>
        </w:rPr>
        <w:t>1,2</w:t>
      </w:r>
      <w:r w:rsidR="00E21150" w:rsidRPr="00F24F28">
        <w:rPr>
          <w:rFonts w:ascii="Times New Roman" w:hAnsi="Times New Roman" w:cs="Times New Roman"/>
          <w:lang w:val="en-US"/>
        </w:rPr>
        <w:fldChar w:fldCharType="end"/>
      </w:r>
      <w:r w:rsidRPr="00F24F28">
        <w:rPr>
          <w:rFonts w:ascii="Times New Roman" w:hAnsi="Times New Roman" w:cs="Times New Roman"/>
          <w:lang w:val="en-US"/>
        </w:rPr>
        <w:t>.</w:t>
      </w:r>
      <w:r w:rsidR="003D26A4" w:rsidRPr="00F24F28">
        <w:rPr>
          <w:rFonts w:ascii="Times New Roman" w:hAnsi="Times New Roman" w:cs="Times New Roman"/>
          <w:lang w:val="en-US"/>
        </w:rPr>
        <w:t xml:space="preserve"> </w:t>
      </w:r>
      <w:r w:rsidR="003D26A4" w:rsidRPr="00F24F28">
        <w:rPr>
          <w:rFonts w:ascii="Times New Roman" w:hAnsi="Times New Roman" w:cs="Times New Roman"/>
        </w:rPr>
        <w:t>Our model performed well in reconstructing the pCO</w:t>
      </w:r>
      <w:r w:rsidR="003D26A4" w:rsidRPr="00F24F28">
        <w:rPr>
          <w:rFonts w:ascii="Times New Roman" w:hAnsi="Times New Roman" w:cs="Times New Roman"/>
          <w:vertAlign w:val="subscript"/>
        </w:rPr>
        <w:t>2</w:t>
      </w:r>
      <w:r w:rsidR="003D26A4" w:rsidRPr="00F24F28">
        <w:rPr>
          <w:rFonts w:ascii="Times New Roman" w:hAnsi="Times New Roman" w:cs="Times New Roman"/>
        </w:rPr>
        <w:t xml:space="preserve">sw </w:t>
      </w:r>
      <w:r w:rsidR="33F960AE" w:rsidRPr="00F24F28">
        <w:rPr>
          <w:rFonts w:ascii="Times New Roman" w:hAnsi="Times New Roman" w:cs="Times New Roman"/>
        </w:rPr>
        <w:t>magnitude</w:t>
      </w:r>
      <w:r w:rsidR="003D26A4" w:rsidRPr="00F24F28">
        <w:rPr>
          <w:rFonts w:ascii="Times New Roman" w:hAnsi="Times New Roman" w:cs="Times New Roman"/>
        </w:rPr>
        <w:t xml:space="preserve"> and seasonality</w:t>
      </w:r>
      <w:r w:rsidR="21827A9C" w:rsidRPr="00F24F28">
        <w:rPr>
          <w:rFonts w:ascii="Times New Roman" w:hAnsi="Times New Roman" w:cs="Times New Roman"/>
        </w:rPr>
        <w:t>,</w:t>
      </w:r>
      <w:r w:rsidR="003D26A4" w:rsidRPr="00F24F28">
        <w:rPr>
          <w:rFonts w:ascii="Times New Roman" w:hAnsi="Times New Roman" w:cs="Times New Roman"/>
        </w:rPr>
        <w:t xml:space="preserve"> but was less robust compared to previous RF studies that reported </w:t>
      </w:r>
      <w:r w:rsidR="003D26A4" w:rsidRPr="00F24F28">
        <w:rPr>
          <w:rFonts w:ascii="Times New Roman" w:hAnsi="Times New Roman" w:cs="Times New Roman"/>
          <w:i/>
          <w:iCs/>
        </w:rPr>
        <w:t>R</w:t>
      </w:r>
      <w:r w:rsidR="003D26A4" w:rsidRPr="00F24F28">
        <w:rPr>
          <w:rFonts w:ascii="Times New Roman" w:hAnsi="Times New Roman" w:cs="Times New Roman"/>
          <w:vertAlign w:val="superscript"/>
        </w:rPr>
        <w:t>2</w:t>
      </w:r>
      <w:r w:rsidR="003D26A4" w:rsidRPr="00F24F28">
        <w:rPr>
          <w:rFonts w:ascii="Times New Roman" w:hAnsi="Times New Roman" w:cs="Times New Roman"/>
          <w:lang w:val="en-US"/>
        </w:rPr>
        <w:t xml:space="preserve"> of 0.83 and 0.95 for cross-validation</w:t>
      </w:r>
      <w:r w:rsidR="00C11C2B" w:rsidRPr="00F24F28">
        <w:rPr>
          <w:rFonts w:ascii="Times New Roman" w:hAnsi="Times New Roman" w:cs="Times New Roman"/>
          <w:lang w:val="en-US"/>
        </w:rPr>
        <w:fldChar w:fldCharType="begin"/>
      </w:r>
      <w:r w:rsidR="00BC007F" w:rsidRPr="00F24F28">
        <w:rPr>
          <w:rFonts w:ascii="Times New Roman" w:hAnsi="Times New Roman" w:cs="Times New Roman"/>
          <w:lang w:val="en-US"/>
        </w:rPr>
        <w:instrText xml:space="preserve"> ADDIN ZOTERO_ITEM CSL_CITATION {"citationID":"ozEoyTPj","properties":{"formattedCitation":"\\super 1,2\\nosupersub{}","plainCitation":"1,2","noteIndex":0},"citationItems":[{"id":2360,"uris":["http://zotero.org/users/local/PymyVoI5/items/4IGPLDRE"],"itemData":{"id":2360,"type":"article-journal","abstract":"The capacity of CO2 uptake in the Chukchi Sea is particularly sensitive to rapid physical and biological changes. However, scarce field observations pose a challenge in understanding the long-term trend of CO2 uptake capacity on this continental shelf. We adopted a machine-learning-based approach to construct a 17-years (2003–2019) long-term time series of summer sea surface partial pressure of CO2 (pCO2) from remote sensing products. We show that the long-term increase in CO2 uptake capacity can be attributed to strong and enhanced biological uptake. In addition, the intraseasonal variability of surface pCO2 in early summer confirms the crucial role of sea ice melt and the subsequently enhanced photosynthesis as soon as the surface ocean converts into an open system. Our results thus highlight the use of remote sensing data in interpolating/extrapolating the highly dynamic carbonate system in the continental shelf sea and shed light into future studies involving machine learning or algorithms.","container-title":"Geophysical Research Letters","DOI":"10.1029/2021GL093844","ISSN":"0094-8276, 1944-8007","issue":"15","journalAbbreviation":"Geophysical Research Letters","language":"en","page":"e2021GL093844","source":"DOI.org (Crossref)","title":"Increase in CO&lt;sub&gt;2&lt;/sub&gt; Uptake Capacity in the Arctic Chukchi Sea During Summer Revealed by Satellite‐Based Estimation","volume":"48","author":[{"family":"Tu","given":"Zebin"},{"family":"Le","given":"Chengfeng"},{"family":"Bai","given":"Yan"},{"family":"Jiang","given":"Zongpei"},{"family":"Wu","given":"Yingxu"},{"family":"Ouyang","given":"Zhangxian"},{"family":"Cai","given":"Wei‐Jun"},{"family":"Qi","given":"Di"}],"issued":{"date-parts":[["2021",8]]}}},{"id":2297,"uris":["http://zotero.org/users/local/PymyVoI5/items/X38SW8MU"],"itemData":{"id":2297,"type":"article-journal","abstract":"The absorption of atmospheric carbon dioxide (CO2) in the Southern Ocean represents a critical component of the global oceanic carbon budget. Previous assessments of air‐sea carbon flux variations and long‐term trends in polar regions during winter have faced limitations due to scarce field data and the lack of ocean color satellite imagery, causing uncertainties in estimating CO2 flux estimation. This study utilized the Cloud‐Aerosol Lidar and Infrared Pathfinder Satellite Observation satellite to construct a continuous 16‐year (2006–2021) time series of sea surface partial pressure of CO2 (pCO2) in the Southern Ocean. Our findings revealed that the polar region in South Ocean acts as a carbon sink in winter, with CO2 flux of </w:instrText>
      </w:r>
      <w:r w:rsidR="00BC007F" w:rsidRPr="00F24F28">
        <w:rPr>
          <w:rFonts w:ascii="Cambria Math" w:hAnsi="Cambria Math" w:cs="Cambria Math"/>
          <w:lang w:val="en-US"/>
        </w:rPr>
        <w:instrText>∼</w:instrText>
      </w:r>
      <w:r w:rsidR="00BC007F" w:rsidRPr="00F24F28">
        <w:rPr>
          <w:rFonts w:ascii="Times New Roman" w:hAnsi="Times New Roman" w:cs="Times New Roman"/>
          <w:lang w:val="en-US"/>
        </w:rPr>
        <w:instrText xml:space="preserve">30 TgC in high‐latitude areas (South of 50°S). This work highlights the efficacy of active remote sensing for monitoring sea surface pCO2 and contributes insights into the dynamic carbonate systems of the Southern Ocean.","container-title":"Geophysical Research Letters","DOI":"10.1029/2024GL108335","ISSN":"0094-8276, 1944-8007","issue":"12","journalAbbreviation":"Geophysical Research Letters","language":"en","page":"e2024GL108335","source":"DOI.org (Crossref)","title":"Revisiting Winter Southern Ocean CO&lt;sub&gt;2&lt;/sub&gt; Uptake Based on CALIPSO Observations","volume":"51","author":[{"family":"Huang","given":"Hao"},{"family":"Zhang","given":"Ke"},{"family":"Zhang","given":"Zhaoru"},{"family":"Smith","given":"Walker"},{"family":"He","given":"Jianfeng"},{"family":"Liu","given":"Na"},{"family":"Le","given":"Chengfeng"}],"issued":{"date-parts":[["2024",6,28]]}}}],"schema":"https://github.com/citation-style-language/schema/raw/master/csl-citation.json"} </w:instrText>
      </w:r>
      <w:r w:rsidR="00C11C2B" w:rsidRPr="00F24F28">
        <w:rPr>
          <w:rFonts w:ascii="Times New Roman" w:hAnsi="Times New Roman" w:cs="Times New Roman"/>
          <w:lang w:val="en-US"/>
        </w:rPr>
        <w:fldChar w:fldCharType="separate"/>
      </w:r>
      <w:r w:rsidR="00BC007F" w:rsidRPr="00F24F28">
        <w:rPr>
          <w:rFonts w:ascii="Times New Roman" w:hAnsi="Times New Roman" w:cs="Times New Roman"/>
          <w:kern w:val="0"/>
          <w:vertAlign w:val="superscript"/>
          <w:lang w:val="en-GB"/>
        </w:rPr>
        <w:t>1,2</w:t>
      </w:r>
      <w:r w:rsidR="00C11C2B" w:rsidRPr="00F24F28">
        <w:rPr>
          <w:rFonts w:ascii="Times New Roman" w:hAnsi="Times New Roman" w:cs="Times New Roman"/>
          <w:lang w:val="en-US"/>
        </w:rPr>
        <w:fldChar w:fldCharType="end"/>
      </w:r>
      <w:r w:rsidR="003D26A4" w:rsidRPr="00F24F28">
        <w:rPr>
          <w:rFonts w:ascii="Times New Roman" w:hAnsi="Times New Roman" w:cs="Times New Roman"/>
        </w:rPr>
        <w:t>. This discrepancy may be due to differences in the spatial and temporal resolution of float versus shipboard measurements</w:t>
      </w:r>
      <w:r w:rsidR="00BC007F" w:rsidRPr="00F24F28">
        <w:rPr>
          <w:rFonts w:ascii="Times New Roman" w:hAnsi="Times New Roman" w:cs="Times New Roman"/>
        </w:rPr>
        <w:fldChar w:fldCharType="begin"/>
      </w:r>
      <w:r w:rsidR="00BC007F" w:rsidRPr="00F24F28">
        <w:rPr>
          <w:rFonts w:ascii="Times New Roman" w:hAnsi="Times New Roman" w:cs="Times New Roman"/>
        </w:rPr>
        <w:instrText xml:space="preserve"> ADDIN ZOTERO_ITEM CSL_CITATION {"citationID":"3s8NwZXI","properties":{"formattedCitation":"\\super 1,2\\nosupersub{}","plainCitation":"1,2","noteIndex":0},"citationItems":[{"id":2360,"uris":["http://zotero.org/users/local/PymyVoI5/items/4IGPLDRE"],"itemData":{"id":2360,"type":"article-journal","abstract":"The capacity of CO2 uptake in the Chukchi Sea is particularly sensitive to rapid physical and biological changes. However, scarce field observations pose a challenge in understanding the long-term trend of CO2 uptake capacity on this continental shelf. We adopted a machine-learning-based approach to construct a 17-years (2003–2019) long-term time series of summer sea surface partial pressure of CO2 (pCO2) from remote sensing products. We show that the long-term increase in CO2 uptake capacity can be attributed to strong and enhanced biological uptake. In addition, the intraseasonal variability of surface pCO2 in early summer confirms the crucial role of sea ice melt and the subsequently enhanced photosynthesis as soon as the surface ocean converts into an open system. Our results thus highlight the use of remote sensing data in interpolating/extrapolating the highly dynamic carbonate system in the continental shelf sea and shed light into future studies involving machine learning or algorithms.","container-title":"Geophysical Research Letters","DOI":"10.1029/2021GL093844","ISSN":"0094-8276, 1944-8007","issue":"15","journalAbbreviation":"Geophysical Research Letters","language":"en","page":"e2021GL093844","source":"DOI.org (Crossref)","title":"Increase in CO&lt;sub&gt;2&lt;/sub&gt; Uptake Capacity in the Arctic Chukchi Sea During Summer Revealed by Satellite‐Based Estimation","volume":"48","author":[{"family":"Tu","given":"Zebin"},{"family":"Le","given":"Chengfeng"},{"family":"Bai","given":"Yan"},{"family":"Jiang","given":"Zongpei"},{"family":"Wu","given":"Yingxu"},{"family":"Ouyang","given":"Zhangxian"},{"family":"Cai","given":"Wei‐Jun"},{"family":"Qi","given":"Di"}],"issued":{"date-parts":[["2021",8]]}}},{"id":2297,"uris":["http://zotero.org/users/local/PymyVoI5/items/X38SW8MU"],"itemData":{"id":2297,"type":"article-journal","abstract":"The absorption of atmospheric carbon dioxide (CO2) in the Southern Ocean represents a critical component of the global oceanic carbon budget. Previous assessments of air‐sea carbon flux variations and long‐term trends in polar regions during winter have faced limitations due to scarce field data and the lack of ocean color satellite imagery, causing uncertainties in estimating CO2 flux estimation. This study utilized the Cloud‐Aerosol Lidar and Infrared Pathfinder Satellite Observation satellite to construct a continuous 16‐year (2006–2021) time series of sea surface partial pressure of CO2 (pCO2) in the Southern Ocean. Our findings revealed that the polar region in South Ocean acts as a carbon sink in winter, with CO2 flux of </w:instrText>
      </w:r>
      <w:r w:rsidR="00BC007F" w:rsidRPr="00F24F28">
        <w:rPr>
          <w:rFonts w:ascii="Cambria Math" w:hAnsi="Cambria Math" w:cs="Cambria Math"/>
        </w:rPr>
        <w:instrText>∼</w:instrText>
      </w:r>
      <w:r w:rsidR="00BC007F" w:rsidRPr="00F24F28">
        <w:rPr>
          <w:rFonts w:ascii="Times New Roman" w:hAnsi="Times New Roman" w:cs="Times New Roman"/>
        </w:rPr>
        <w:instrText xml:space="preserve">30 TgC in high‐latitude areas (South of 50°S). This work highlights the efficacy of active remote sensing for monitoring sea surface pCO2 and contributes insights into the dynamic carbonate systems of the Southern Ocean.","container-title":"Geophysical Research Letters","DOI":"10.1029/2024GL108335","ISSN":"0094-8276, 1944-8007","issue":"12","journalAbbreviation":"Geophysical Research Letters","language":"en","page":"e2024GL108335","source":"DOI.org (Crossref)","title":"Revisiting Winter Southern Ocean CO&lt;sub&gt;2&lt;/sub&gt; Uptake Based on CALIPSO Observations","volume":"51","author":[{"family":"Huang","given":"Hao"},{"family":"Zhang","given":"Ke"},{"family":"Zhang","given":"Zhaoru"},{"family":"Smith","given":"Walker"},{"family":"He","given":"Jianfeng"},{"family":"Liu","given":"Na"},{"family":"Le","given":"Chengfeng"}],"issued":{"date-parts":[["2024",6,28]]}}}],"schema":"https://github.com/citation-style-language/schema/raw/master/csl-citation.json"} </w:instrText>
      </w:r>
      <w:r w:rsidR="00BC007F" w:rsidRPr="00F24F28">
        <w:rPr>
          <w:rFonts w:ascii="Times New Roman" w:hAnsi="Times New Roman" w:cs="Times New Roman"/>
        </w:rPr>
        <w:fldChar w:fldCharType="separate"/>
      </w:r>
      <w:r w:rsidR="00BC007F" w:rsidRPr="00F24F28">
        <w:rPr>
          <w:rFonts w:ascii="Times New Roman" w:hAnsi="Times New Roman" w:cs="Times New Roman"/>
          <w:kern w:val="0"/>
          <w:vertAlign w:val="superscript"/>
          <w:lang w:val="en-GB"/>
        </w:rPr>
        <w:t>1,2</w:t>
      </w:r>
      <w:r w:rsidR="00BC007F" w:rsidRPr="00F24F28">
        <w:rPr>
          <w:rFonts w:ascii="Times New Roman" w:hAnsi="Times New Roman" w:cs="Times New Roman"/>
        </w:rPr>
        <w:fldChar w:fldCharType="end"/>
      </w:r>
      <w:r w:rsidR="003D26A4" w:rsidRPr="00F24F28">
        <w:rPr>
          <w:rFonts w:ascii="Times New Roman" w:hAnsi="Times New Roman" w:cs="Times New Roman"/>
        </w:rPr>
        <w:t xml:space="preserve"> (Figures 1</w:t>
      </w:r>
      <w:r w:rsidR="00082DC5" w:rsidRPr="00F24F28">
        <w:rPr>
          <w:rFonts w:ascii="Times New Roman" w:hAnsi="Times New Roman" w:cs="Times New Roman"/>
        </w:rPr>
        <w:t xml:space="preserve"> and</w:t>
      </w:r>
      <w:r w:rsidR="003D26A4" w:rsidRPr="00F24F28">
        <w:rPr>
          <w:rFonts w:ascii="Times New Roman" w:hAnsi="Times New Roman" w:cs="Times New Roman"/>
        </w:rPr>
        <w:t xml:space="preserve"> S</w:t>
      </w:r>
      <w:r w:rsidR="00315A69" w:rsidRPr="00F24F28">
        <w:rPr>
          <w:rFonts w:ascii="Times New Roman" w:hAnsi="Times New Roman" w:cs="Times New Roman"/>
        </w:rPr>
        <w:t>5</w:t>
      </w:r>
      <w:r w:rsidR="003D26A4" w:rsidRPr="00F24F28">
        <w:rPr>
          <w:rFonts w:ascii="Times New Roman" w:hAnsi="Times New Roman" w:cs="Times New Roman"/>
        </w:rPr>
        <w:t xml:space="preserve">). </w:t>
      </w:r>
    </w:p>
    <w:p w14:paraId="5CCB62AA" w14:textId="21F3D976" w:rsidR="00360DC8" w:rsidRPr="00F24F28" w:rsidRDefault="00D07EFE" w:rsidP="00331B54">
      <w:pPr>
        <w:spacing w:after="240" w:line="360" w:lineRule="auto"/>
        <w:rPr>
          <w:rFonts w:ascii="Times New Roman" w:hAnsi="Times New Roman" w:cs="Times New Roman"/>
          <w:lang w:val="en-US"/>
        </w:rPr>
      </w:pPr>
      <w:r w:rsidRPr="00F24F28">
        <w:rPr>
          <w:rFonts w:ascii="Times New Roman" w:hAnsi="Times New Roman" w:cs="Times New Roman"/>
        </w:rPr>
        <w:t xml:space="preserve">We also found that the RF model performed well when using only the first four input variables (excluding </w:t>
      </w:r>
      <w:r w:rsidR="00360DC8" w:rsidRPr="00F24F28">
        <w:rPr>
          <w:rFonts w:ascii="Times New Roman" w:hAnsi="Times New Roman" w:cs="Times New Roman"/>
        </w:rPr>
        <w:t>TEMP</w:t>
      </w:r>
      <w:r w:rsidRPr="00F24F28">
        <w:rPr>
          <w:rFonts w:ascii="Times New Roman" w:hAnsi="Times New Roman" w:cs="Times New Roman"/>
        </w:rPr>
        <w:t>), yielding a</w:t>
      </w:r>
      <w:r w:rsidR="003566B9" w:rsidRPr="00F24F28">
        <w:rPr>
          <w:rFonts w:ascii="Times New Roman" w:hAnsi="Times New Roman" w:cs="Times New Roman"/>
        </w:rPr>
        <w:t xml:space="preserve"> better</w:t>
      </w:r>
      <w:r w:rsidRPr="00F24F28">
        <w:rPr>
          <w:rFonts w:ascii="Times New Roman" w:hAnsi="Times New Roman" w:cs="Times New Roman"/>
        </w:rPr>
        <w:t xml:space="preserve"> cross-validation result of </w:t>
      </w:r>
      <w:r w:rsidR="00331B54" w:rsidRPr="00F24F28">
        <w:rPr>
          <w:rFonts w:ascii="Times New Roman" w:hAnsi="Times New Roman" w:cs="Times New Roman"/>
          <w:lang w:val="en-US"/>
        </w:rPr>
        <w:t>R</w:t>
      </w:r>
      <w:r w:rsidR="00331B54" w:rsidRPr="00F24F28">
        <w:rPr>
          <w:rFonts w:ascii="Times New Roman" w:hAnsi="Times New Roman" w:cs="Times New Roman"/>
          <w:vertAlign w:val="superscript"/>
          <w:lang w:val="en-US"/>
        </w:rPr>
        <w:t>2</w:t>
      </w:r>
      <w:r w:rsidR="00331B54" w:rsidRPr="00F24F28">
        <w:rPr>
          <w:rFonts w:ascii="Times New Roman" w:hAnsi="Times New Roman" w:cs="Times New Roman"/>
          <w:lang w:val="en-US"/>
        </w:rPr>
        <w:t>: 0.56</w:t>
      </w:r>
      <w:r w:rsidRPr="00F24F28">
        <w:rPr>
          <w:rFonts w:ascii="Times New Roman" w:hAnsi="Times New Roman" w:cs="Times New Roman"/>
          <w:lang w:val="en-US"/>
        </w:rPr>
        <w:t xml:space="preserve"> and</w:t>
      </w:r>
      <w:r w:rsidR="00331B54" w:rsidRPr="00F24F28">
        <w:rPr>
          <w:rFonts w:ascii="Times New Roman" w:hAnsi="Times New Roman" w:cs="Times New Roman"/>
          <w:lang w:val="en-US"/>
        </w:rPr>
        <w:t xml:space="preserve"> RMSE: 21.95</w:t>
      </w:r>
      <w:r w:rsidR="00331B54" w:rsidRPr="00F24F28">
        <w:rPr>
          <w:rFonts w:ascii="Times New Roman" w:hAnsi="Times New Roman" w:cs="Times New Roman"/>
        </w:rPr>
        <w:t xml:space="preserve"> </w:t>
      </w:r>
      <w:proofErr w:type="spellStart"/>
      <w:r w:rsidR="00331B54" w:rsidRPr="00F24F28">
        <w:rPr>
          <w:rFonts w:ascii="Times New Roman" w:hAnsi="Times New Roman" w:cs="Times New Roman"/>
        </w:rPr>
        <w:t>μatm</w:t>
      </w:r>
      <w:proofErr w:type="spellEnd"/>
      <w:r w:rsidR="00A73E67" w:rsidRPr="00F24F28">
        <w:rPr>
          <w:rFonts w:ascii="Times New Roman" w:hAnsi="Times New Roman" w:cs="Times New Roman"/>
          <w:lang w:val="en-US"/>
        </w:rPr>
        <w:t xml:space="preserve">. </w:t>
      </w:r>
      <w:r w:rsidR="00550334" w:rsidRPr="00F24F28">
        <w:rPr>
          <w:rFonts w:ascii="Times New Roman" w:hAnsi="Times New Roman" w:cs="Times New Roman"/>
          <w:lang w:val="en-US"/>
        </w:rPr>
        <w:t>However, we</w:t>
      </w:r>
      <w:r w:rsidR="00360DC8" w:rsidRPr="00F24F28">
        <w:rPr>
          <w:rFonts w:ascii="Times New Roman" w:hAnsi="Times New Roman" w:cs="Times New Roman"/>
          <w:lang w:val="en-US"/>
        </w:rPr>
        <w:t xml:space="preserve"> found a clear </w:t>
      </w:r>
      <w:r w:rsidR="00360DC8" w:rsidRPr="00F24F28">
        <w:rPr>
          <w:rFonts w:ascii="Times New Roman" w:hAnsi="Times New Roman" w:cs="Times New Roman"/>
        </w:rPr>
        <w:t>seasonality</w:t>
      </w:r>
      <w:r w:rsidR="007554B9" w:rsidRPr="00F24F28">
        <w:rPr>
          <w:rFonts w:ascii="Times New Roman" w:hAnsi="Times New Roman" w:cs="Times New Roman"/>
        </w:rPr>
        <w:t xml:space="preserve"> in the residual errors of in-situ measurements and model</w:t>
      </w:r>
      <w:r w:rsidR="00B171AF" w:rsidRPr="00F24F28">
        <w:rPr>
          <w:rFonts w:ascii="Times New Roman" w:hAnsi="Times New Roman" w:cs="Times New Roman"/>
        </w:rPr>
        <w:t>-</w:t>
      </w:r>
      <w:r w:rsidR="007554B9" w:rsidRPr="00F24F28">
        <w:rPr>
          <w:rFonts w:ascii="Times New Roman" w:hAnsi="Times New Roman" w:cs="Times New Roman"/>
        </w:rPr>
        <w:t>derived pCO</w:t>
      </w:r>
      <w:r w:rsidR="007554B9" w:rsidRPr="00F24F28">
        <w:rPr>
          <w:rFonts w:ascii="Times New Roman" w:hAnsi="Times New Roman" w:cs="Times New Roman"/>
          <w:vertAlign w:val="subscript"/>
        </w:rPr>
        <w:t>2</w:t>
      </w:r>
      <w:r w:rsidR="007554B9" w:rsidRPr="00F24F28">
        <w:rPr>
          <w:rFonts w:ascii="Times New Roman" w:hAnsi="Times New Roman" w:cs="Times New Roman"/>
        </w:rPr>
        <w:t>sw (</w:t>
      </w:r>
      <w:r w:rsidR="007554B9" w:rsidRPr="00F24F28">
        <w:rPr>
          <w:rFonts w:ascii="Times New Roman" w:hAnsi="Times New Roman" w:cs="Times New Roman"/>
          <w:lang w:val="en-US"/>
        </w:rPr>
        <w:t>Figure S</w:t>
      </w:r>
      <w:r w:rsidR="00315A69" w:rsidRPr="00F24F28">
        <w:rPr>
          <w:rFonts w:ascii="Times New Roman" w:hAnsi="Times New Roman" w:cs="Times New Roman"/>
          <w:lang w:val="en-US"/>
        </w:rPr>
        <w:t>5</w:t>
      </w:r>
      <w:r w:rsidR="007554B9" w:rsidRPr="00F24F28">
        <w:rPr>
          <w:rFonts w:ascii="Times New Roman" w:hAnsi="Times New Roman" w:cs="Times New Roman"/>
          <w:lang w:val="en-US"/>
        </w:rPr>
        <w:t>c</w:t>
      </w:r>
      <w:r w:rsidR="002D64F6" w:rsidRPr="00F24F28">
        <w:rPr>
          <w:rFonts w:ascii="Times New Roman" w:hAnsi="Times New Roman" w:cs="Times New Roman"/>
          <w:lang w:val="en-US"/>
        </w:rPr>
        <w:t>; the results from using the four-parameter prediction are not shown</w:t>
      </w:r>
      <w:r w:rsidR="007554B9" w:rsidRPr="00F24F28">
        <w:rPr>
          <w:rFonts w:ascii="Times New Roman" w:hAnsi="Times New Roman" w:cs="Times New Roman"/>
        </w:rPr>
        <w:t xml:space="preserve">). </w:t>
      </w:r>
      <w:r w:rsidR="0042253F" w:rsidRPr="00F24F28">
        <w:rPr>
          <w:rFonts w:ascii="Times New Roman" w:hAnsi="Times New Roman" w:cs="Times New Roman"/>
        </w:rPr>
        <w:t xml:space="preserve">The model's </w:t>
      </w:r>
      <w:r w:rsidR="6AFCFEBC" w:rsidRPr="00F24F28">
        <w:rPr>
          <w:rFonts w:ascii="Times New Roman" w:hAnsi="Times New Roman" w:cs="Times New Roman"/>
        </w:rPr>
        <w:t>under</w:t>
      </w:r>
      <w:r w:rsidR="0042253F" w:rsidRPr="00F24F28">
        <w:rPr>
          <w:rFonts w:ascii="Times New Roman" w:hAnsi="Times New Roman" w:cs="Times New Roman"/>
        </w:rPr>
        <w:t>estimat</w:t>
      </w:r>
      <w:r w:rsidR="3CEE1B12" w:rsidRPr="00F24F28">
        <w:rPr>
          <w:rFonts w:ascii="Times New Roman" w:hAnsi="Times New Roman" w:cs="Times New Roman"/>
        </w:rPr>
        <w:t>es</w:t>
      </w:r>
      <w:r w:rsidR="0042253F" w:rsidRPr="00F24F28">
        <w:rPr>
          <w:rFonts w:ascii="Times New Roman" w:hAnsi="Times New Roman" w:cs="Times New Roman"/>
        </w:rPr>
        <w:t xml:space="preserve"> pCO</w:t>
      </w:r>
      <w:r w:rsidR="0042253F" w:rsidRPr="00F24F28">
        <w:rPr>
          <w:rFonts w:ascii="Times New Roman" w:hAnsi="Times New Roman" w:cs="Times New Roman"/>
          <w:vertAlign w:val="subscript"/>
        </w:rPr>
        <w:t>2</w:t>
      </w:r>
      <w:r w:rsidR="0042253F" w:rsidRPr="00F24F28">
        <w:rPr>
          <w:rFonts w:ascii="Times New Roman" w:hAnsi="Times New Roman" w:cs="Times New Roman"/>
        </w:rPr>
        <w:t>sw​ during winter and early spring</w:t>
      </w:r>
      <w:r w:rsidR="00AB7E97" w:rsidRPr="00F24F28">
        <w:rPr>
          <w:rFonts w:ascii="Times New Roman" w:hAnsi="Times New Roman" w:cs="Times New Roman"/>
        </w:rPr>
        <w:t xml:space="preserve"> (Figure S</w:t>
      </w:r>
      <w:r w:rsidR="00315A69" w:rsidRPr="00F24F28">
        <w:rPr>
          <w:rFonts w:ascii="Times New Roman" w:hAnsi="Times New Roman" w:cs="Times New Roman"/>
        </w:rPr>
        <w:t>5</w:t>
      </w:r>
      <w:r w:rsidR="00AB7E97" w:rsidRPr="00F24F28">
        <w:rPr>
          <w:rFonts w:ascii="Times New Roman" w:hAnsi="Times New Roman" w:cs="Times New Roman"/>
        </w:rPr>
        <w:t xml:space="preserve">c, d). As a result, we use </w:t>
      </w:r>
      <w:r w:rsidR="00A04161" w:rsidRPr="00F24F28">
        <w:rPr>
          <w:rFonts w:ascii="Times New Roman" w:hAnsi="Times New Roman" w:cs="Times New Roman"/>
        </w:rPr>
        <w:t>the</w:t>
      </w:r>
      <w:r w:rsidR="00AB7E97" w:rsidRPr="00F24F28">
        <w:rPr>
          <w:rFonts w:ascii="Times New Roman" w:hAnsi="Times New Roman" w:cs="Times New Roman"/>
        </w:rPr>
        <w:t xml:space="preserve"> model that includes temperature as a predictive variable to minimize the seasonal impact as much as possible.</w:t>
      </w:r>
    </w:p>
    <w:p w14:paraId="6FFA0234" w14:textId="63B18DF7" w:rsidR="00331B54" w:rsidRPr="00F24F28" w:rsidRDefault="008E249E" w:rsidP="00331B54">
      <w:pPr>
        <w:spacing w:after="240" w:line="360" w:lineRule="auto"/>
        <w:rPr>
          <w:rFonts w:ascii="Times New Roman" w:hAnsi="Times New Roman" w:cs="Times New Roman"/>
        </w:rPr>
      </w:pPr>
      <w:r w:rsidRPr="00F24F28">
        <w:rPr>
          <w:rFonts w:ascii="Times New Roman" w:hAnsi="Times New Roman" w:cs="Times New Roman"/>
          <w:lang w:val="en-US"/>
        </w:rPr>
        <w:t xml:space="preserve">The observed discrepancies can also be attributed to the uncertainties associated with estimating surface ocean </w:t>
      </w:r>
      <w:r w:rsidR="00331B54" w:rsidRPr="00F24F28">
        <w:rPr>
          <w:rFonts w:ascii="Times New Roman" w:hAnsi="Times New Roman" w:cs="Times New Roman"/>
        </w:rPr>
        <w:t>pCO</w:t>
      </w:r>
      <w:r w:rsidR="00331B54" w:rsidRPr="00F24F28">
        <w:rPr>
          <w:rFonts w:ascii="Times New Roman" w:hAnsi="Times New Roman" w:cs="Times New Roman"/>
          <w:vertAlign w:val="subscript"/>
        </w:rPr>
        <w:t>2</w:t>
      </w:r>
      <w:r w:rsidR="00331B54" w:rsidRPr="00F24F28">
        <w:rPr>
          <w:rFonts w:ascii="Times New Roman" w:hAnsi="Times New Roman" w:cs="Times New Roman"/>
        </w:rPr>
        <w:t xml:space="preserve"> from in-situ pH</w:t>
      </w:r>
      <w:r w:rsidR="0095298A" w:rsidRPr="00F24F28">
        <w:rPr>
          <w:rFonts w:ascii="Times New Roman" w:hAnsi="Times New Roman" w:cs="Times New Roman"/>
        </w:rPr>
        <w:fldChar w:fldCharType="begin"/>
      </w:r>
      <w:r w:rsidR="00535645" w:rsidRPr="00F24F28">
        <w:rPr>
          <w:rFonts w:ascii="Times New Roman" w:hAnsi="Times New Roman" w:cs="Times New Roman"/>
        </w:rPr>
        <w:instrText xml:space="preserve"> ADDIN ZOTERO_ITEM CSL_CITATION {"citationID":"RB3xHEaW","properties":{"formattedCitation":"\\super 3\\nosupersub{}","plainCitation":"3","noteIndex":0},"citationItems":[{"id":2398,"uris":["http://zotero.org/users/local/PymyVoI5/items/F3DDCIXU"],"itemData":{"id":2398,"type":"article-journal","abstract":"Abstract\n            \n              More than 74 biogeochemical profiling floats that measure water column pH, oxygen, nitrate, fluorescence, and backscattering at 10 day intervals have been deployed throughout the Southern Ocean. Calculating the surface ocean partial pressure of carbon dioxide (pCO\n              2sw\n              ) from float pH has uncertainty contributions from the pH sensor, the alkalinity estimate, and carbonate system equilibrium constants, resulting in a relative standard uncertainty in pCO\n              2sw\n              of 2.7% (or 11 µatm at pCO\n              2sw\n              of 400 µatm). The calculated pCO\n              2sw\n              from several floats spanning a range of oceanographic regimes are compared to existing climatologies. In some locations, such as the subantarctic zone, the float data closely match the climatologies, but in the polar Antarctic zone significantly higher pCO\n              2sw\n              are calculated in the wintertime implying a greater air‐sea CO\n              2\n              efflux estimate. Our results based on four representative floats suggest that despite their uncertainty relative to direct measurements, the float data can be used to improve estimates for air‐sea carbon flux, as well as to increase knowledge of spatial, seasonal, and interannual variability in this flux.\n            \n          , \n            Key Points\n            \n              \n                \n                  \n                    Surface ocean partial pressure of carbon dioxide (pCO\n                    2sw\n                    ) is calculated from pH on biogeochemical profiling floats\n                  \n                \n                \n                  \n                    The relative standard uncertainty in float pCO\n                    2sw\n                    estimates is 2.7% (or 11 µatm at pCO\n                    2sw\n                    of 400 µatm)\n                  \n                \n                \n                  \n                    For the first time extensive wintertime pCO\n                    2sw\n                    values are obtained in the Southern Ocean showing higher values than previous estimates\n                  \n                \n              \n            \n          , \n            Plain Language Summary\n            The Southern Ocean is a key player in the global flow of carbon, yet it is hard to reach, and there are relatively few measurements there, especially in winter. Measuring the amount of carbon dioxide gas in seawater is key to advancing our understanding of the Southern Ocean. More than 74 robotic floats that use sensors to measure seawater properties have been deployed throughout the Southern Ocean, and each has a lifetime of around 5 years. It is currently not possible to directly measure carbon dioxide gas from these floats; however, it is possible to estimate carbon dioxide from things that the float can measure, like pH, a measure of ocean acidity. Here surface ocean carbon dioxide is estimated from several floats and compared to two ship‐based estimates. In some locations, the floats closely match the existing estimates, but in other locations the floats see significantly higher surface ocean carbon dioxide in the wintertime, reinforcing the idea that the Southern Ocean's role in the global carbon cycle needs a closer look. Our results show that despite not measuring carbon dioxide directly, these floats will help scientists learn a lot about the Southern Ocean's part in the global flow of carbon.","container-title":"Global Biogeochemical Cycles","DOI":"10.1002/2016GB005541","ISSN":"0886-6236, 1944-9224","issue":"3","journalAbbreviation":"Global Biogeochemical Cycles","language":"en","license":"http://onlinelibrary.wiley.com/termsAndConditions#vor","page":"591-604","source":"DOI.org (Crossref)","title":"Calculating surface ocean pCO&lt;sub&gt;2&lt;/sub&gt; from biogeochemical Argo floats equipped with pH: An uncertainty analysis","title-short":"Calculating surface ocean pCO&lt;sub&gt;2&lt;/sub&gt; from biogeochemical Argo floats equipped with pH","volume":"31","author":[{"family":"Williams","given":"N. L."},{"family":"Juranek","given":"L. W."},{"family":"Feely","given":"R. A."},{"family":"Johnson","given":"K. S."},{"family":"Sarmiento","given":"J. L."},{"family":"Talley","given":"L. D."},{"family":"Dickson","given":"A. G."},{"family":"Gray","given":"A. R."},{"family":"Wanninkhof","given":"R."},{"family":"Russell","given":"J. L."},{"family":"Riser","given":"S. C."},{"family":"Takeshita","given":"Y."}],"issued":{"date-parts":[["2017",3]]}}}],"schema":"https://github.com/citation-style-language/schema/raw/master/csl-citation.json"} </w:instrText>
      </w:r>
      <w:r w:rsidR="0095298A" w:rsidRPr="00F24F28">
        <w:rPr>
          <w:rFonts w:ascii="Times New Roman" w:hAnsi="Times New Roman" w:cs="Times New Roman"/>
        </w:rPr>
        <w:fldChar w:fldCharType="separate"/>
      </w:r>
      <w:r w:rsidR="00535645" w:rsidRPr="00F24F28">
        <w:rPr>
          <w:rFonts w:ascii="Times New Roman" w:hAnsi="Times New Roman" w:cs="Times New Roman"/>
          <w:kern w:val="0"/>
          <w:vertAlign w:val="superscript"/>
          <w:lang w:val="en-GB"/>
        </w:rPr>
        <w:t>3</w:t>
      </w:r>
      <w:r w:rsidR="0095298A" w:rsidRPr="00F24F28">
        <w:rPr>
          <w:rFonts w:ascii="Times New Roman" w:hAnsi="Times New Roman" w:cs="Times New Roman"/>
        </w:rPr>
        <w:fldChar w:fldCharType="end"/>
      </w:r>
      <w:r w:rsidR="00331B54" w:rsidRPr="00F24F28">
        <w:rPr>
          <w:rFonts w:ascii="Times New Roman" w:hAnsi="Times New Roman" w:cs="Times New Roman"/>
        </w:rPr>
        <w:t xml:space="preserve"> (</w:t>
      </w:r>
      <w:r w:rsidR="00B2120A" w:rsidRPr="00F24F28">
        <w:rPr>
          <w:rFonts w:ascii="Times New Roman" w:hAnsi="Times New Roman" w:cs="Times New Roman"/>
        </w:rPr>
        <w:t xml:space="preserve">up to </w:t>
      </w:r>
      <w:r w:rsidR="00331B54" w:rsidRPr="00F24F28">
        <w:rPr>
          <w:rFonts w:ascii="Times New Roman" w:hAnsi="Times New Roman" w:cs="Times New Roman"/>
        </w:rPr>
        <w:t>1</w:t>
      </w:r>
      <w:r w:rsidR="00B2120A" w:rsidRPr="00F24F28">
        <w:rPr>
          <w:rFonts w:ascii="Times New Roman" w:hAnsi="Times New Roman" w:cs="Times New Roman"/>
        </w:rPr>
        <w:t>1</w:t>
      </w:r>
      <w:r w:rsidR="00331B54" w:rsidRPr="00F24F28">
        <w:rPr>
          <w:rFonts w:ascii="Times New Roman" w:hAnsi="Times New Roman" w:cs="Times New Roman"/>
        </w:rPr>
        <w:t xml:space="preserve"> </w:t>
      </w:r>
      <w:proofErr w:type="spellStart"/>
      <w:r w:rsidR="00331B54" w:rsidRPr="00F24F28">
        <w:rPr>
          <w:rFonts w:ascii="Times New Roman" w:hAnsi="Times New Roman" w:cs="Times New Roman"/>
        </w:rPr>
        <w:t>μatm</w:t>
      </w:r>
      <w:proofErr w:type="spellEnd"/>
      <w:r w:rsidR="00331B54" w:rsidRPr="00F24F28">
        <w:rPr>
          <w:rFonts w:ascii="Times New Roman" w:hAnsi="Times New Roman" w:cs="Times New Roman"/>
        </w:rPr>
        <w:t>) and also the potential errors that existed in the float estimated results</w:t>
      </w:r>
      <w:r w:rsidR="00535645" w:rsidRPr="00F24F28">
        <w:rPr>
          <w:rFonts w:ascii="Times New Roman" w:hAnsi="Times New Roman" w:cs="Times New Roman"/>
        </w:rPr>
        <w:fldChar w:fldCharType="begin"/>
      </w:r>
      <w:r w:rsidR="00766687" w:rsidRPr="00F24F28">
        <w:rPr>
          <w:rFonts w:ascii="Times New Roman" w:hAnsi="Times New Roman" w:cs="Times New Roman"/>
        </w:rPr>
        <w:instrText xml:space="preserve"> ADDIN ZOTERO_ITEM CSL_CITATION {"citationID":"A0TZATPv","properties":{"formattedCitation":"\\super 4\\uc0\\u8211{}7\\nosupersub{}","plainCitation":"4–7","noteIndex":0},"citationItems":[{"id":1942,"uris":["http://zotero.org/users/local/PymyVoI5/items/W2URM46K"],"itemData":{"id":1942,"type":"article-journal","abstract":"Abstract\n            \n              Remote, harsh conditions of the Southern Ocean challenge our ability to observe the region’s influence on the climate system. Southern Ocean air‐sea CO\n              2\n              flux estimates have significant uncertainty due to the reliance on limited ship‐dependent observations in combination with satellite‐based and interpolated data products. We utilize a new approach, making direct measurements of air‐sea CO\n              2\n              , wind speed, and surface ocean properties on an Uncrewed Surface Vehicle (USV). In 2019, the USV completed the first autonomous circumnavigation of Antarctica providing hourly CO\n              2\n              flux estimates. Using this unique data set to constrain potential error in different measurements and propagate those through the CO\n              2\n              flux calculation, we find that different wind speed products and sampling frequencies have the largest impact on CO\n              2\n              flux estimates with biases that range from −4% to +20%. These biases and poorly constrained interannual variability could account for discrepancies between different approaches to estimating Southern Ocean CO\n              2\n              uptake.\n            \n          , \n            Plain Language Summary\n            \n              The Southern Ocean is an important part of the global climate, playing an outsized role in the uptake of heat and carbon. Yet observing the Southern Ocean is challenging due to its size, remoteness, and harsh conditions. In 2019, we completed the first autonomous circumnavigation of Antarctica with an Uncrewed Surface Vehicle (USV), also known as an ocean robot, in order to address some of these observing challenges. By directly measuring air and surface seawater carbon dioxide (CO\n              2\n              ) and wind speed on the USV, we were able to observe CO\n              2\n              exchange between the ocean and atmosphere every hour during the mission. Using this data set, we estimated potential errors in these measurements as well as other approaches to estimating CO\n              2\n              exchange. The use of different satellite‐based wind products and sampling frequency play the largest role in uncertainty of the uptake of CO\n              2\n              in the Southern Ocean. In order to reduce this uncertainty and provide a better understanding of the Southern Ocean, expansion of an observing network made up of ships, USVs, and other autonomous devices is necessary.\n            \n          , \n            Key Points\n            \n              \n                \n                  \n                    The first autonomous circumnavigation of Antarctica allowed for direct measurements of air‐sea CO\n                    2\n                    and wind speed in the Southern Ocean\n                  \n                \n                \n                  \n                    Bias and error propagation of various approaches to calculating CO\n                    2\n                    flux could explain some of the discrepancies between previous estimates\n                  \n                \n                \n                  \n                    Interannual variability that is poorly constrained by observations are also likely contributing to the discrepancies in CO\n                    2\n                    flux estimates","container-title":"Geophysical Research Letters","DOI":"10.1029/2020GL091748","ISSN":"0094-8276, 1944-8007","issue":"3","journalAbbreviation":"Geophysical Research Letters","language":"en","page":"e2020GL091748","source":"DOI.org (Crossref)","title":"Constraining Southern Ocean CO &lt;sub&gt;2&lt;/sub&gt; Flux Uncertainty Using Uncrewed Surface Vehicle Observations","volume":"48","author":[{"family":"Sutton","given":"A. J."},{"family":"Williams","given":"N. L."},{"family":"Tilbrook","given":"B."}],"issued":{"date-parts":[["2021",2,16]]}}},{"id":1946,"uris":["http://zotero.org/users/local/PymyVoI5/items/DLRMWSVE"],"itemData":{"id":1946,"type":"article-journal","abstract":"Understanding the size and future changes of natural ocean carbon sinks is critical for the projection of atmospheric CO\n              2\n              levels. The magnitude of the Southern Ocean carbon flux has varied significantly over past decades but mechanisms behind this variability are still under debate. While high accuracy observations, e.g. from ships and moored platforms, are important to improve models they are limited through space and time. Observations from autonomous platforms with emerging biogeochemical capabilities, e.g. profiling floats, provide greater spatial and temporal coverage. However, the absolute accuracy of CO\n              2\n              partial pressure (\n              p\n              CO\n              2\n              ) derived from float pH sensors is not well constrained. Here we capitalize on data collected for over a year by a biogeochemical Argo float near the Southern Ocean Time Series observatory to evaluate the accuracy of\n              p\n              CO\n              2\n              estimates from floats beyond the initial in water comparisons at deployment. A latitudinal gradient of increasing\n              p\n              CO\n              2\n              southward and spatial variability contributed to observed discrepancies. Comparisons between float estimated\n              p\n              CO\n              2\n              and mooring observations were therefore restricted by temperature and potential density criteria (~ 7 µatm difference) and distance (1° latitude and longitude, ~ 11 µatm difference). By utilizing high quality moored and shipboard underway\n              p\n              CO\n              2\n              observations, and estimates from CTD casts, we therefore found that over a year, differences in\n              p\n              CO\n              2\n              between platforms were within tolerable uncertainties. Continued validation efforts, using measurements with known and sufficient accuracy, are vital in the continued assessment of float-based\n              p\n              CO\n              2\n              estimates, especially in a highly dynamic region such as the subantarctic zone of the Southern Ocean.","container-title":"Frontiers in Marine Science","DOI":"10.3389/fmars.2023.1231953","ISSN":"2296-7745","journalAbbreviation":"Front. Mar. Sci.","page":"1231953","source":"DOI.org (Crossref)","title":"Subantarctic pCO2 estimated from a biogeochemical float: comparison with moored observations reinforces the importance of spatial and temporal variability","title-short":"Subantarctic pCO2 estimated from a biogeochemical float","volume":"10","author":[{"family":"Wynn-Edwards","given":"Cathryn Ann"},{"family":"Shadwick","given":"Elizabeth H."},{"family":"Jansen","given":"Peter"},{"family":"Schallenberg","given":"Christina"},{"family":"Maurer","given":"Tanya Lea"},{"family":"Sutton","given":"Adrienne J."}],"issued":{"date-parts":[["2023",7,25]]}}},{"id":1886,"uris":["http://zotero.org/users/local/PymyVoI5/items/9M5T52S3"],"itemData":{"id":1886,"type":"article-journal","abstract":"New estimates of pCO2 from proﬁling ﬂoats deployed by the Southern Ocean Carbon and Climate Observations and Modeling (SOCCOM) project have demonstrated the importance of wintertime outgassing south of the Polar Front, challenging the accepted magnitude of Southern Ocean carbon uptake (Gray et al., 2018, https://doi:10.1029/2018GL078013). Here, we put 3.5 years of SOCCOM observations into broader context with the global surface carbon dioxide database (Surface Ocean CO2 Atlas, SOCAT) by using the two interpolation methods currently used to assess the ocean models in the Global Carbon Budget (Le Quéré et al., 2018, https://doi:10.5194/essd‐10‐2141‐2018) to create a ship‐only, a ﬂoat‐weighted, and a combined estimate of Southern Ocean carbon ﬂuxes (&lt;35°S). In our ship‐only estimate, we calculate a mean uptake of −1.14 ± 0.19 Pg C/yr for 2015–2017, consistent with prior studies. The ﬂoat‐weighted estimate yields a signiﬁcantly lower Southern Ocean uptake of −0.35 ± 0.19 Pg C/yr. Subsampling of high‐resolution ocean biogeochemical process models indicates that some of the differences between ﬂoat and ship‐only estimates of the Southern Ocean carbon ﬂux can be explained by spatial and temporal sampling differences. The combined ship and ﬂoat estimate minimizes the root‐mean‐square pCO2 difference between the mapped product and both data sets, giving a new Southern Ocean uptake of −0.75 ± 0.22 Pg C/yr, though with uncertainties that overlap the ship‐only estimate. An atmospheric inversion reveals that a shift of this magnitude in the contemporary Southern Ocean carbon ﬂux must be compensated for by ocean or land sinks within the Southern Hemisphere. Plain Language Summary The Southern Ocean is thought to take up a signiﬁcant amount of carbon dioxide each year but is a difﬁcult region to observe due to its remote location and harsh winter weather. Recently, autonomous robots deployed by the Southern Ocean Carbon and Climate Observations and Modeling project have been making year‐round measurements of ocean carbonate chemistry, from which we can estimate surface carbon dioxide. These provide new data at times and locations where we previously had very little. We found that combining the ﬂoat observations with traditional shipboard data reduced our estimate for the amount carbon that the Southern Ocean takes up each year, though by less than had been previously estimated when considering ﬂoat observations alone. We also show that some of the new signals is likely due to the differences in when and where ﬂoats make measurements. The magnitude of difference between prior estimates of the Southern Ocean carbon ﬂux and our new approach is signiﬁcant, ~20% of the contemporary global ocean carbon ﬂux. It is therefore crucial to understand how this may impact the global carbon cycle, and we show that a compensating ﬂux must be found somewhere within the Southern Hemisphere.","container-title":"Global Biogeochemical Cycles","DOI":"10.1029/2019GB006176","ISSN":"0886-6236, 1944-9224","issue":"11","journalAbbreviation":"Global Biogeochemical Cycles","language":"en","page":"1370-1388","source":"DOI.org (Crossref)","title":"Reassessing Southern Ocean Air‐Sea CO &lt;sub&gt;2&lt;/sub&gt; Flux Estimates With the Addition of Biogeochemical Float Observations","volume":"33","author":[{"family":"Bushinsky","given":"Seth M."},{"family":"Landschützer","given":"Peter"},{"family":"Rödenbeck","given":"Christian"},{"family":"Gray","given":"Alison R."},{"family":"Baker","given":"David"},{"family":"Mazloff","given":"Matthew R."},{"family":"Resplandy","given":"Laure"},{"family":"Johnson","given":"Kenneth S."},{"family":"Sarmiento","given":"Jorge L."}],"issued":{"date-parts":[["2019",11]]}}},{"id":2442,"uris":["http://zotero.org/users/local/PymyVoI5/items/29XWBXF3"],"itemData":{"id":2442,"type":"article-journal","container-title":"Geophysical Research Letters","DOI":"10.1002/2015GL066009","ISSN":"00948276","issue":"20","journalAbbreviation":"Geophys. Res. Lett.","language":"en","license":"http://doi.wiley.com/10.1002/tdm_license_1","page":"8507-8514","source":"DOI.org (Crossref)","title":"Intraseasonal variability linked to sampling alias in air-sea CO&lt;sub&gt;2&lt;/sub&gt; fluxes in the Southern Ocean: Alias in Air-Sea CO&lt;sub&gt;2&lt;/sub&gt; Fluxes","title-short":"Intraseasonal variability linked to sampling alias in air-sea CO&lt;sub&gt;2&lt;/sub&gt; fluxes in the Southern Ocean","volume":"42","author":[{"family":"Monteiro","given":"Pedro M. S."},{"family":"Gregor","given":"Luke"},{"family":"Lévy","given":"Marina"},{"family":"Maenner","given":"Stacy"},{"family":"Sabine","given":"Christopher L."},{"family":"Swart","given":"Sebastiaan"}],"issued":{"date-parts":[["2015",10,28]]}}}],"schema":"https://github.com/citation-style-language/schema/raw/master/csl-citation.json"} </w:instrText>
      </w:r>
      <w:r w:rsidR="00535645" w:rsidRPr="00F24F28">
        <w:rPr>
          <w:rFonts w:ascii="Times New Roman" w:hAnsi="Times New Roman" w:cs="Times New Roman"/>
        </w:rPr>
        <w:fldChar w:fldCharType="separate"/>
      </w:r>
      <w:r w:rsidR="00766687" w:rsidRPr="00F24F28">
        <w:rPr>
          <w:rFonts w:ascii="Times New Roman" w:hAnsi="Times New Roman" w:cs="Times New Roman"/>
          <w:kern w:val="0"/>
          <w:vertAlign w:val="superscript"/>
          <w:lang w:val="en-GB"/>
        </w:rPr>
        <w:t>4–7</w:t>
      </w:r>
      <w:r w:rsidR="00535645" w:rsidRPr="00F24F28">
        <w:rPr>
          <w:rFonts w:ascii="Times New Roman" w:hAnsi="Times New Roman" w:cs="Times New Roman"/>
        </w:rPr>
        <w:fldChar w:fldCharType="end"/>
      </w:r>
      <w:r w:rsidR="00331B54" w:rsidRPr="00F24F28">
        <w:rPr>
          <w:rFonts w:ascii="Times New Roman" w:hAnsi="Times New Roman" w:cs="Times New Roman"/>
        </w:rPr>
        <w:t xml:space="preserve">. </w:t>
      </w:r>
      <w:r w:rsidR="00EC5A28" w:rsidRPr="00F24F28">
        <w:rPr>
          <w:rFonts w:ascii="Times New Roman" w:hAnsi="Times New Roman" w:cs="Times New Roman"/>
        </w:rPr>
        <w:t>Additionally, we averaged data from the upper 30 m to derive the mean</w:t>
      </w:r>
      <w:r w:rsidR="0065294F" w:rsidRPr="00F24F28">
        <w:rPr>
          <w:rFonts w:ascii="Times New Roman" w:hAnsi="Times New Roman" w:cs="Times New Roman"/>
        </w:rPr>
        <w:t xml:space="preserve"> pCO</w:t>
      </w:r>
      <w:r w:rsidR="0065294F" w:rsidRPr="00F24F28">
        <w:rPr>
          <w:rFonts w:ascii="Times New Roman" w:hAnsi="Times New Roman" w:cs="Times New Roman"/>
          <w:vertAlign w:val="subscript"/>
        </w:rPr>
        <w:t>2</w:t>
      </w:r>
      <w:r w:rsidR="0065294F" w:rsidRPr="00F24F28">
        <w:rPr>
          <w:rFonts w:ascii="Times New Roman" w:hAnsi="Times New Roman" w:cs="Times New Roman"/>
        </w:rPr>
        <w:t>sw</w:t>
      </w:r>
      <w:r w:rsidR="009F6672" w:rsidRPr="00F24F28">
        <w:rPr>
          <w:rFonts w:ascii="Times New Roman" w:hAnsi="Times New Roman" w:cs="Times New Roman"/>
        </w:rPr>
        <w:t>.</w:t>
      </w:r>
      <w:r w:rsidR="0065294F" w:rsidRPr="00F24F28">
        <w:rPr>
          <w:rFonts w:ascii="Times New Roman" w:hAnsi="Times New Roman" w:cs="Times New Roman"/>
        </w:rPr>
        <w:t xml:space="preserve"> </w:t>
      </w:r>
      <w:r w:rsidR="009F6672" w:rsidRPr="00F24F28">
        <w:rPr>
          <w:rFonts w:ascii="Times New Roman" w:hAnsi="Times New Roman" w:cs="Times New Roman"/>
        </w:rPr>
        <w:t>This approach was intended to include more data points, particularly when profiles were collected under ice, where fewer surface measurements are available. However, this approach may have resulted in higher in-situ measurements, further contributing to the discrepancies</w:t>
      </w:r>
      <w:r w:rsidR="005B7F82" w:rsidRPr="00F24F28">
        <w:rPr>
          <w:rFonts w:ascii="Times New Roman" w:hAnsi="Times New Roman" w:cs="Times New Roman"/>
        </w:rPr>
        <w:t xml:space="preserve"> in Figure S</w:t>
      </w:r>
      <w:r w:rsidR="00315A69" w:rsidRPr="00F24F28">
        <w:rPr>
          <w:rFonts w:ascii="Times New Roman" w:hAnsi="Times New Roman" w:cs="Times New Roman"/>
        </w:rPr>
        <w:t>5</w:t>
      </w:r>
      <w:r w:rsidR="009F6672" w:rsidRPr="00F24F28">
        <w:rPr>
          <w:rFonts w:ascii="Times New Roman" w:hAnsi="Times New Roman" w:cs="Times New Roman"/>
        </w:rPr>
        <w:t>.</w:t>
      </w:r>
    </w:p>
    <w:p w14:paraId="70BE96F5" w14:textId="77777777" w:rsidR="008822F8" w:rsidRPr="00F24F28" w:rsidRDefault="008822F8" w:rsidP="00331B54">
      <w:pPr>
        <w:spacing w:after="240" w:line="360" w:lineRule="auto"/>
        <w:rPr>
          <w:rFonts w:ascii="Times New Roman" w:hAnsi="Times New Roman" w:cs="Times New Roman"/>
        </w:rPr>
      </w:pPr>
    </w:p>
    <w:p w14:paraId="4E499898" w14:textId="77777777" w:rsidR="002E564B" w:rsidRPr="00F24F28" w:rsidRDefault="002E564B">
      <w:pPr>
        <w:rPr>
          <w:rFonts w:ascii="Times New Roman" w:hAnsi="Times New Roman" w:cs="Times New Roman"/>
          <w:lang w:val="en-US"/>
        </w:rPr>
      </w:pPr>
    </w:p>
    <w:p w14:paraId="20B5BE08" w14:textId="2FA9F6A9" w:rsidR="002E564B" w:rsidRPr="00F24F28" w:rsidRDefault="003A0373">
      <w:pPr>
        <w:rPr>
          <w:rFonts w:ascii="Times New Roman" w:hAnsi="Times New Roman" w:cs="Times New Roman"/>
          <w:lang w:val="en-US"/>
        </w:rPr>
      </w:pPr>
      <w:r w:rsidRPr="00F24F28">
        <w:rPr>
          <w:rFonts w:ascii="Times New Roman" w:hAnsi="Times New Roman" w:cs="Times New Roman"/>
          <w:noProof/>
          <w:lang w:val="en-US"/>
        </w:rPr>
        <w:lastRenderedPageBreak/>
        <w:drawing>
          <wp:inline distT="0" distB="0" distL="0" distR="0" wp14:anchorId="26688F6A" wp14:editId="6827F39C">
            <wp:extent cx="5731510" cy="3226435"/>
            <wp:effectExtent l="0" t="0" r="0" b="0"/>
            <wp:docPr id="932541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41450" name="Picture 9325414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20EA151F" w14:textId="06C74F51" w:rsidR="00F07080" w:rsidRPr="00F24F28" w:rsidRDefault="000717FC">
      <w:pPr>
        <w:rPr>
          <w:rFonts w:ascii="Times New Roman" w:hAnsi="Times New Roman" w:cs="Times New Roman"/>
          <w:lang w:val="en-US"/>
        </w:rPr>
      </w:pPr>
      <w:r w:rsidRPr="00F24F28">
        <w:rPr>
          <w:rFonts w:ascii="Times New Roman" w:hAnsi="Times New Roman" w:cs="Times New Roman"/>
          <w:b/>
          <w:bCs/>
          <w:lang w:val="en-US"/>
        </w:rPr>
        <w:t>Figure S</w:t>
      </w:r>
      <w:r w:rsidR="00792C0F" w:rsidRPr="00F24F28">
        <w:rPr>
          <w:rFonts w:ascii="Times New Roman" w:hAnsi="Times New Roman" w:cs="Times New Roman"/>
          <w:b/>
          <w:bCs/>
          <w:lang w:val="en-US"/>
        </w:rPr>
        <w:t>1</w:t>
      </w:r>
      <w:r w:rsidRPr="00F24F28">
        <w:rPr>
          <w:rFonts w:ascii="Times New Roman" w:hAnsi="Times New Roman" w:cs="Times New Roman"/>
          <w:b/>
          <w:bCs/>
          <w:lang w:val="en-US"/>
        </w:rPr>
        <w:t xml:space="preserve">. </w:t>
      </w:r>
      <w:r w:rsidR="00F54EED" w:rsidRPr="00F24F28">
        <w:rPr>
          <w:rFonts w:ascii="Times New Roman" w:hAnsi="Times New Roman" w:cs="Times New Roman"/>
          <w:b/>
          <w:bCs/>
          <w:lang w:val="en-US"/>
        </w:rPr>
        <w:t>Comparisons of phenology timings among key biogeochemical parameters.</w:t>
      </w:r>
      <w:r w:rsidR="00F54EED" w:rsidRPr="00F24F28">
        <w:rPr>
          <w:rFonts w:ascii="Times New Roman" w:hAnsi="Times New Roman" w:cs="Times New Roman"/>
          <w:lang w:val="en-US"/>
        </w:rPr>
        <w:t xml:space="preserve"> </w:t>
      </w:r>
      <w:r w:rsidR="00153DA1" w:rsidRPr="00F24F28">
        <w:rPr>
          <w:rFonts w:ascii="Times New Roman" w:hAnsi="Times New Roman" w:cs="Times New Roman"/>
          <w:lang w:val="en-US"/>
        </w:rPr>
        <w:t>D</w:t>
      </w:r>
      <w:r w:rsidR="000841C4" w:rsidRPr="00F24F28">
        <w:rPr>
          <w:rFonts w:ascii="Times New Roman" w:hAnsi="Times New Roman" w:cs="Times New Roman"/>
          <w:lang w:val="en-US"/>
        </w:rPr>
        <w:t xml:space="preserve">ifference in bloom </w:t>
      </w:r>
      <w:r w:rsidR="00934B62" w:rsidRPr="00F24F28">
        <w:rPr>
          <w:rFonts w:ascii="Times New Roman" w:hAnsi="Times New Roman" w:cs="Times New Roman"/>
          <w:lang w:val="en-US"/>
        </w:rPr>
        <w:t>o</w:t>
      </w:r>
      <w:r w:rsidR="000841C4" w:rsidRPr="00F24F28">
        <w:rPr>
          <w:rFonts w:ascii="Times New Roman" w:hAnsi="Times New Roman" w:cs="Times New Roman"/>
          <w:lang w:val="en-US"/>
        </w:rPr>
        <w:t xml:space="preserve">nset time from </w:t>
      </w:r>
      <w:proofErr w:type="spellStart"/>
      <w:r w:rsidR="00287676" w:rsidRPr="00F24F28">
        <w:rPr>
          <w:rFonts w:ascii="Times New Roman" w:hAnsi="Times New Roman" w:cs="Times New Roman"/>
          <w:lang w:val="en-US"/>
        </w:rPr>
        <w:t>Chla</w:t>
      </w:r>
      <w:proofErr w:type="spellEnd"/>
      <w:r w:rsidR="00287676" w:rsidRPr="00F24F28">
        <w:rPr>
          <w:rFonts w:ascii="Times New Roman" w:hAnsi="Times New Roman" w:cs="Times New Roman"/>
          <w:lang w:val="en-US"/>
        </w:rPr>
        <w:t xml:space="preserve"> (on the x-axis) against </w:t>
      </w:r>
      <w:r w:rsidR="009757AC" w:rsidRPr="00F24F28">
        <w:rPr>
          <w:rFonts w:ascii="Times New Roman" w:hAnsi="Times New Roman" w:cs="Times New Roman"/>
          <w:lang w:val="en-US"/>
        </w:rPr>
        <w:t xml:space="preserve">(a) </w:t>
      </w:r>
      <w:r w:rsidR="003A0373" w:rsidRPr="00F24F28">
        <w:rPr>
          <w:rFonts w:ascii="Times New Roman" w:hAnsi="Times New Roman" w:cs="Times New Roman"/>
          <w:lang w:val="en-US"/>
        </w:rPr>
        <w:t>nitrate</w:t>
      </w:r>
      <w:r w:rsidR="00153DA1" w:rsidRPr="00F24F28">
        <w:rPr>
          <w:rFonts w:ascii="Times New Roman" w:hAnsi="Times New Roman" w:cs="Times New Roman"/>
          <w:lang w:val="en-US"/>
        </w:rPr>
        <w:t xml:space="preserve"> (on the y-axis)</w:t>
      </w:r>
      <w:r w:rsidR="009757AC" w:rsidRPr="00F24F28">
        <w:rPr>
          <w:rFonts w:ascii="Times New Roman" w:hAnsi="Times New Roman" w:cs="Times New Roman"/>
          <w:lang w:val="en-US"/>
        </w:rPr>
        <w:t>, (b)</w:t>
      </w:r>
      <w:r w:rsidR="002E564B" w:rsidRPr="00F24F28">
        <w:rPr>
          <w:rFonts w:ascii="Times New Roman" w:hAnsi="Times New Roman" w:cs="Times New Roman"/>
          <w:lang w:val="en-US"/>
        </w:rPr>
        <w:t xml:space="preserve"> MLD, (c)</w:t>
      </w:r>
      <w:r w:rsidR="001801A0" w:rsidRPr="00F24F28">
        <w:rPr>
          <w:rFonts w:ascii="Times New Roman" w:hAnsi="Times New Roman" w:cs="Times New Roman"/>
          <w:lang w:val="en-US"/>
        </w:rPr>
        <w:t xml:space="preserve"> I</w:t>
      </w:r>
      <w:r w:rsidR="001801A0" w:rsidRPr="00F24F28">
        <w:rPr>
          <w:rFonts w:ascii="Times New Roman" w:hAnsi="Times New Roman" w:cs="Times New Roman"/>
          <w:vertAlign w:val="subscript"/>
          <w:lang w:val="en-US"/>
        </w:rPr>
        <w:t>g</w:t>
      </w:r>
      <w:r w:rsidR="00C2361E" w:rsidRPr="00F24F28">
        <w:rPr>
          <w:rFonts w:ascii="Times New Roman" w:hAnsi="Times New Roman" w:cs="Times New Roman"/>
          <w:lang w:val="en-US"/>
        </w:rPr>
        <w:t xml:space="preserve">, (d) </w:t>
      </w:r>
      <w:r w:rsidR="001801A0" w:rsidRPr="00F24F28">
        <w:rPr>
          <w:rFonts w:ascii="Times New Roman" w:hAnsi="Times New Roman" w:cs="Times New Roman"/>
          <w:lang w:val="en-US"/>
        </w:rPr>
        <w:t>E</w:t>
      </w:r>
      <w:r w:rsidR="001801A0" w:rsidRPr="00F24F28">
        <w:rPr>
          <w:rFonts w:ascii="Times New Roman" w:hAnsi="Times New Roman" w:cs="Times New Roman"/>
          <w:vertAlign w:val="subscript"/>
          <w:lang w:val="en-US"/>
        </w:rPr>
        <w:t>BGP</w:t>
      </w:r>
      <w:r w:rsidR="00C2361E" w:rsidRPr="00F24F28">
        <w:rPr>
          <w:rFonts w:ascii="Times New Roman" w:hAnsi="Times New Roman" w:cs="Times New Roman"/>
          <w:lang w:val="en-US"/>
        </w:rPr>
        <w:t>, and (</w:t>
      </w:r>
      <w:r w:rsidR="00012489" w:rsidRPr="00F24F28">
        <w:rPr>
          <w:rFonts w:ascii="Times New Roman" w:hAnsi="Times New Roman" w:cs="Times New Roman"/>
          <w:lang w:val="en-US"/>
        </w:rPr>
        <w:t>e</w:t>
      </w:r>
      <w:r w:rsidR="00C2361E" w:rsidRPr="00F24F28">
        <w:rPr>
          <w:rFonts w:ascii="Times New Roman" w:hAnsi="Times New Roman" w:cs="Times New Roman"/>
          <w:lang w:val="en-US"/>
        </w:rPr>
        <w:t>)</w:t>
      </w:r>
      <w:r w:rsidR="00012489" w:rsidRPr="00F24F28">
        <w:rPr>
          <w:rFonts w:ascii="Times New Roman" w:hAnsi="Times New Roman" w:cs="Times New Roman"/>
          <w:lang w:val="en-US"/>
        </w:rPr>
        <w:t xml:space="preserve"> ΔpCO</w:t>
      </w:r>
      <w:r w:rsidR="00012489" w:rsidRPr="00F24F28">
        <w:rPr>
          <w:rFonts w:ascii="Times New Roman" w:hAnsi="Times New Roman" w:cs="Times New Roman"/>
          <w:vertAlign w:val="subscript"/>
          <w:lang w:val="en-US"/>
        </w:rPr>
        <w:t>2</w:t>
      </w:r>
      <w:r w:rsidR="00D6486E" w:rsidRPr="00F24F28">
        <w:rPr>
          <w:rFonts w:ascii="Times New Roman" w:hAnsi="Times New Roman" w:cs="Times New Roman"/>
          <w:lang w:val="en-US"/>
        </w:rPr>
        <w:t xml:space="preserve">, colored by the latitude </w:t>
      </w:r>
      <w:r w:rsidR="410F5368" w:rsidRPr="00F24F28">
        <w:rPr>
          <w:rFonts w:ascii="Times New Roman" w:hAnsi="Times New Roman" w:cs="Times New Roman"/>
          <w:lang w:val="en-US"/>
        </w:rPr>
        <w:t xml:space="preserve">of </w:t>
      </w:r>
      <w:r w:rsidR="00D6486E" w:rsidRPr="00F24F28">
        <w:rPr>
          <w:rFonts w:ascii="Times New Roman" w:hAnsi="Times New Roman" w:cs="Times New Roman"/>
          <w:lang w:val="en-US"/>
        </w:rPr>
        <w:t>the ice retreat</w:t>
      </w:r>
      <w:r w:rsidR="00012489" w:rsidRPr="00F24F28">
        <w:rPr>
          <w:rFonts w:ascii="Times New Roman" w:hAnsi="Times New Roman" w:cs="Times New Roman"/>
          <w:lang w:val="en-US"/>
        </w:rPr>
        <w:t xml:space="preserve">. The </w:t>
      </w:r>
      <w:r w:rsidR="00934B62" w:rsidRPr="00F24F28">
        <w:rPr>
          <w:rFonts w:ascii="Times New Roman" w:hAnsi="Times New Roman" w:cs="Times New Roman"/>
          <w:lang w:val="en-US"/>
        </w:rPr>
        <w:t>c</w:t>
      </w:r>
      <w:r w:rsidR="00012489" w:rsidRPr="00F24F28">
        <w:rPr>
          <w:rFonts w:ascii="Times New Roman" w:hAnsi="Times New Roman" w:cs="Times New Roman"/>
          <w:lang w:val="en-US"/>
        </w:rPr>
        <w:t xml:space="preserve">limax and </w:t>
      </w:r>
      <w:r w:rsidR="00934B62" w:rsidRPr="00F24F28">
        <w:rPr>
          <w:rFonts w:ascii="Times New Roman" w:hAnsi="Times New Roman" w:cs="Times New Roman"/>
          <w:lang w:val="en-US"/>
        </w:rPr>
        <w:t>a</w:t>
      </w:r>
      <w:r w:rsidR="00012489" w:rsidRPr="00F24F28">
        <w:rPr>
          <w:rFonts w:ascii="Times New Roman" w:hAnsi="Times New Roman" w:cs="Times New Roman"/>
          <w:lang w:val="en-US"/>
        </w:rPr>
        <w:t xml:space="preserve">pex are in the </w:t>
      </w:r>
      <w:r w:rsidR="0026421C" w:rsidRPr="00F24F28">
        <w:rPr>
          <w:rFonts w:ascii="Times New Roman" w:hAnsi="Times New Roman" w:cs="Times New Roman"/>
          <w:lang w:val="en-US"/>
        </w:rPr>
        <w:t xml:space="preserve">second and third rows, respectively. </w:t>
      </w:r>
    </w:p>
    <w:p w14:paraId="3D530150" w14:textId="77777777" w:rsidR="004A586D" w:rsidRPr="00F24F28" w:rsidRDefault="004A586D">
      <w:pPr>
        <w:rPr>
          <w:rFonts w:ascii="Times New Roman" w:hAnsi="Times New Roman" w:cs="Times New Roman"/>
          <w:lang w:val="en-US"/>
        </w:rPr>
      </w:pPr>
    </w:p>
    <w:p w14:paraId="10C5105C" w14:textId="77777777" w:rsidR="004A586D" w:rsidRPr="00F24F28" w:rsidRDefault="004A586D" w:rsidP="004A586D">
      <w:pPr>
        <w:spacing w:after="240" w:line="360" w:lineRule="auto"/>
        <w:jc w:val="center"/>
        <w:rPr>
          <w:rFonts w:ascii="Times New Roman" w:hAnsi="Times New Roman" w:cs="Times New Roman"/>
          <w:lang w:val="en-US"/>
        </w:rPr>
      </w:pPr>
      <w:r w:rsidRPr="00F24F28">
        <w:rPr>
          <w:rFonts w:ascii="Times New Roman" w:hAnsi="Times New Roman" w:cs="Times New Roman"/>
          <w:noProof/>
          <w:lang w:val="en-US"/>
        </w:rPr>
        <w:lastRenderedPageBreak/>
        <w:drawing>
          <wp:inline distT="0" distB="0" distL="0" distR="0" wp14:anchorId="7B9FEFA0" wp14:editId="41B8CF47">
            <wp:extent cx="5041338" cy="4369699"/>
            <wp:effectExtent l="0" t="0" r="635" b="0"/>
            <wp:docPr id="1894078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78428" name="Picture 1894078428"/>
                    <pic:cNvPicPr/>
                  </pic:nvPicPr>
                  <pic:blipFill rotWithShape="1">
                    <a:blip r:embed="rId9" cstate="print">
                      <a:extLst>
                        <a:ext uri="{28A0092B-C50C-407E-A947-70E740481C1C}">
                          <a14:useLocalDpi xmlns:a14="http://schemas.microsoft.com/office/drawing/2010/main" val="0"/>
                        </a:ext>
                      </a:extLst>
                    </a:blip>
                    <a:srcRect l="7201" t="5018" r="4833" b="4617"/>
                    <a:stretch/>
                  </pic:blipFill>
                  <pic:spPr bwMode="auto">
                    <a:xfrm>
                      <a:off x="0" y="0"/>
                      <a:ext cx="5041825" cy="4370121"/>
                    </a:xfrm>
                    <a:prstGeom prst="rect">
                      <a:avLst/>
                    </a:prstGeom>
                    <a:ln>
                      <a:noFill/>
                    </a:ln>
                    <a:extLst>
                      <a:ext uri="{53640926-AAD7-44D8-BBD7-CCE9431645EC}">
                        <a14:shadowObscured xmlns:a14="http://schemas.microsoft.com/office/drawing/2010/main"/>
                      </a:ext>
                    </a:extLst>
                  </pic:spPr>
                </pic:pic>
              </a:graphicData>
            </a:graphic>
          </wp:inline>
        </w:drawing>
      </w:r>
    </w:p>
    <w:p w14:paraId="73115968" w14:textId="45AC8767" w:rsidR="004A586D" w:rsidRPr="00F24F28" w:rsidRDefault="004A586D" w:rsidP="004A586D">
      <w:pPr>
        <w:spacing w:after="240" w:line="360" w:lineRule="auto"/>
        <w:jc w:val="both"/>
        <w:rPr>
          <w:rFonts w:ascii="Times New Roman" w:hAnsi="Times New Roman" w:cs="Times New Roman"/>
          <w:lang w:val="en-US"/>
        </w:rPr>
      </w:pPr>
      <w:r w:rsidRPr="00F24F28">
        <w:rPr>
          <w:rFonts w:ascii="Times New Roman" w:hAnsi="Times New Roman" w:cs="Times New Roman"/>
          <w:b/>
          <w:bCs/>
          <w:lang w:val="en-US"/>
        </w:rPr>
        <w:t xml:space="preserve">Figure </w:t>
      </w:r>
      <w:r w:rsidR="00576EAA" w:rsidRPr="00F24F28">
        <w:rPr>
          <w:rFonts w:ascii="Times New Roman" w:hAnsi="Times New Roman" w:cs="Times New Roman"/>
          <w:b/>
          <w:bCs/>
          <w:lang w:val="en-US"/>
        </w:rPr>
        <w:t>S</w:t>
      </w:r>
      <w:r w:rsidR="00792C0F" w:rsidRPr="00F24F28">
        <w:rPr>
          <w:rFonts w:ascii="Times New Roman" w:hAnsi="Times New Roman" w:cs="Times New Roman"/>
          <w:b/>
          <w:bCs/>
          <w:lang w:val="en-US"/>
        </w:rPr>
        <w:t>2</w:t>
      </w:r>
      <w:r w:rsidRPr="00F24F28">
        <w:rPr>
          <w:rFonts w:ascii="Times New Roman" w:hAnsi="Times New Roman" w:cs="Times New Roman"/>
          <w:b/>
          <w:bCs/>
          <w:lang w:val="en-US"/>
        </w:rPr>
        <w:t>. Relationships among changes in each parameter from onset to apex.</w:t>
      </w:r>
      <w:r w:rsidRPr="00F24F28">
        <w:rPr>
          <w:rFonts w:ascii="Times New Roman" w:hAnsi="Times New Roman" w:cs="Times New Roman"/>
          <w:lang w:val="en-US"/>
        </w:rPr>
        <w:t xml:space="preserve"> The first four panels are (a) nitrate depletion, (b) ΔpCO</w:t>
      </w:r>
      <w:r w:rsidRPr="00F24F28">
        <w:rPr>
          <w:rFonts w:ascii="Times New Roman" w:hAnsi="Times New Roman" w:cs="Times New Roman"/>
          <w:vertAlign w:val="subscript"/>
          <w:lang w:val="en-US"/>
        </w:rPr>
        <w:t>2</w:t>
      </w:r>
      <w:r w:rsidRPr="00F24F28">
        <w:rPr>
          <w:rFonts w:ascii="Times New Roman" w:hAnsi="Times New Roman" w:cs="Times New Roman"/>
          <w:lang w:val="en-US"/>
        </w:rPr>
        <w:t xml:space="preserve"> , (c) FCO</w:t>
      </w:r>
      <w:r w:rsidRPr="00F24F28">
        <w:rPr>
          <w:rFonts w:ascii="Times New Roman" w:hAnsi="Times New Roman" w:cs="Times New Roman"/>
          <w:vertAlign w:val="subscript"/>
          <w:lang w:val="en-US"/>
        </w:rPr>
        <w:t>2</w:t>
      </w:r>
      <w:r w:rsidRPr="00F24F28">
        <w:rPr>
          <w:rFonts w:ascii="Times New Roman" w:hAnsi="Times New Roman" w:cs="Times New Roman"/>
          <w:lang w:val="en-US"/>
        </w:rPr>
        <w:t xml:space="preserve"> , and (d) E</w:t>
      </w:r>
      <w:r w:rsidRPr="00F24F28">
        <w:rPr>
          <w:rFonts w:ascii="Times New Roman" w:hAnsi="Times New Roman" w:cs="Times New Roman"/>
          <w:vertAlign w:val="subscript"/>
          <w:lang w:val="en-US"/>
        </w:rPr>
        <w:t>BGP</w:t>
      </w:r>
      <w:r w:rsidRPr="00F24F28">
        <w:rPr>
          <w:rFonts w:ascii="Times New Roman" w:hAnsi="Times New Roman" w:cs="Times New Roman"/>
          <w:lang w:val="en-US"/>
        </w:rPr>
        <w:t xml:space="preserve"> against the </w:t>
      </w:r>
      <w:proofErr w:type="spellStart"/>
      <w:r w:rsidRPr="00F24F28">
        <w:rPr>
          <w:rFonts w:ascii="Times New Roman" w:hAnsi="Times New Roman" w:cs="Times New Roman"/>
          <w:lang w:val="en-US"/>
        </w:rPr>
        <w:t>Chla</w:t>
      </w:r>
      <w:proofErr w:type="spellEnd"/>
      <w:r w:rsidRPr="00F24F28">
        <w:rPr>
          <w:rFonts w:ascii="Times New Roman" w:hAnsi="Times New Roman" w:cs="Times New Roman"/>
          <w:lang w:val="en-US"/>
        </w:rPr>
        <w:t xml:space="preserve"> biomass, colored by </w:t>
      </w:r>
      <w:r w:rsidRPr="00F24F28">
        <w:rPr>
          <w:rFonts w:ascii="Times New Roman" w:hAnsi="Times New Roman" w:cs="Times New Roman"/>
        </w:rPr>
        <w:t>IRT</w:t>
      </w:r>
      <w:r w:rsidRPr="00F24F28">
        <w:rPr>
          <w:rFonts w:ascii="Times New Roman" w:hAnsi="Times New Roman" w:cs="Times New Roman"/>
          <w:lang w:val="en-US"/>
        </w:rPr>
        <w:t xml:space="preserve">. Bottom heat maps summarize the correlation test results (e) coefficient r and (f) significance value p. </w:t>
      </w:r>
    </w:p>
    <w:p w14:paraId="4D92CB8C" w14:textId="77777777" w:rsidR="003A4519" w:rsidRPr="00F24F28" w:rsidRDefault="003A4519">
      <w:pPr>
        <w:rPr>
          <w:rFonts w:ascii="Times New Roman" w:hAnsi="Times New Roman" w:cs="Times New Roman"/>
          <w:lang w:val="en-US"/>
        </w:rPr>
      </w:pPr>
    </w:p>
    <w:p w14:paraId="51E7ECA2" w14:textId="6DDE4609" w:rsidR="00491682" w:rsidRPr="00F24F28" w:rsidRDefault="00491682">
      <w:pPr>
        <w:rPr>
          <w:rFonts w:ascii="Times New Roman" w:hAnsi="Times New Roman" w:cs="Times New Roman"/>
          <w:lang w:val="en-US"/>
        </w:rPr>
      </w:pPr>
    </w:p>
    <w:p w14:paraId="65FE479E" w14:textId="41081580" w:rsidR="00BE72BD" w:rsidRPr="00F24F28" w:rsidRDefault="00820A83">
      <w:pPr>
        <w:rPr>
          <w:rFonts w:ascii="Times New Roman" w:hAnsi="Times New Roman" w:cs="Times New Roman"/>
          <w:lang w:val="en-US"/>
        </w:rPr>
      </w:pPr>
      <w:r w:rsidRPr="00F24F28">
        <w:rPr>
          <w:rFonts w:ascii="Times New Roman" w:hAnsi="Times New Roman" w:cs="Times New Roman"/>
          <w:noProof/>
          <w:lang w:val="en-US"/>
        </w:rPr>
        <w:lastRenderedPageBreak/>
        <w:drawing>
          <wp:inline distT="0" distB="0" distL="0" distR="0" wp14:anchorId="6E2D93D6" wp14:editId="2E087612">
            <wp:extent cx="5731510" cy="3223895"/>
            <wp:effectExtent l="0" t="0" r="0" b="1905"/>
            <wp:docPr id="1623599965" name="Picture 8" descr="A graph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9965" name="Picture 8" descr="A graph of different sizes and numb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542DD50" w14:textId="734BC58B" w:rsidR="00A42B40" w:rsidRPr="00F24F28" w:rsidRDefault="00820A83">
      <w:pPr>
        <w:rPr>
          <w:rFonts w:ascii="Times New Roman" w:hAnsi="Times New Roman" w:cs="Times New Roman"/>
          <w:lang w:val="en-US"/>
        </w:rPr>
      </w:pPr>
      <w:r w:rsidRPr="00F24F28">
        <w:rPr>
          <w:rFonts w:ascii="Times New Roman" w:hAnsi="Times New Roman" w:cs="Times New Roman"/>
          <w:b/>
          <w:bCs/>
          <w:lang w:val="en-US"/>
        </w:rPr>
        <w:t>Figure S</w:t>
      </w:r>
      <w:r w:rsidR="00792C0F" w:rsidRPr="00F24F28">
        <w:rPr>
          <w:rFonts w:ascii="Times New Roman" w:hAnsi="Times New Roman" w:cs="Times New Roman"/>
          <w:b/>
          <w:bCs/>
          <w:lang w:val="en-US"/>
        </w:rPr>
        <w:t>3</w:t>
      </w:r>
      <w:r w:rsidRPr="00F24F28">
        <w:rPr>
          <w:rFonts w:ascii="Times New Roman" w:hAnsi="Times New Roman" w:cs="Times New Roman"/>
          <w:b/>
          <w:bCs/>
          <w:lang w:val="en-US"/>
        </w:rPr>
        <w:t>.</w:t>
      </w:r>
      <w:r w:rsidRPr="00F24F28">
        <w:rPr>
          <w:rFonts w:ascii="Times New Roman" w:hAnsi="Times New Roman" w:cs="Times New Roman"/>
          <w:lang w:val="en-US"/>
        </w:rPr>
        <w:t xml:space="preserve"> </w:t>
      </w:r>
      <w:r w:rsidRPr="00F24F28">
        <w:rPr>
          <w:rFonts w:ascii="Times New Roman" w:hAnsi="Times New Roman" w:cs="Times New Roman"/>
          <w:b/>
          <w:bCs/>
          <w:lang w:val="en-US"/>
        </w:rPr>
        <w:t>The graz</w:t>
      </w:r>
      <w:r w:rsidR="00BD7F1F" w:rsidRPr="00F24F28">
        <w:rPr>
          <w:rFonts w:ascii="Times New Roman" w:hAnsi="Times New Roman" w:cs="Times New Roman"/>
          <w:b/>
          <w:bCs/>
          <w:lang w:val="en-US"/>
        </w:rPr>
        <w:t xml:space="preserve">ing rate </w:t>
      </w:r>
      <w:r w:rsidR="002B66C8" w:rsidRPr="00F24F28">
        <w:rPr>
          <w:rFonts w:ascii="Times New Roman" w:hAnsi="Times New Roman" w:cs="Times New Roman"/>
          <w:b/>
          <w:bCs/>
          <w:lang w:val="en-US"/>
        </w:rPr>
        <w:t>for four ice retreat timing groups</w:t>
      </w:r>
      <w:r w:rsidR="002B66C8" w:rsidRPr="00F24F28">
        <w:rPr>
          <w:rFonts w:ascii="Times New Roman" w:hAnsi="Times New Roman" w:cs="Times New Roman"/>
          <w:lang w:val="en-US"/>
        </w:rPr>
        <w:t xml:space="preserve">: (a) October, (b) November, (c) </w:t>
      </w:r>
      <w:r w:rsidR="0023752D" w:rsidRPr="00F24F28">
        <w:rPr>
          <w:rFonts w:ascii="Times New Roman" w:hAnsi="Times New Roman" w:cs="Times New Roman"/>
          <w:lang w:val="en-US"/>
        </w:rPr>
        <w:t xml:space="preserve">December, and (d) January. The </w:t>
      </w:r>
      <w:r w:rsidR="00D3424B" w:rsidRPr="00F24F28">
        <w:rPr>
          <w:rFonts w:ascii="Times New Roman" w:hAnsi="Times New Roman" w:cs="Times New Roman"/>
          <w:lang w:val="en-US"/>
        </w:rPr>
        <w:t xml:space="preserve">transparent dots are the </w:t>
      </w:r>
      <w:r w:rsidR="00281073" w:rsidRPr="00F24F28">
        <w:rPr>
          <w:rFonts w:ascii="Times New Roman" w:hAnsi="Times New Roman" w:cs="Times New Roman"/>
          <w:lang w:val="en-US"/>
        </w:rPr>
        <w:t xml:space="preserve">estimates from each profile </w:t>
      </w:r>
      <w:r w:rsidR="00622D09" w:rsidRPr="00F24F28">
        <w:rPr>
          <w:rFonts w:ascii="Times New Roman" w:hAnsi="Times New Roman" w:cs="Times New Roman"/>
          <w:lang w:val="en-US"/>
        </w:rPr>
        <w:t xml:space="preserve">and the solid dots </w:t>
      </w:r>
      <w:r w:rsidR="000C7721" w:rsidRPr="00F24F28">
        <w:rPr>
          <w:rFonts w:ascii="Times New Roman" w:hAnsi="Times New Roman" w:cs="Times New Roman"/>
          <w:lang w:val="en-US"/>
        </w:rPr>
        <w:t xml:space="preserve">indicate the 60-day running smooth result for the whole group. </w:t>
      </w:r>
    </w:p>
    <w:p w14:paraId="53C73C6B" w14:textId="77777777" w:rsidR="00A42B40" w:rsidRPr="00F24F28" w:rsidRDefault="00A42B40">
      <w:pPr>
        <w:rPr>
          <w:rFonts w:ascii="Times New Roman" w:hAnsi="Times New Roman" w:cs="Times New Roman"/>
          <w:lang w:val="en-US"/>
        </w:rPr>
      </w:pPr>
    </w:p>
    <w:p w14:paraId="7D21E8C9" w14:textId="014243D7" w:rsidR="00E05D49" w:rsidRPr="00F24F28" w:rsidRDefault="003A4519">
      <w:pPr>
        <w:rPr>
          <w:rFonts w:ascii="Times New Roman" w:hAnsi="Times New Roman" w:cs="Times New Roman"/>
          <w:lang w:val="en-US"/>
        </w:rPr>
      </w:pPr>
      <w:r w:rsidRPr="00F24F28">
        <w:rPr>
          <w:rFonts w:ascii="Times New Roman" w:hAnsi="Times New Roman" w:cs="Times New Roman"/>
          <w:noProof/>
          <w:lang w:val="en-US"/>
        </w:rPr>
        <w:drawing>
          <wp:inline distT="0" distB="0" distL="0" distR="0" wp14:anchorId="66313E3C" wp14:editId="5332BB79">
            <wp:extent cx="5731510" cy="1791335"/>
            <wp:effectExtent l="0" t="0" r="0" b="0"/>
            <wp:docPr id="174650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03791" name="Picture 17465037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791335"/>
                    </a:xfrm>
                    <a:prstGeom prst="rect">
                      <a:avLst/>
                    </a:prstGeom>
                  </pic:spPr>
                </pic:pic>
              </a:graphicData>
            </a:graphic>
          </wp:inline>
        </w:drawing>
      </w:r>
    </w:p>
    <w:p w14:paraId="3F85EFEF" w14:textId="15F48A8C" w:rsidR="00E05D49" w:rsidRPr="00F24F28" w:rsidRDefault="00A42B40" w:rsidP="008D0499">
      <w:pPr>
        <w:spacing w:after="240" w:line="360" w:lineRule="auto"/>
        <w:jc w:val="both"/>
        <w:rPr>
          <w:rFonts w:ascii="Times New Roman" w:hAnsi="Times New Roman" w:cs="Times New Roman"/>
          <w:lang w:val="en-US"/>
        </w:rPr>
      </w:pPr>
      <w:r w:rsidRPr="00F24F28">
        <w:rPr>
          <w:rFonts w:ascii="Times New Roman" w:hAnsi="Times New Roman" w:cs="Times New Roman"/>
          <w:b/>
          <w:bCs/>
          <w:lang w:val="en-US"/>
        </w:rPr>
        <w:t>Figure S</w:t>
      </w:r>
      <w:r w:rsidR="00792C0F" w:rsidRPr="00F24F28">
        <w:rPr>
          <w:rFonts w:ascii="Times New Roman" w:hAnsi="Times New Roman" w:cs="Times New Roman"/>
          <w:b/>
          <w:bCs/>
          <w:lang w:val="en-US"/>
        </w:rPr>
        <w:t>4</w:t>
      </w:r>
      <w:r w:rsidRPr="00F24F28">
        <w:rPr>
          <w:rFonts w:ascii="Times New Roman" w:hAnsi="Times New Roman" w:cs="Times New Roman"/>
          <w:b/>
          <w:bCs/>
          <w:lang w:val="en-US"/>
        </w:rPr>
        <w:t xml:space="preserve">. </w:t>
      </w:r>
      <w:r w:rsidR="00C7781D" w:rsidRPr="00F24F28">
        <w:rPr>
          <w:rFonts w:ascii="Times New Roman" w:hAnsi="Times New Roman" w:cs="Times New Roman"/>
          <w:b/>
          <w:bCs/>
          <w:lang w:val="en-US"/>
        </w:rPr>
        <w:t>A case study to show the difference between early/late IRT cases</w:t>
      </w:r>
      <w:r w:rsidR="00E47D04" w:rsidRPr="00F24F28">
        <w:rPr>
          <w:rFonts w:ascii="Times New Roman" w:hAnsi="Times New Roman" w:cs="Times New Roman"/>
          <w:b/>
          <w:bCs/>
          <w:lang w:val="en-US"/>
        </w:rPr>
        <w:t>,</w:t>
      </w:r>
      <w:r w:rsidR="00C7781D" w:rsidRPr="00F24F28">
        <w:rPr>
          <w:rFonts w:ascii="Times New Roman" w:hAnsi="Times New Roman" w:cs="Times New Roman"/>
          <w:b/>
          <w:bCs/>
          <w:lang w:val="en-US"/>
        </w:rPr>
        <w:t xml:space="preserve"> </w:t>
      </w:r>
      <w:r w:rsidR="00E47D04" w:rsidRPr="00F24F28">
        <w:rPr>
          <w:rFonts w:ascii="Times New Roman" w:hAnsi="Times New Roman" w:cs="Times New Roman"/>
          <w:b/>
          <w:bCs/>
          <w:lang w:val="en-US"/>
        </w:rPr>
        <w:t>s</w:t>
      </w:r>
      <w:r w:rsidR="007D7943" w:rsidRPr="00F24F28">
        <w:rPr>
          <w:rFonts w:ascii="Times New Roman" w:hAnsi="Times New Roman" w:cs="Times New Roman"/>
          <w:b/>
          <w:bCs/>
          <w:lang w:val="en-US"/>
        </w:rPr>
        <w:t>upplementary for Fig.4</w:t>
      </w:r>
      <w:r w:rsidR="00E47D04" w:rsidRPr="00F24F28">
        <w:rPr>
          <w:rFonts w:ascii="Times New Roman" w:hAnsi="Times New Roman" w:cs="Times New Roman"/>
          <w:b/>
          <w:bCs/>
          <w:lang w:val="en-US"/>
        </w:rPr>
        <w:t xml:space="preserve">. </w:t>
      </w:r>
      <w:r w:rsidR="008D0499" w:rsidRPr="00F24F28">
        <w:rPr>
          <w:rFonts w:ascii="Times New Roman" w:hAnsi="Times New Roman" w:cs="Times New Roman"/>
          <w:lang w:val="en-US"/>
        </w:rPr>
        <w:t xml:space="preserve">The MLD </w:t>
      </w:r>
      <w:r w:rsidR="55CBFBBF" w:rsidRPr="00F24F28">
        <w:rPr>
          <w:rFonts w:ascii="Times New Roman" w:hAnsi="Times New Roman" w:cs="Times New Roman"/>
          <w:lang w:val="en-US"/>
        </w:rPr>
        <w:t xml:space="preserve">is </w:t>
      </w:r>
      <w:r w:rsidR="008D0499" w:rsidRPr="00F24F28">
        <w:rPr>
          <w:rFonts w:ascii="Times New Roman" w:hAnsi="Times New Roman" w:cs="Times New Roman"/>
          <w:lang w:val="en-US"/>
        </w:rPr>
        <w:t xml:space="preserve">shown in the </w:t>
      </w:r>
      <w:r w:rsidR="008D0499" w:rsidRPr="00F24F28">
        <w:rPr>
          <w:rFonts w:ascii="Times New Roman" w:hAnsi="Times New Roman" w:cs="Times New Roman"/>
        </w:rPr>
        <w:t>top of each panel</w:t>
      </w:r>
      <w:r w:rsidR="00A80F83" w:rsidRPr="00F24F28">
        <w:rPr>
          <w:rFonts w:ascii="Times New Roman" w:hAnsi="Times New Roman" w:cs="Times New Roman"/>
        </w:rPr>
        <w:t xml:space="preserve"> </w:t>
      </w:r>
      <w:r w:rsidR="2BC515BC" w:rsidRPr="00F24F28">
        <w:rPr>
          <w:rFonts w:ascii="Times New Roman" w:hAnsi="Times New Roman" w:cs="Times New Roman"/>
          <w:lang w:val="en-US"/>
        </w:rPr>
        <w:t>(</w:t>
      </w:r>
      <w:r w:rsidR="008D0499" w:rsidRPr="00F24F28">
        <w:rPr>
          <w:rFonts w:ascii="Times New Roman" w:hAnsi="Times New Roman" w:cs="Times New Roman"/>
          <w:lang w:val="en-US"/>
        </w:rPr>
        <w:t>right y-axis</w:t>
      </w:r>
      <w:r w:rsidR="5442986E" w:rsidRPr="00F24F28">
        <w:rPr>
          <w:rFonts w:ascii="Times New Roman" w:hAnsi="Times New Roman" w:cs="Times New Roman"/>
          <w:lang w:val="en-US"/>
        </w:rPr>
        <w:t>)</w:t>
      </w:r>
      <w:r w:rsidR="008D0499" w:rsidRPr="00F24F28">
        <w:rPr>
          <w:rFonts w:ascii="Times New Roman" w:hAnsi="Times New Roman" w:cs="Times New Roman"/>
          <w:lang w:val="en-US"/>
        </w:rPr>
        <w:t xml:space="preserve">. </w:t>
      </w:r>
      <w:proofErr w:type="spellStart"/>
      <w:r w:rsidR="0041762A" w:rsidRPr="00F24F28">
        <w:rPr>
          <w:rFonts w:ascii="Times New Roman" w:hAnsi="Times New Roman" w:cs="Times New Roman"/>
          <w:lang w:val="en-US"/>
        </w:rPr>
        <w:t>Chla</w:t>
      </w:r>
      <w:proofErr w:type="spellEnd"/>
      <w:r w:rsidR="008D0499" w:rsidRPr="00F24F28">
        <w:rPr>
          <w:rFonts w:ascii="Times New Roman" w:hAnsi="Times New Roman" w:cs="Times New Roman"/>
          <w:lang w:val="en-US"/>
        </w:rPr>
        <w:t xml:space="preserve"> time series are shown as the grey bars at the bottom, </w:t>
      </w:r>
      <w:r w:rsidR="7ACBEB3E" w:rsidRPr="00F24F28">
        <w:rPr>
          <w:rFonts w:ascii="Times New Roman" w:hAnsi="Times New Roman" w:cs="Times New Roman"/>
          <w:lang w:val="en-US"/>
        </w:rPr>
        <w:t xml:space="preserve">and </w:t>
      </w:r>
      <w:r w:rsidR="008D0499" w:rsidRPr="00F24F28">
        <w:rPr>
          <w:rFonts w:ascii="Times New Roman" w:hAnsi="Times New Roman" w:cs="Times New Roman"/>
        </w:rPr>
        <w:t xml:space="preserve">correspond </w:t>
      </w:r>
      <w:r w:rsidR="008D0499" w:rsidRPr="00F24F28">
        <w:rPr>
          <w:rFonts w:ascii="Times New Roman" w:hAnsi="Times New Roman" w:cs="Times New Roman"/>
          <w:lang w:val="en-US"/>
        </w:rPr>
        <w:t xml:space="preserve">to the left y-axis. The light blue shading indicates the ice cover period, the green shading indicates the productive season, and white background indicates the OWP. </w:t>
      </w:r>
    </w:p>
    <w:p w14:paraId="367DD454" w14:textId="77777777" w:rsidR="005C340C" w:rsidRPr="00F24F28" w:rsidRDefault="005C340C" w:rsidP="005C340C">
      <w:pPr>
        <w:rPr>
          <w:rFonts w:ascii="Times New Roman" w:hAnsi="Times New Roman" w:cs="Times New Roman"/>
          <w:lang w:val="en-US"/>
        </w:rPr>
      </w:pPr>
      <w:r w:rsidRPr="00F24F28">
        <w:rPr>
          <w:rFonts w:ascii="Times New Roman" w:hAnsi="Times New Roman" w:cs="Times New Roman"/>
          <w:noProof/>
          <w:lang w:val="en-US"/>
        </w:rPr>
        <w:lastRenderedPageBreak/>
        <w:drawing>
          <wp:anchor distT="0" distB="0" distL="114300" distR="114300" simplePos="0" relativeHeight="251658240" behindDoc="0" locked="0" layoutInCell="1" allowOverlap="1" wp14:anchorId="6121EFD9" wp14:editId="6DFB4A65">
            <wp:simplePos x="0" y="0"/>
            <wp:positionH relativeFrom="column">
              <wp:posOffset>332451</wp:posOffset>
            </wp:positionH>
            <wp:positionV relativeFrom="paragraph">
              <wp:posOffset>0</wp:posOffset>
            </wp:positionV>
            <wp:extent cx="5039360" cy="5008245"/>
            <wp:effectExtent l="0" t="0" r="2540" b="0"/>
            <wp:wrapTopAndBottom/>
            <wp:docPr id="1668469888"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69888" name="Picture 1" descr="A collage of graphs&#10;&#10;Description automatically generated"/>
                    <pic:cNvPicPr/>
                  </pic:nvPicPr>
                  <pic:blipFill rotWithShape="1">
                    <a:blip r:embed="rId12" cstate="print">
                      <a:extLst>
                        <a:ext uri="{28A0092B-C50C-407E-A947-70E740481C1C}">
                          <a14:useLocalDpi xmlns:a14="http://schemas.microsoft.com/office/drawing/2010/main" val="0"/>
                        </a:ext>
                      </a:extLst>
                    </a:blip>
                    <a:srcRect l="20961" r="24993"/>
                    <a:stretch/>
                  </pic:blipFill>
                  <pic:spPr bwMode="auto">
                    <a:xfrm>
                      <a:off x="0" y="0"/>
                      <a:ext cx="5039360" cy="500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76D9D" w14:textId="31C817CB" w:rsidR="005C340C" w:rsidRPr="00F24F28" w:rsidRDefault="005C340C" w:rsidP="005C340C">
      <w:pPr>
        <w:rPr>
          <w:rFonts w:ascii="Times New Roman" w:hAnsi="Times New Roman" w:cs="Times New Roman"/>
          <w:lang w:val="en-US"/>
        </w:rPr>
      </w:pPr>
      <w:r w:rsidRPr="00F24F28">
        <w:rPr>
          <w:rFonts w:ascii="Times New Roman" w:hAnsi="Times New Roman" w:cs="Times New Roman"/>
          <w:b/>
          <w:bCs/>
          <w:lang w:val="en-US"/>
        </w:rPr>
        <w:t>Figure S</w:t>
      </w:r>
      <w:r w:rsidR="00792C0F" w:rsidRPr="00F24F28">
        <w:rPr>
          <w:rFonts w:ascii="Times New Roman" w:hAnsi="Times New Roman" w:cs="Times New Roman"/>
          <w:b/>
          <w:bCs/>
          <w:lang w:val="en-US"/>
        </w:rPr>
        <w:t>5</w:t>
      </w:r>
      <w:r w:rsidRPr="00F24F28">
        <w:rPr>
          <w:rFonts w:ascii="Times New Roman" w:hAnsi="Times New Roman" w:cs="Times New Roman"/>
          <w:b/>
          <w:bCs/>
          <w:lang w:val="en-US"/>
        </w:rPr>
        <w:t>. The performance of the RF model in retrieving sea surface pCO</w:t>
      </w:r>
      <w:r w:rsidRPr="00F24F28">
        <w:rPr>
          <w:rFonts w:ascii="Times New Roman" w:hAnsi="Times New Roman" w:cs="Times New Roman"/>
          <w:b/>
          <w:bCs/>
          <w:vertAlign w:val="subscript"/>
          <w:lang w:val="en-US"/>
        </w:rPr>
        <w:t>2</w:t>
      </w:r>
      <w:r w:rsidR="005779B7" w:rsidRPr="00F24F28">
        <w:rPr>
          <w:rFonts w:ascii="Times New Roman" w:hAnsi="Times New Roman" w:cs="Times New Roman"/>
          <w:b/>
          <w:bCs/>
          <w:lang w:val="en-US"/>
        </w:rPr>
        <w:t>.</w:t>
      </w:r>
      <w:r w:rsidR="005779B7" w:rsidRPr="00F24F28">
        <w:rPr>
          <w:rFonts w:ascii="Times New Roman" w:hAnsi="Times New Roman" w:cs="Times New Roman"/>
          <w:lang w:val="en-US"/>
        </w:rPr>
        <w:t xml:space="preserve"> </w:t>
      </w:r>
      <w:r w:rsidRPr="00F24F28">
        <w:rPr>
          <w:rFonts w:ascii="Times New Roman" w:hAnsi="Times New Roman" w:cs="Times New Roman"/>
          <w:lang w:val="en-US"/>
        </w:rPr>
        <w:t>(a) model training</w:t>
      </w:r>
      <w:r w:rsidR="005779B7" w:rsidRPr="00F24F28">
        <w:rPr>
          <w:rFonts w:ascii="Times New Roman" w:hAnsi="Times New Roman" w:cs="Times New Roman"/>
          <w:lang w:val="en-US"/>
        </w:rPr>
        <w:t xml:space="preserve"> group</w:t>
      </w:r>
      <w:r w:rsidRPr="00F24F28">
        <w:rPr>
          <w:rFonts w:ascii="Times New Roman" w:hAnsi="Times New Roman" w:cs="Times New Roman"/>
          <w:lang w:val="en-US"/>
        </w:rPr>
        <w:t>, (b) model cross-validation</w:t>
      </w:r>
      <w:r w:rsidR="005779B7" w:rsidRPr="00F24F28">
        <w:rPr>
          <w:rFonts w:ascii="Times New Roman" w:hAnsi="Times New Roman" w:cs="Times New Roman"/>
          <w:lang w:val="en-US"/>
        </w:rPr>
        <w:t xml:space="preserve"> group</w:t>
      </w:r>
      <w:r w:rsidRPr="00F24F28">
        <w:rPr>
          <w:rFonts w:ascii="Times New Roman" w:hAnsi="Times New Roman" w:cs="Times New Roman"/>
          <w:lang w:val="en-US"/>
        </w:rPr>
        <w:t xml:space="preserve">, and (c) residual </w:t>
      </w:r>
      <w:r w:rsidR="00F05B91" w:rsidRPr="00F24F28">
        <w:rPr>
          <w:rFonts w:ascii="Times New Roman" w:hAnsi="Times New Roman" w:cs="Times New Roman"/>
          <w:lang w:val="en-US"/>
        </w:rPr>
        <w:t xml:space="preserve">between the </w:t>
      </w:r>
      <w:r w:rsidR="00F507EC" w:rsidRPr="00F24F28">
        <w:rPr>
          <w:rFonts w:ascii="Times New Roman" w:hAnsi="Times New Roman" w:cs="Times New Roman"/>
          <w:lang w:val="en-US"/>
        </w:rPr>
        <w:t>RF model derived value</w:t>
      </w:r>
      <w:r w:rsidR="00F046FE" w:rsidRPr="00F24F28">
        <w:rPr>
          <w:rFonts w:ascii="Times New Roman" w:hAnsi="Times New Roman" w:cs="Times New Roman"/>
          <w:lang w:val="en-US"/>
        </w:rPr>
        <w:t xml:space="preserve"> (</w:t>
      </w:r>
      <w:r w:rsidR="003A3FCC" w:rsidRPr="00F24F28">
        <w:rPr>
          <w:rFonts w:ascii="Times New Roman" w:hAnsi="Times New Roman" w:cs="Times New Roman"/>
        </w:rPr>
        <w:t>algorithm</w:t>
      </w:r>
      <w:r w:rsidR="003A3FCC" w:rsidRPr="00F24F28">
        <w:rPr>
          <w:rFonts w:ascii="Times New Roman" w:hAnsi="Times New Roman" w:cs="Times New Roman"/>
          <w:b/>
          <w:bCs/>
        </w:rPr>
        <w:t xml:space="preserve"> </w:t>
      </w:r>
      <w:r w:rsidR="00F046FE" w:rsidRPr="00F24F28">
        <w:rPr>
          <w:rFonts w:ascii="Times New Roman" w:hAnsi="Times New Roman" w:cs="Times New Roman"/>
          <w:lang w:val="en-US"/>
        </w:rPr>
        <w:t xml:space="preserve">applied to the whole data set, N = </w:t>
      </w:r>
      <w:r w:rsidR="003D6AE2" w:rsidRPr="00F24F28">
        <w:rPr>
          <w:rFonts w:ascii="Times New Roman" w:hAnsi="Times New Roman" w:cs="Times New Roman"/>
          <w:lang w:val="en-US"/>
        </w:rPr>
        <w:t>797</w:t>
      </w:r>
      <w:r w:rsidR="00F046FE" w:rsidRPr="00F24F28">
        <w:rPr>
          <w:rFonts w:ascii="Times New Roman" w:hAnsi="Times New Roman" w:cs="Times New Roman"/>
          <w:lang w:val="en-US"/>
        </w:rPr>
        <w:t>)</w:t>
      </w:r>
      <w:r w:rsidR="00F507EC" w:rsidRPr="00F24F28">
        <w:rPr>
          <w:rFonts w:ascii="Times New Roman" w:hAnsi="Times New Roman" w:cs="Times New Roman"/>
          <w:lang w:val="en-US"/>
        </w:rPr>
        <w:t xml:space="preserve"> </w:t>
      </w:r>
      <w:r w:rsidR="00F046FE" w:rsidRPr="00F24F28">
        <w:rPr>
          <w:rFonts w:ascii="Times New Roman" w:hAnsi="Times New Roman" w:cs="Times New Roman"/>
          <w:lang w:val="en-US"/>
        </w:rPr>
        <w:t xml:space="preserve">and the </w:t>
      </w:r>
      <w:r w:rsidR="003D6AE2" w:rsidRPr="00F24F28">
        <w:rPr>
          <w:rFonts w:ascii="Times New Roman" w:hAnsi="Times New Roman" w:cs="Times New Roman"/>
          <w:lang w:val="en-US"/>
        </w:rPr>
        <w:t>in-situ measurements</w:t>
      </w:r>
      <w:r w:rsidRPr="00F24F28">
        <w:rPr>
          <w:rFonts w:ascii="Times New Roman" w:hAnsi="Times New Roman" w:cs="Times New Roman"/>
          <w:lang w:val="en-US"/>
        </w:rPr>
        <w:t xml:space="preserve">, colored by the seasons. (d) </w:t>
      </w:r>
      <w:r w:rsidR="00AF3783" w:rsidRPr="00F24F28">
        <w:rPr>
          <w:rFonts w:ascii="Times New Roman" w:hAnsi="Times New Roman" w:cs="Times New Roman"/>
          <w:lang w:val="en-US"/>
        </w:rPr>
        <w:t>D</w:t>
      </w:r>
      <w:r w:rsidRPr="00F24F28">
        <w:rPr>
          <w:rFonts w:ascii="Times New Roman" w:hAnsi="Times New Roman" w:cs="Times New Roman"/>
          <w:lang w:val="en-US"/>
        </w:rPr>
        <w:t>ifference between the RF model derived pCO</w:t>
      </w:r>
      <w:r w:rsidRPr="00F24F28">
        <w:rPr>
          <w:rFonts w:ascii="Times New Roman" w:hAnsi="Times New Roman" w:cs="Times New Roman"/>
          <w:vertAlign w:val="subscript"/>
          <w:lang w:val="en-US"/>
        </w:rPr>
        <w:t>2</w:t>
      </w:r>
      <w:r w:rsidRPr="00F24F28">
        <w:rPr>
          <w:rFonts w:ascii="Times New Roman" w:hAnsi="Times New Roman" w:cs="Times New Roman"/>
          <w:lang w:val="en-US"/>
        </w:rPr>
        <w:t xml:space="preserve"> with the in-situ pCO</w:t>
      </w:r>
      <w:r w:rsidRPr="00F24F28">
        <w:rPr>
          <w:rFonts w:ascii="Times New Roman" w:hAnsi="Times New Roman" w:cs="Times New Roman"/>
          <w:vertAlign w:val="subscript"/>
          <w:lang w:val="en-US"/>
        </w:rPr>
        <w:t>2</w:t>
      </w:r>
      <w:r w:rsidR="00602F71" w:rsidRPr="00F24F28">
        <w:rPr>
          <w:rFonts w:ascii="Times New Roman" w:hAnsi="Times New Roman" w:cs="Times New Roman"/>
          <w:lang w:val="en-US"/>
        </w:rPr>
        <w:t xml:space="preserve"> along the month.</w:t>
      </w:r>
    </w:p>
    <w:p w14:paraId="1344E45F" w14:textId="77777777" w:rsidR="005C340C" w:rsidRPr="00F24F28" w:rsidRDefault="005C340C" w:rsidP="005C340C">
      <w:pPr>
        <w:rPr>
          <w:rFonts w:ascii="Times New Roman" w:hAnsi="Times New Roman" w:cs="Times New Roman"/>
          <w:lang w:val="en-US"/>
        </w:rPr>
      </w:pPr>
    </w:p>
    <w:p w14:paraId="54F9DD2A" w14:textId="77777777" w:rsidR="005C340C" w:rsidRPr="00F24F28" w:rsidRDefault="005C340C" w:rsidP="005C340C">
      <w:pPr>
        <w:rPr>
          <w:rFonts w:ascii="Times New Roman" w:hAnsi="Times New Roman" w:cs="Times New Roman"/>
          <w:lang w:val="en-US"/>
        </w:rPr>
      </w:pPr>
    </w:p>
    <w:p w14:paraId="10A66722" w14:textId="77777777" w:rsidR="005C340C" w:rsidRPr="00F24F28" w:rsidRDefault="005C340C" w:rsidP="005C340C">
      <w:pPr>
        <w:rPr>
          <w:rFonts w:ascii="Times New Roman" w:hAnsi="Times New Roman" w:cs="Times New Roman"/>
          <w:lang w:val="en-US"/>
        </w:rPr>
      </w:pPr>
      <w:r w:rsidRPr="00F24F28">
        <w:rPr>
          <w:rFonts w:ascii="Times New Roman" w:hAnsi="Times New Roman" w:cs="Times New Roman"/>
          <w:noProof/>
          <w:lang w:val="en-US"/>
        </w:rPr>
        <w:lastRenderedPageBreak/>
        <w:drawing>
          <wp:inline distT="0" distB="0" distL="0" distR="0" wp14:anchorId="5C61FA7A" wp14:editId="08D534E3">
            <wp:extent cx="5205046" cy="4391938"/>
            <wp:effectExtent l="0" t="0" r="2540" b="2540"/>
            <wp:docPr id="102635281" name="Picture 1" descr="A graph of different types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5281" name="Picture 1" descr="A graph of different types of temperatu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632" cy="4404245"/>
                    </a:xfrm>
                    <a:prstGeom prst="rect">
                      <a:avLst/>
                    </a:prstGeom>
                  </pic:spPr>
                </pic:pic>
              </a:graphicData>
            </a:graphic>
          </wp:inline>
        </w:drawing>
      </w:r>
    </w:p>
    <w:p w14:paraId="5ACF32C8" w14:textId="340379CB" w:rsidR="005C340C" w:rsidRPr="00F24F28" w:rsidRDefault="005C340C" w:rsidP="005C340C">
      <w:pPr>
        <w:rPr>
          <w:rFonts w:ascii="Times New Roman" w:hAnsi="Times New Roman" w:cs="Times New Roman"/>
          <w:lang w:val="en-US"/>
        </w:rPr>
      </w:pPr>
      <w:r w:rsidRPr="00F24F28">
        <w:rPr>
          <w:rFonts w:ascii="Times New Roman" w:hAnsi="Times New Roman" w:cs="Times New Roman"/>
          <w:b/>
          <w:bCs/>
          <w:lang w:val="en-US"/>
        </w:rPr>
        <w:t>Figure S</w:t>
      </w:r>
      <w:r w:rsidR="00792C0F" w:rsidRPr="00F24F28">
        <w:rPr>
          <w:rFonts w:ascii="Times New Roman" w:hAnsi="Times New Roman" w:cs="Times New Roman"/>
          <w:b/>
          <w:bCs/>
          <w:lang w:val="en-US"/>
        </w:rPr>
        <w:t>6</w:t>
      </w:r>
      <w:r w:rsidRPr="00F24F28">
        <w:rPr>
          <w:rFonts w:ascii="Times New Roman" w:hAnsi="Times New Roman" w:cs="Times New Roman"/>
          <w:b/>
          <w:bCs/>
          <w:lang w:val="en-US"/>
        </w:rPr>
        <w:t xml:space="preserve">. </w:t>
      </w:r>
      <w:r w:rsidR="00014A76" w:rsidRPr="00F24F28">
        <w:rPr>
          <w:rFonts w:ascii="Times New Roman" w:hAnsi="Times New Roman" w:cs="Times New Roman"/>
          <w:b/>
          <w:bCs/>
          <w:lang w:val="en-US"/>
        </w:rPr>
        <w:t>Example of p</w:t>
      </w:r>
      <w:r w:rsidRPr="00F24F28">
        <w:rPr>
          <w:rFonts w:ascii="Times New Roman" w:hAnsi="Times New Roman" w:cs="Times New Roman"/>
          <w:b/>
          <w:bCs/>
          <w:lang w:val="en-US"/>
        </w:rPr>
        <w:t>henology identification</w:t>
      </w:r>
      <w:r w:rsidR="008F324D" w:rsidRPr="00F24F28">
        <w:rPr>
          <w:rFonts w:ascii="Times New Roman" w:hAnsi="Times New Roman" w:cs="Times New Roman"/>
          <w:b/>
          <w:bCs/>
          <w:lang w:val="en-US"/>
        </w:rPr>
        <w:t>.</w:t>
      </w:r>
      <w:r w:rsidRPr="00F24F28">
        <w:rPr>
          <w:rFonts w:ascii="Times New Roman" w:hAnsi="Times New Roman" w:cs="Times New Roman"/>
          <w:lang w:val="en-US"/>
        </w:rPr>
        <w:t xml:space="preserve"> (a) </w:t>
      </w:r>
      <w:proofErr w:type="spellStart"/>
      <w:r w:rsidRPr="00F24F28">
        <w:rPr>
          <w:rFonts w:ascii="Times New Roman" w:hAnsi="Times New Roman" w:cs="Times New Roman"/>
          <w:lang w:val="en-US"/>
        </w:rPr>
        <w:t>Chla</w:t>
      </w:r>
      <w:proofErr w:type="spellEnd"/>
      <w:r w:rsidRPr="00F24F28">
        <w:rPr>
          <w:rFonts w:ascii="Times New Roman" w:hAnsi="Times New Roman" w:cs="Times New Roman"/>
          <w:lang w:val="en-US"/>
        </w:rPr>
        <w:t>, (b) E</w:t>
      </w:r>
      <w:r w:rsidRPr="00F24F28">
        <w:rPr>
          <w:rFonts w:ascii="Times New Roman" w:hAnsi="Times New Roman" w:cs="Times New Roman"/>
          <w:vertAlign w:val="subscript"/>
          <w:lang w:val="en-US"/>
        </w:rPr>
        <w:t>BGP</w:t>
      </w:r>
      <w:r w:rsidRPr="00F24F28">
        <w:rPr>
          <w:rFonts w:ascii="Times New Roman" w:hAnsi="Times New Roman" w:cs="Times New Roman"/>
          <w:lang w:val="en-US"/>
        </w:rPr>
        <w:t>, and (c) ΔpCO</w:t>
      </w:r>
      <w:r w:rsidRPr="00F24F28">
        <w:rPr>
          <w:rFonts w:ascii="Times New Roman" w:hAnsi="Times New Roman" w:cs="Times New Roman"/>
          <w:vertAlign w:val="subscript"/>
          <w:lang w:val="en-US"/>
        </w:rPr>
        <w:t>2</w:t>
      </w:r>
      <w:r w:rsidRPr="00F24F28">
        <w:rPr>
          <w:rFonts w:ascii="Times New Roman" w:hAnsi="Times New Roman" w:cs="Times New Roman"/>
          <w:lang w:val="en-US"/>
        </w:rPr>
        <w:t xml:space="preserve"> using a seasonal cycle from float (WMO ID F5905995) from 2021 to 2022. The thick grey line indicates the smoothed variable and the red line represents the rate of change (r). The </w:t>
      </w:r>
      <w:r w:rsidR="001A16EB" w:rsidRPr="00F24F28">
        <w:rPr>
          <w:rFonts w:ascii="Times New Roman" w:hAnsi="Times New Roman" w:cs="Times New Roman"/>
          <w:lang w:val="en-US"/>
        </w:rPr>
        <w:t>o</w:t>
      </w:r>
      <w:r w:rsidRPr="00F24F28">
        <w:rPr>
          <w:rFonts w:ascii="Times New Roman" w:hAnsi="Times New Roman" w:cs="Times New Roman"/>
          <w:lang w:val="en-US"/>
        </w:rPr>
        <w:t xml:space="preserve">nset is shown as the green dashed line, the </w:t>
      </w:r>
      <w:r w:rsidR="009039FF" w:rsidRPr="00F24F28">
        <w:rPr>
          <w:rFonts w:ascii="Times New Roman" w:hAnsi="Times New Roman" w:cs="Times New Roman"/>
          <w:lang w:val="en-US"/>
        </w:rPr>
        <w:t>c</w:t>
      </w:r>
      <w:r w:rsidRPr="00F24F28">
        <w:rPr>
          <w:rFonts w:ascii="Times New Roman" w:hAnsi="Times New Roman" w:cs="Times New Roman"/>
          <w:lang w:val="en-US"/>
        </w:rPr>
        <w:t xml:space="preserve">limax with light blue, the </w:t>
      </w:r>
      <w:r w:rsidR="009039FF" w:rsidRPr="00F24F28">
        <w:rPr>
          <w:rFonts w:ascii="Times New Roman" w:hAnsi="Times New Roman" w:cs="Times New Roman"/>
          <w:lang w:val="en-US"/>
        </w:rPr>
        <w:t>a</w:t>
      </w:r>
      <w:r w:rsidRPr="00F24F28">
        <w:rPr>
          <w:rFonts w:ascii="Times New Roman" w:hAnsi="Times New Roman" w:cs="Times New Roman"/>
          <w:lang w:val="en-US"/>
        </w:rPr>
        <w:t xml:space="preserve">pex with magenta, and the productive season (based on </w:t>
      </w:r>
      <w:proofErr w:type="spellStart"/>
      <w:r w:rsidRPr="00F24F28">
        <w:rPr>
          <w:rFonts w:ascii="Times New Roman" w:hAnsi="Times New Roman" w:cs="Times New Roman"/>
          <w:lang w:val="en-US"/>
        </w:rPr>
        <w:t>Chla</w:t>
      </w:r>
      <w:proofErr w:type="spellEnd"/>
      <w:r w:rsidRPr="00F24F28">
        <w:rPr>
          <w:rFonts w:ascii="Times New Roman" w:hAnsi="Times New Roman" w:cs="Times New Roman"/>
          <w:lang w:val="en-US"/>
        </w:rPr>
        <w:t xml:space="preserve">) is shown as the period within the black dashed lines. </w:t>
      </w:r>
    </w:p>
    <w:p w14:paraId="6752C73B" w14:textId="54AAE4DA" w:rsidR="005C340C" w:rsidRPr="00F24F28" w:rsidRDefault="009039FF" w:rsidP="005C340C">
      <w:pPr>
        <w:rPr>
          <w:rFonts w:ascii="Times New Roman" w:hAnsi="Times New Roman" w:cs="Times New Roman"/>
          <w:lang w:val="en-US"/>
        </w:rPr>
      </w:pPr>
      <w:r w:rsidRPr="00F24F28">
        <w:rPr>
          <w:rFonts w:ascii="Times New Roman" w:hAnsi="Times New Roman" w:cs="Times New Roman"/>
          <w:noProof/>
          <w:lang w:val="en-US"/>
        </w:rPr>
        <w:drawing>
          <wp:inline distT="0" distB="0" distL="0" distR="0" wp14:anchorId="55D66869" wp14:editId="2BE42D77">
            <wp:extent cx="5731510" cy="2256790"/>
            <wp:effectExtent l="0" t="0" r="0" b="3810"/>
            <wp:docPr id="1280733518" name="Picture 3" descr="A graph showing a line of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33518" name="Picture 3" descr="A graph showing a line of growt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256790"/>
                    </a:xfrm>
                    <a:prstGeom prst="rect">
                      <a:avLst/>
                    </a:prstGeom>
                  </pic:spPr>
                </pic:pic>
              </a:graphicData>
            </a:graphic>
          </wp:inline>
        </w:drawing>
      </w:r>
    </w:p>
    <w:p w14:paraId="47077494" w14:textId="77777777" w:rsidR="000C7721" w:rsidRDefault="005C340C">
      <w:pPr>
        <w:rPr>
          <w:rFonts w:ascii="Times New Roman" w:hAnsi="Times New Roman" w:cs="Times New Roman"/>
          <w:lang w:val="en-US"/>
        </w:rPr>
      </w:pPr>
      <w:r w:rsidRPr="00F24F28">
        <w:rPr>
          <w:rFonts w:ascii="Times New Roman" w:hAnsi="Times New Roman" w:cs="Times New Roman"/>
          <w:b/>
          <w:bCs/>
          <w:lang w:val="en-US"/>
        </w:rPr>
        <w:t>Figure S</w:t>
      </w:r>
      <w:r w:rsidR="00875700" w:rsidRPr="00F24F28">
        <w:rPr>
          <w:rFonts w:ascii="Times New Roman" w:hAnsi="Times New Roman" w:cs="Times New Roman"/>
          <w:b/>
          <w:bCs/>
          <w:lang w:val="en-US"/>
        </w:rPr>
        <w:t>7</w:t>
      </w:r>
      <w:r w:rsidRPr="00F24F28">
        <w:rPr>
          <w:rFonts w:ascii="Times New Roman" w:hAnsi="Times New Roman" w:cs="Times New Roman"/>
          <w:b/>
          <w:bCs/>
          <w:lang w:val="en-US"/>
        </w:rPr>
        <w:t xml:space="preserve">. Vertical </w:t>
      </w:r>
      <w:proofErr w:type="spellStart"/>
      <w:r w:rsidRPr="00F24F28">
        <w:rPr>
          <w:rFonts w:ascii="Times New Roman" w:hAnsi="Times New Roman" w:cs="Times New Roman"/>
          <w:b/>
          <w:bCs/>
          <w:lang w:val="en-US"/>
        </w:rPr>
        <w:t>Chla</w:t>
      </w:r>
      <w:proofErr w:type="spellEnd"/>
      <w:r w:rsidRPr="00F24F28">
        <w:rPr>
          <w:rFonts w:ascii="Times New Roman" w:hAnsi="Times New Roman" w:cs="Times New Roman"/>
          <w:b/>
          <w:bCs/>
          <w:lang w:val="en-US"/>
        </w:rPr>
        <w:t xml:space="preserve"> concentration transect of float WMO ID 5906006. </w:t>
      </w:r>
      <w:r w:rsidR="008C1214" w:rsidRPr="00F24F28">
        <w:rPr>
          <w:rFonts w:ascii="Times New Roman" w:hAnsi="Times New Roman" w:cs="Times New Roman"/>
          <w:b/>
          <w:bCs/>
          <w:lang w:val="en-US"/>
        </w:rPr>
        <w:t xml:space="preserve"> </w:t>
      </w:r>
      <w:r w:rsidRPr="00F24F28">
        <w:rPr>
          <w:rFonts w:ascii="Times New Roman" w:hAnsi="Times New Roman" w:cs="Times New Roman"/>
          <w:lang w:val="en-US"/>
        </w:rPr>
        <w:t>The black line represents the MLD. The small map shows the float location</w:t>
      </w:r>
    </w:p>
    <w:p w14:paraId="7E316AC6" w14:textId="77777777" w:rsidR="008676D2" w:rsidRDefault="008676D2">
      <w:pPr>
        <w:rPr>
          <w:rFonts w:ascii="Times New Roman" w:hAnsi="Times New Roman" w:cs="Times New Roman"/>
          <w:lang w:val="en-US"/>
        </w:rPr>
      </w:pPr>
    </w:p>
    <w:p w14:paraId="163BE843" w14:textId="04563A1F" w:rsidR="008676D2" w:rsidRPr="00F24F28" w:rsidRDefault="008676D2" w:rsidP="008676D2">
      <w:pPr>
        <w:rPr>
          <w:rFonts w:ascii="Times New Roman" w:hAnsi="Times New Roman" w:cs="Times New Roman"/>
          <w:lang w:val="en-US"/>
        </w:rPr>
        <w:sectPr w:rsidR="008676D2" w:rsidRPr="00F24F28" w:rsidSect="0004774A">
          <w:pgSz w:w="11906" w:h="16838"/>
          <w:pgMar w:top="1440" w:right="1440" w:bottom="1440" w:left="1440" w:header="708" w:footer="708" w:gutter="0"/>
          <w:lnNumType w:countBy="1" w:restart="continuous"/>
          <w:cols w:space="708"/>
          <w:docGrid w:linePitch="360"/>
        </w:sectPr>
      </w:pPr>
    </w:p>
    <w:p w14:paraId="7D2D0E36" w14:textId="77777777" w:rsidR="004539FB" w:rsidRPr="00F24F28" w:rsidRDefault="004539FB" w:rsidP="004539FB">
      <w:pPr>
        <w:rPr>
          <w:rFonts w:ascii="Times New Roman" w:hAnsi="Times New Roman" w:cs="Times New Roman"/>
          <w:lang w:val="en-US"/>
        </w:rPr>
      </w:pPr>
      <w:r w:rsidRPr="00F24F28">
        <w:rPr>
          <w:rFonts w:ascii="Times New Roman" w:hAnsi="Times New Roman" w:cs="Times New Roman"/>
          <w:lang w:val="en-US"/>
        </w:rPr>
        <w:lastRenderedPageBreak/>
        <w:t xml:space="preserve">Table S1. Summary table for the average (day of year) ice retreat time, productive season, and phenology of key parameters shown in Fig.2. </w:t>
      </w:r>
    </w:p>
    <w:tbl>
      <w:tblPr>
        <w:tblStyle w:val="TableGrid"/>
        <w:tblW w:w="13932" w:type="dxa"/>
        <w:tblInd w:w="16" w:type="dxa"/>
        <w:tblLook w:val="04A0" w:firstRow="1" w:lastRow="0" w:firstColumn="1" w:lastColumn="0" w:noHBand="0" w:noVBand="1"/>
      </w:tblPr>
      <w:tblGrid>
        <w:gridCol w:w="1680"/>
        <w:gridCol w:w="1843"/>
        <w:gridCol w:w="1701"/>
        <w:gridCol w:w="1985"/>
        <w:gridCol w:w="2268"/>
        <w:gridCol w:w="2268"/>
        <w:gridCol w:w="2187"/>
      </w:tblGrid>
      <w:tr w:rsidR="004539FB" w:rsidRPr="00F24F28" w14:paraId="1CFC2AD1" w14:textId="77777777" w:rsidTr="00E63372">
        <w:trPr>
          <w:trHeight w:val="699"/>
        </w:trPr>
        <w:tc>
          <w:tcPr>
            <w:tcW w:w="5224" w:type="dxa"/>
            <w:gridSpan w:val="3"/>
            <w:vAlign w:val="center"/>
          </w:tcPr>
          <w:p w14:paraId="44872C52" w14:textId="77777777" w:rsidR="004539FB" w:rsidRPr="00F24F28" w:rsidRDefault="004539FB" w:rsidP="00E63372">
            <w:pPr>
              <w:jc w:val="center"/>
              <w:rPr>
                <w:rFonts w:ascii="Times New Roman" w:hAnsi="Times New Roman" w:cs="Times New Roman"/>
                <w:b/>
                <w:bCs/>
                <w:lang w:val="en-US"/>
              </w:rPr>
            </w:pPr>
          </w:p>
        </w:tc>
        <w:tc>
          <w:tcPr>
            <w:tcW w:w="8708" w:type="dxa"/>
            <w:gridSpan w:val="4"/>
            <w:vAlign w:val="center"/>
          </w:tcPr>
          <w:p w14:paraId="10BC25A0"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Phenology Summary</w:t>
            </w:r>
          </w:p>
        </w:tc>
      </w:tr>
      <w:tr w:rsidR="004539FB" w:rsidRPr="00F24F28" w14:paraId="328EBC9F" w14:textId="77777777" w:rsidTr="00E63372">
        <w:trPr>
          <w:trHeight w:val="695"/>
        </w:trPr>
        <w:tc>
          <w:tcPr>
            <w:tcW w:w="1680" w:type="dxa"/>
            <w:vAlign w:val="center"/>
          </w:tcPr>
          <w:p w14:paraId="1103568A"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Ice Break month</w:t>
            </w:r>
          </w:p>
        </w:tc>
        <w:tc>
          <w:tcPr>
            <w:tcW w:w="3544" w:type="dxa"/>
            <w:gridSpan w:val="2"/>
            <w:vAlign w:val="center"/>
          </w:tcPr>
          <w:p w14:paraId="481BB1F7"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Productive season</w:t>
            </w:r>
          </w:p>
          <w:p w14:paraId="698735A8"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timing</w:t>
            </w:r>
          </w:p>
        </w:tc>
        <w:tc>
          <w:tcPr>
            <w:tcW w:w="1985" w:type="dxa"/>
            <w:vAlign w:val="center"/>
          </w:tcPr>
          <w:p w14:paraId="03226193"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Parameters</w:t>
            </w:r>
          </w:p>
        </w:tc>
        <w:tc>
          <w:tcPr>
            <w:tcW w:w="2268" w:type="dxa"/>
            <w:vAlign w:val="center"/>
          </w:tcPr>
          <w:p w14:paraId="5905FB53"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Onset</w:t>
            </w:r>
          </w:p>
        </w:tc>
        <w:tc>
          <w:tcPr>
            <w:tcW w:w="2268" w:type="dxa"/>
            <w:vAlign w:val="center"/>
          </w:tcPr>
          <w:p w14:paraId="55877E76"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Climax</w:t>
            </w:r>
          </w:p>
        </w:tc>
        <w:tc>
          <w:tcPr>
            <w:tcW w:w="2187" w:type="dxa"/>
            <w:vAlign w:val="center"/>
          </w:tcPr>
          <w:p w14:paraId="4A0B6782"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Apex</w:t>
            </w:r>
          </w:p>
        </w:tc>
      </w:tr>
      <w:tr w:rsidR="004539FB" w:rsidRPr="00F24F28" w14:paraId="1F9D5292" w14:textId="77777777" w:rsidTr="00E63372">
        <w:trPr>
          <w:trHeight w:val="413"/>
        </w:trPr>
        <w:tc>
          <w:tcPr>
            <w:tcW w:w="1680" w:type="dxa"/>
            <w:vMerge w:val="restart"/>
            <w:vAlign w:val="center"/>
          </w:tcPr>
          <w:p w14:paraId="28E6E3CC"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October</w:t>
            </w:r>
          </w:p>
          <w:p w14:paraId="3CBDE040" w14:textId="77777777" w:rsidR="004539FB" w:rsidRPr="00F24F28" w:rsidRDefault="004539FB" w:rsidP="00E63372">
            <w:pPr>
              <w:jc w:val="center"/>
              <w:rPr>
                <w:rFonts w:ascii="Times New Roman" w:hAnsi="Times New Roman" w:cs="Times New Roman"/>
              </w:rPr>
            </w:pPr>
          </w:p>
          <w:p w14:paraId="5B50DA9B"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286.3 (±11.0)</w:t>
            </w:r>
          </w:p>
          <w:p w14:paraId="47DF409A" w14:textId="77777777" w:rsidR="004539FB" w:rsidRPr="00F24F28" w:rsidRDefault="004539FB" w:rsidP="00E63372">
            <w:pPr>
              <w:jc w:val="center"/>
              <w:rPr>
                <w:rFonts w:ascii="Times New Roman" w:hAnsi="Times New Roman" w:cs="Times New Roman"/>
              </w:rPr>
            </w:pPr>
          </w:p>
        </w:tc>
        <w:tc>
          <w:tcPr>
            <w:tcW w:w="1843" w:type="dxa"/>
            <w:vMerge w:val="restart"/>
            <w:vAlign w:val="center"/>
          </w:tcPr>
          <w:p w14:paraId="5ABE3B0C"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Start</w:t>
            </w:r>
          </w:p>
          <w:p w14:paraId="4EEC12CD" w14:textId="77777777" w:rsidR="004539FB" w:rsidRPr="00F24F28" w:rsidRDefault="004539FB" w:rsidP="00E63372">
            <w:pPr>
              <w:jc w:val="center"/>
              <w:rPr>
                <w:rFonts w:ascii="Times New Roman" w:hAnsi="Times New Roman" w:cs="Times New Roman"/>
              </w:rPr>
            </w:pPr>
          </w:p>
          <w:p w14:paraId="519A1B56"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270.7 (±21.5)</w:t>
            </w:r>
          </w:p>
          <w:p w14:paraId="20179C6B" w14:textId="77777777" w:rsidR="004539FB" w:rsidRPr="00F24F28" w:rsidRDefault="004539FB" w:rsidP="00E63372">
            <w:pPr>
              <w:jc w:val="center"/>
              <w:rPr>
                <w:rFonts w:ascii="Times New Roman" w:hAnsi="Times New Roman" w:cs="Times New Roman"/>
              </w:rPr>
            </w:pPr>
          </w:p>
        </w:tc>
        <w:tc>
          <w:tcPr>
            <w:tcW w:w="1701" w:type="dxa"/>
            <w:vMerge w:val="restart"/>
            <w:vAlign w:val="center"/>
          </w:tcPr>
          <w:p w14:paraId="44D8771C"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End</w:t>
            </w:r>
          </w:p>
          <w:p w14:paraId="3F5E3687" w14:textId="77777777" w:rsidR="004539FB" w:rsidRPr="00F24F28" w:rsidRDefault="004539FB" w:rsidP="00E63372">
            <w:pPr>
              <w:jc w:val="center"/>
              <w:rPr>
                <w:rFonts w:ascii="Times New Roman" w:hAnsi="Times New Roman" w:cs="Times New Roman"/>
              </w:rPr>
            </w:pPr>
          </w:p>
          <w:p w14:paraId="1C5EAC3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145.3 (±26.1)</w:t>
            </w:r>
          </w:p>
          <w:p w14:paraId="77018548" w14:textId="77777777" w:rsidR="004539FB" w:rsidRPr="00F24F28" w:rsidRDefault="004539FB" w:rsidP="00E63372">
            <w:pPr>
              <w:jc w:val="center"/>
              <w:rPr>
                <w:rFonts w:ascii="Times New Roman" w:hAnsi="Times New Roman" w:cs="Times New Roman"/>
                <w:lang w:val="en-US"/>
              </w:rPr>
            </w:pPr>
          </w:p>
        </w:tc>
        <w:tc>
          <w:tcPr>
            <w:tcW w:w="1985" w:type="dxa"/>
            <w:vAlign w:val="center"/>
          </w:tcPr>
          <w:p w14:paraId="10630A0E" w14:textId="77777777" w:rsidR="004539FB" w:rsidRPr="00F24F28" w:rsidRDefault="004539FB" w:rsidP="00E63372">
            <w:pPr>
              <w:jc w:val="center"/>
              <w:rPr>
                <w:rFonts w:ascii="Times New Roman" w:hAnsi="Times New Roman" w:cs="Times New Roman"/>
              </w:rPr>
            </w:pPr>
            <w:proofErr w:type="spellStart"/>
            <w:r w:rsidRPr="00F24F28">
              <w:rPr>
                <w:rFonts w:ascii="Times New Roman" w:hAnsi="Times New Roman" w:cs="Times New Roman"/>
              </w:rPr>
              <w:t>Chla</w:t>
            </w:r>
            <w:proofErr w:type="spellEnd"/>
          </w:p>
        </w:tc>
        <w:tc>
          <w:tcPr>
            <w:tcW w:w="2268" w:type="dxa"/>
            <w:vAlign w:val="center"/>
          </w:tcPr>
          <w:p w14:paraId="428567F8" w14:textId="77777777" w:rsidR="004539FB" w:rsidRPr="00F24F28" w:rsidRDefault="004539FB" w:rsidP="00E63372">
            <w:pPr>
              <w:jc w:val="center"/>
              <w:rPr>
                <w:rFonts w:ascii="Times New Roman" w:hAnsi="Times New Roman" w:cs="Times New Roman"/>
                <w:i/>
                <w:iCs/>
                <w:lang w:val="en-US"/>
              </w:rPr>
            </w:pPr>
            <w:r w:rsidRPr="00F24F28">
              <w:rPr>
                <w:rFonts w:ascii="Times New Roman" w:hAnsi="Times New Roman" w:cs="Times New Roman"/>
                <w:i/>
                <w:iCs/>
                <w:lang w:val="en-US"/>
              </w:rPr>
              <w:t>214.</w:t>
            </w:r>
            <w:r w:rsidRPr="00F24F28">
              <w:rPr>
                <w:rFonts w:ascii="Times New Roman" w:hAnsi="Times New Roman" w:cs="Times New Roman"/>
                <w:i/>
                <w:iCs/>
              </w:rPr>
              <w:t>7 (±14.0)</w:t>
            </w:r>
          </w:p>
        </w:tc>
        <w:tc>
          <w:tcPr>
            <w:tcW w:w="2268" w:type="dxa"/>
            <w:vAlign w:val="center"/>
          </w:tcPr>
          <w:p w14:paraId="12F2675E" w14:textId="77777777" w:rsidR="004539FB" w:rsidRPr="00F24F28" w:rsidRDefault="004539FB" w:rsidP="00E63372">
            <w:pPr>
              <w:jc w:val="center"/>
              <w:rPr>
                <w:rFonts w:ascii="Times New Roman" w:hAnsi="Times New Roman" w:cs="Times New Roman"/>
                <w:i/>
                <w:iCs/>
                <w:lang w:val="en-US"/>
              </w:rPr>
            </w:pPr>
            <w:r w:rsidRPr="00F24F28">
              <w:rPr>
                <w:rFonts w:ascii="Times New Roman" w:hAnsi="Times New Roman" w:cs="Times New Roman"/>
                <w:i/>
                <w:iCs/>
                <w:lang w:val="en-US"/>
              </w:rPr>
              <w:t xml:space="preserve">275.7 </w:t>
            </w:r>
            <w:r w:rsidRPr="00F24F28">
              <w:rPr>
                <w:rFonts w:ascii="Times New Roman" w:hAnsi="Times New Roman" w:cs="Times New Roman"/>
                <w:i/>
                <w:iCs/>
              </w:rPr>
              <w:t>(±44.1)</w:t>
            </w:r>
          </w:p>
        </w:tc>
        <w:tc>
          <w:tcPr>
            <w:tcW w:w="2187" w:type="dxa"/>
            <w:vAlign w:val="center"/>
          </w:tcPr>
          <w:p w14:paraId="7874458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334.3 (±45.2)</w:t>
            </w:r>
          </w:p>
        </w:tc>
      </w:tr>
      <w:tr w:rsidR="004539FB" w:rsidRPr="00F24F28" w14:paraId="186AB077" w14:textId="77777777" w:rsidTr="00E63372">
        <w:trPr>
          <w:trHeight w:val="412"/>
        </w:trPr>
        <w:tc>
          <w:tcPr>
            <w:tcW w:w="1680" w:type="dxa"/>
            <w:vMerge/>
            <w:vAlign w:val="center"/>
          </w:tcPr>
          <w:p w14:paraId="717579C9" w14:textId="77777777" w:rsidR="004539FB" w:rsidRPr="00F24F28" w:rsidRDefault="004539FB" w:rsidP="00E63372">
            <w:pPr>
              <w:jc w:val="center"/>
              <w:rPr>
                <w:rFonts w:ascii="Times New Roman" w:hAnsi="Times New Roman" w:cs="Times New Roman"/>
              </w:rPr>
            </w:pPr>
          </w:p>
        </w:tc>
        <w:tc>
          <w:tcPr>
            <w:tcW w:w="1843" w:type="dxa"/>
            <w:vMerge/>
            <w:vAlign w:val="center"/>
          </w:tcPr>
          <w:p w14:paraId="42CE108D" w14:textId="77777777" w:rsidR="004539FB" w:rsidRPr="00F24F28" w:rsidRDefault="004539FB" w:rsidP="00E63372">
            <w:pPr>
              <w:jc w:val="center"/>
              <w:rPr>
                <w:rFonts w:ascii="Times New Roman" w:hAnsi="Times New Roman" w:cs="Times New Roman"/>
              </w:rPr>
            </w:pPr>
          </w:p>
        </w:tc>
        <w:tc>
          <w:tcPr>
            <w:tcW w:w="1701" w:type="dxa"/>
            <w:vMerge/>
            <w:vAlign w:val="center"/>
          </w:tcPr>
          <w:p w14:paraId="765DC6DD" w14:textId="77777777" w:rsidR="004539FB" w:rsidRPr="00F24F28" w:rsidRDefault="004539FB" w:rsidP="00E63372">
            <w:pPr>
              <w:jc w:val="center"/>
              <w:rPr>
                <w:rFonts w:ascii="Times New Roman" w:hAnsi="Times New Roman" w:cs="Times New Roman"/>
              </w:rPr>
            </w:pPr>
          </w:p>
        </w:tc>
        <w:tc>
          <w:tcPr>
            <w:tcW w:w="1985" w:type="dxa"/>
            <w:vAlign w:val="center"/>
          </w:tcPr>
          <w:p w14:paraId="06A2FDBB"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Nitrate</w:t>
            </w:r>
          </w:p>
        </w:tc>
        <w:tc>
          <w:tcPr>
            <w:tcW w:w="2268" w:type="dxa"/>
            <w:vAlign w:val="center"/>
          </w:tcPr>
          <w:p w14:paraId="35ECA2B6"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278.0 (±10.0)</w:t>
            </w:r>
          </w:p>
        </w:tc>
        <w:tc>
          <w:tcPr>
            <w:tcW w:w="2268" w:type="dxa"/>
            <w:vAlign w:val="center"/>
          </w:tcPr>
          <w:p w14:paraId="522AE74C"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359.0 (±41.3)</w:t>
            </w:r>
          </w:p>
        </w:tc>
        <w:tc>
          <w:tcPr>
            <w:tcW w:w="2187" w:type="dxa"/>
            <w:vAlign w:val="center"/>
          </w:tcPr>
          <w:p w14:paraId="52F83DE1"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70 (±33.2)</w:t>
            </w:r>
          </w:p>
        </w:tc>
      </w:tr>
      <w:tr w:rsidR="004539FB" w:rsidRPr="00F24F28" w14:paraId="355436B0" w14:textId="77777777" w:rsidTr="00E63372">
        <w:trPr>
          <w:trHeight w:val="412"/>
        </w:trPr>
        <w:tc>
          <w:tcPr>
            <w:tcW w:w="1680" w:type="dxa"/>
            <w:vMerge/>
            <w:vAlign w:val="center"/>
          </w:tcPr>
          <w:p w14:paraId="500082E5" w14:textId="77777777" w:rsidR="004539FB" w:rsidRPr="00F24F28" w:rsidRDefault="004539FB" w:rsidP="00E63372">
            <w:pPr>
              <w:jc w:val="center"/>
              <w:rPr>
                <w:rFonts w:ascii="Times New Roman" w:hAnsi="Times New Roman" w:cs="Times New Roman"/>
              </w:rPr>
            </w:pPr>
          </w:p>
        </w:tc>
        <w:tc>
          <w:tcPr>
            <w:tcW w:w="1843" w:type="dxa"/>
            <w:vMerge/>
            <w:vAlign w:val="center"/>
          </w:tcPr>
          <w:p w14:paraId="3EAA77D6" w14:textId="77777777" w:rsidR="004539FB" w:rsidRPr="00F24F28" w:rsidRDefault="004539FB" w:rsidP="00E63372">
            <w:pPr>
              <w:jc w:val="center"/>
              <w:rPr>
                <w:rFonts w:ascii="Times New Roman" w:hAnsi="Times New Roman" w:cs="Times New Roman"/>
              </w:rPr>
            </w:pPr>
          </w:p>
        </w:tc>
        <w:tc>
          <w:tcPr>
            <w:tcW w:w="1701" w:type="dxa"/>
            <w:vMerge/>
            <w:vAlign w:val="center"/>
          </w:tcPr>
          <w:p w14:paraId="2CC4351E" w14:textId="77777777" w:rsidR="004539FB" w:rsidRPr="00F24F28" w:rsidRDefault="004539FB" w:rsidP="00E63372">
            <w:pPr>
              <w:jc w:val="center"/>
              <w:rPr>
                <w:rFonts w:ascii="Times New Roman" w:hAnsi="Times New Roman" w:cs="Times New Roman"/>
              </w:rPr>
            </w:pPr>
          </w:p>
        </w:tc>
        <w:tc>
          <w:tcPr>
            <w:tcW w:w="1985" w:type="dxa"/>
            <w:vAlign w:val="center"/>
          </w:tcPr>
          <w:p w14:paraId="7E369AB5"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MLD</w:t>
            </w:r>
          </w:p>
        </w:tc>
        <w:tc>
          <w:tcPr>
            <w:tcW w:w="2268" w:type="dxa"/>
            <w:vAlign w:val="center"/>
          </w:tcPr>
          <w:p w14:paraId="0FDA17A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260.0 (±22.5)</w:t>
            </w:r>
          </w:p>
        </w:tc>
        <w:tc>
          <w:tcPr>
            <w:tcW w:w="2268" w:type="dxa"/>
            <w:vAlign w:val="center"/>
          </w:tcPr>
          <w:p w14:paraId="3CCA2BEC"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339.0 (±50.5)</w:t>
            </w:r>
          </w:p>
        </w:tc>
        <w:tc>
          <w:tcPr>
            <w:tcW w:w="2187" w:type="dxa"/>
            <w:vAlign w:val="center"/>
          </w:tcPr>
          <w:p w14:paraId="3303D6CD"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42.3 (±27.8)</w:t>
            </w:r>
          </w:p>
        </w:tc>
      </w:tr>
      <w:tr w:rsidR="004539FB" w:rsidRPr="00F24F28" w14:paraId="623674AD" w14:textId="77777777" w:rsidTr="00E63372">
        <w:trPr>
          <w:trHeight w:val="412"/>
        </w:trPr>
        <w:tc>
          <w:tcPr>
            <w:tcW w:w="1680" w:type="dxa"/>
            <w:vMerge/>
            <w:vAlign w:val="center"/>
          </w:tcPr>
          <w:p w14:paraId="7AC2CAF6" w14:textId="77777777" w:rsidR="004539FB" w:rsidRPr="00F24F28" w:rsidRDefault="004539FB" w:rsidP="00E63372">
            <w:pPr>
              <w:jc w:val="center"/>
              <w:rPr>
                <w:rFonts w:ascii="Times New Roman" w:hAnsi="Times New Roman" w:cs="Times New Roman"/>
              </w:rPr>
            </w:pPr>
          </w:p>
        </w:tc>
        <w:tc>
          <w:tcPr>
            <w:tcW w:w="1843" w:type="dxa"/>
            <w:vMerge/>
            <w:vAlign w:val="center"/>
          </w:tcPr>
          <w:p w14:paraId="1DF13515" w14:textId="77777777" w:rsidR="004539FB" w:rsidRPr="00F24F28" w:rsidRDefault="004539FB" w:rsidP="00E63372">
            <w:pPr>
              <w:jc w:val="center"/>
              <w:rPr>
                <w:rFonts w:ascii="Times New Roman" w:hAnsi="Times New Roman" w:cs="Times New Roman"/>
              </w:rPr>
            </w:pPr>
          </w:p>
        </w:tc>
        <w:tc>
          <w:tcPr>
            <w:tcW w:w="1701" w:type="dxa"/>
            <w:vMerge/>
            <w:vAlign w:val="center"/>
          </w:tcPr>
          <w:p w14:paraId="498E27E4" w14:textId="77777777" w:rsidR="004539FB" w:rsidRPr="00F24F28" w:rsidRDefault="004539FB" w:rsidP="00E63372">
            <w:pPr>
              <w:jc w:val="center"/>
              <w:rPr>
                <w:rFonts w:ascii="Times New Roman" w:hAnsi="Times New Roman" w:cs="Times New Roman"/>
              </w:rPr>
            </w:pPr>
          </w:p>
        </w:tc>
        <w:tc>
          <w:tcPr>
            <w:tcW w:w="1985" w:type="dxa"/>
            <w:vAlign w:val="center"/>
          </w:tcPr>
          <w:p w14:paraId="6D9D37AF"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E</w:t>
            </w:r>
            <w:r w:rsidRPr="00F24F28">
              <w:rPr>
                <w:rFonts w:ascii="Times New Roman" w:hAnsi="Times New Roman" w:cs="Times New Roman"/>
                <w:vertAlign w:val="subscript"/>
              </w:rPr>
              <w:t>BGP</w:t>
            </w:r>
          </w:p>
        </w:tc>
        <w:tc>
          <w:tcPr>
            <w:tcW w:w="2268" w:type="dxa"/>
            <w:vAlign w:val="center"/>
          </w:tcPr>
          <w:p w14:paraId="436E16F5"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226.7 (±18.6)</w:t>
            </w:r>
          </w:p>
        </w:tc>
        <w:tc>
          <w:tcPr>
            <w:tcW w:w="2268" w:type="dxa"/>
            <w:vAlign w:val="center"/>
          </w:tcPr>
          <w:p w14:paraId="71737B82"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289.0 (±36.7)</w:t>
            </w:r>
          </w:p>
        </w:tc>
        <w:tc>
          <w:tcPr>
            <w:tcW w:w="2187" w:type="dxa"/>
            <w:vAlign w:val="center"/>
          </w:tcPr>
          <w:p w14:paraId="76562781"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49.7 (±35.2)</w:t>
            </w:r>
          </w:p>
        </w:tc>
      </w:tr>
      <w:tr w:rsidR="004539FB" w:rsidRPr="00F24F28" w14:paraId="05764CAA" w14:textId="77777777" w:rsidTr="00E63372">
        <w:trPr>
          <w:trHeight w:val="412"/>
        </w:trPr>
        <w:tc>
          <w:tcPr>
            <w:tcW w:w="1680" w:type="dxa"/>
            <w:vMerge/>
            <w:vAlign w:val="center"/>
          </w:tcPr>
          <w:p w14:paraId="5E26F194" w14:textId="77777777" w:rsidR="004539FB" w:rsidRPr="00F24F28" w:rsidRDefault="004539FB" w:rsidP="00E63372">
            <w:pPr>
              <w:jc w:val="center"/>
              <w:rPr>
                <w:rFonts w:ascii="Times New Roman" w:hAnsi="Times New Roman" w:cs="Times New Roman"/>
              </w:rPr>
            </w:pPr>
          </w:p>
        </w:tc>
        <w:tc>
          <w:tcPr>
            <w:tcW w:w="1843" w:type="dxa"/>
            <w:vMerge/>
            <w:vAlign w:val="center"/>
          </w:tcPr>
          <w:p w14:paraId="170EA7B7" w14:textId="77777777" w:rsidR="004539FB" w:rsidRPr="00F24F28" w:rsidRDefault="004539FB" w:rsidP="00E63372">
            <w:pPr>
              <w:jc w:val="center"/>
              <w:rPr>
                <w:rFonts w:ascii="Times New Roman" w:hAnsi="Times New Roman" w:cs="Times New Roman"/>
              </w:rPr>
            </w:pPr>
          </w:p>
        </w:tc>
        <w:tc>
          <w:tcPr>
            <w:tcW w:w="1701" w:type="dxa"/>
            <w:vMerge/>
            <w:vAlign w:val="center"/>
          </w:tcPr>
          <w:p w14:paraId="2844CF01" w14:textId="77777777" w:rsidR="004539FB" w:rsidRPr="00F24F28" w:rsidRDefault="004539FB" w:rsidP="00E63372">
            <w:pPr>
              <w:jc w:val="center"/>
              <w:rPr>
                <w:rFonts w:ascii="Times New Roman" w:hAnsi="Times New Roman" w:cs="Times New Roman"/>
              </w:rPr>
            </w:pPr>
          </w:p>
        </w:tc>
        <w:tc>
          <w:tcPr>
            <w:tcW w:w="1985" w:type="dxa"/>
            <w:vAlign w:val="center"/>
          </w:tcPr>
          <w:p w14:paraId="72C623B0"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ΔpCO</w:t>
            </w:r>
            <w:r w:rsidRPr="00F24F28">
              <w:rPr>
                <w:rFonts w:ascii="Times New Roman" w:hAnsi="Times New Roman" w:cs="Times New Roman"/>
                <w:vertAlign w:val="subscript"/>
              </w:rPr>
              <w:t>2</w:t>
            </w:r>
          </w:p>
        </w:tc>
        <w:tc>
          <w:tcPr>
            <w:tcW w:w="2268" w:type="dxa"/>
            <w:vAlign w:val="center"/>
          </w:tcPr>
          <w:p w14:paraId="36541E55"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236.3 (±25.1)</w:t>
            </w:r>
          </w:p>
        </w:tc>
        <w:tc>
          <w:tcPr>
            <w:tcW w:w="2268" w:type="dxa"/>
            <w:vAlign w:val="center"/>
          </w:tcPr>
          <w:p w14:paraId="541C8569"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329.0 (±12.2)</w:t>
            </w:r>
          </w:p>
        </w:tc>
        <w:tc>
          <w:tcPr>
            <w:tcW w:w="2187" w:type="dxa"/>
            <w:vAlign w:val="center"/>
          </w:tcPr>
          <w:p w14:paraId="6536E183"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3.3 (±41.6)</w:t>
            </w:r>
          </w:p>
        </w:tc>
      </w:tr>
      <w:tr w:rsidR="004539FB" w:rsidRPr="00F24F28" w14:paraId="4FC76DF5" w14:textId="77777777" w:rsidTr="00E63372">
        <w:trPr>
          <w:trHeight w:val="412"/>
        </w:trPr>
        <w:tc>
          <w:tcPr>
            <w:tcW w:w="1680" w:type="dxa"/>
            <w:vMerge/>
            <w:tcBorders>
              <w:bottom w:val="single" w:sz="4" w:space="0" w:color="auto"/>
            </w:tcBorders>
            <w:vAlign w:val="center"/>
          </w:tcPr>
          <w:p w14:paraId="2667C2B7" w14:textId="77777777" w:rsidR="004539FB" w:rsidRPr="00F24F28" w:rsidRDefault="004539FB" w:rsidP="00E63372">
            <w:pPr>
              <w:jc w:val="center"/>
              <w:rPr>
                <w:rFonts w:ascii="Times New Roman" w:hAnsi="Times New Roman" w:cs="Times New Roman"/>
              </w:rPr>
            </w:pPr>
          </w:p>
        </w:tc>
        <w:tc>
          <w:tcPr>
            <w:tcW w:w="1843" w:type="dxa"/>
            <w:vMerge/>
            <w:vAlign w:val="center"/>
          </w:tcPr>
          <w:p w14:paraId="75A5BFB8" w14:textId="77777777" w:rsidR="004539FB" w:rsidRPr="00F24F28" w:rsidRDefault="004539FB" w:rsidP="00E63372">
            <w:pPr>
              <w:jc w:val="center"/>
              <w:rPr>
                <w:rFonts w:ascii="Times New Roman" w:hAnsi="Times New Roman" w:cs="Times New Roman"/>
              </w:rPr>
            </w:pPr>
          </w:p>
        </w:tc>
        <w:tc>
          <w:tcPr>
            <w:tcW w:w="1701" w:type="dxa"/>
            <w:vMerge/>
            <w:vAlign w:val="center"/>
          </w:tcPr>
          <w:p w14:paraId="72B8DC7E" w14:textId="77777777" w:rsidR="004539FB" w:rsidRPr="00F24F28" w:rsidRDefault="004539FB" w:rsidP="00E63372">
            <w:pPr>
              <w:jc w:val="center"/>
              <w:rPr>
                <w:rFonts w:ascii="Times New Roman" w:hAnsi="Times New Roman" w:cs="Times New Roman"/>
              </w:rPr>
            </w:pPr>
          </w:p>
        </w:tc>
        <w:tc>
          <w:tcPr>
            <w:tcW w:w="1985" w:type="dxa"/>
            <w:vAlign w:val="center"/>
          </w:tcPr>
          <w:p w14:paraId="38EFC848"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FCO</w:t>
            </w:r>
            <w:r w:rsidRPr="00F24F28">
              <w:rPr>
                <w:rFonts w:ascii="Times New Roman" w:hAnsi="Times New Roman" w:cs="Times New Roman"/>
                <w:vertAlign w:val="subscript"/>
              </w:rPr>
              <w:t>2</w:t>
            </w:r>
          </w:p>
        </w:tc>
        <w:tc>
          <w:tcPr>
            <w:tcW w:w="2268" w:type="dxa"/>
            <w:tcBorders>
              <w:bottom w:val="single" w:sz="4" w:space="0" w:color="auto"/>
            </w:tcBorders>
            <w:vAlign w:val="center"/>
          </w:tcPr>
          <w:p w14:paraId="61E34B65"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235.0 (±27.4)</w:t>
            </w:r>
          </w:p>
        </w:tc>
        <w:tc>
          <w:tcPr>
            <w:tcW w:w="2268" w:type="dxa"/>
            <w:tcBorders>
              <w:bottom w:val="single" w:sz="4" w:space="0" w:color="auto"/>
            </w:tcBorders>
            <w:vAlign w:val="center"/>
          </w:tcPr>
          <w:p w14:paraId="67D0485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355.7 (±50.2)</w:t>
            </w:r>
          </w:p>
        </w:tc>
        <w:tc>
          <w:tcPr>
            <w:tcW w:w="2187" w:type="dxa"/>
            <w:tcBorders>
              <w:bottom w:val="single" w:sz="4" w:space="0" w:color="auto"/>
            </w:tcBorders>
            <w:vAlign w:val="center"/>
          </w:tcPr>
          <w:p w14:paraId="3C742BF7" w14:textId="77777777" w:rsidR="004539FB" w:rsidRPr="00F24F28" w:rsidRDefault="004539FB" w:rsidP="00E63372">
            <w:pPr>
              <w:jc w:val="center"/>
              <w:rPr>
                <w:rFonts w:ascii="Times New Roman" w:hAnsi="Times New Roman" w:cs="Times New Roman"/>
                <w:i/>
                <w:iCs/>
                <w:lang w:val="en-US"/>
              </w:rPr>
            </w:pPr>
            <w:r w:rsidRPr="00F24F28">
              <w:rPr>
                <w:rFonts w:ascii="Times New Roman" w:hAnsi="Times New Roman" w:cs="Times New Roman"/>
                <w:i/>
                <w:iCs/>
              </w:rPr>
              <w:t>20.0 (±55.7)</w:t>
            </w:r>
          </w:p>
        </w:tc>
      </w:tr>
      <w:tr w:rsidR="004539FB" w:rsidRPr="00F24F28" w14:paraId="6C085C53" w14:textId="77777777" w:rsidTr="00E63372">
        <w:trPr>
          <w:trHeight w:val="413"/>
        </w:trPr>
        <w:tc>
          <w:tcPr>
            <w:tcW w:w="1680" w:type="dxa"/>
            <w:vMerge w:val="restart"/>
            <w:vAlign w:val="center"/>
          </w:tcPr>
          <w:p w14:paraId="30D237EE"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November</w:t>
            </w:r>
          </w:p>
          <w:p w14:paraId="0BB87CD5" w14:textId="77777777" w:rsidR="004539FB" w:rsidRPr="00F24F28" w:rsidRDefault="004539FB" w:rsidP="00E63372">
            <w:pPr>
              <w:jc w:val="center"/>
              <w:rPr>
                <w:rFonts w:ascii="Times New Roman" w:hAnsi="Times New Roman" w:cs="Times New Roman"/>
              </w:rPr>
            </w:pPr>
          </w:p>
          <w:p w14:paraId="3F99A2E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328 (±7.9)</w:t>
            </w:r>
          </w:p>
          <w:p w14:paraId="040BB2F1" w14:textId="77777777" w:rsidR="004539FB" w:rsidRPr="00F24F28" w:rsidRDefault="004539FB" w:rsidP="00E63372">
            <w:pPr>
              <w:jc w:val="center"/>
              <w:rPr>
                <w:rFonts w:ascii="Times New Roman" w:hAnsi="Times New Roman" w:cs="Times New Roman"/>
              </w:rPr>
            </w:pPr>
          </w:p>
        </w:tc>
        <w:tc>
          <w:tcPr>
            <w:tcW w:w="1843" w:type="dxa"/>
            <w:vMerge w:val="restart"/>
            <w:vAlign w:val="center"/>
          </w:tcPr>
          <w:p w14:paraId="4FDC896A"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Start</w:t>
            </w:r>
          </w:p>
          <w:p w14:paraId="5A907462" w14:textId="77777777" w:rsidR="004539FB" w:rsidRPr="00F24F28" w:rsidRDefault="004539FB" w:rsidP="00E63372">
            <w:pPr>
              <w:jc w:val="center"/>
              <w:rPr>
                <w:rFonts w:ascii="Times New Roman" w:hAnsi="Times New Roman" w:cs="Times New Roman"/>
              </w:rPr>
            </w:pPr>
          </w:p>
          <w:p w14:paraId="72CDBB60"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303.3 (±19.6)</w:t>
            </w:r>
          </w:p>
          <w:p w14:paraId="599A41AB" w14:textId="77777777" w:rsidR="004539FB" w:rsidRPr="00F24F28" w:rsidRDefault="004539FB" w:rsidP="00E63372">
            <w:pPr>
              <w:jc w:val="center"/>
              <w:rPr>
                <w:rFonts w:ascii="Times New Roman" w:hAnsi="Times New Roman" w:cs="Times New Roman"/>
              </w:rPr>
            </w:pPr>
          </w:p>
        </w:tc>
        <w:tc>
          <w:tcPr>
            <w:tcW w:w="1701" w:type="dxa"/>
            <w:vMerge w:val="restart"/>
            <w:vAlign w:val="center"/>
          </w:tcPr>
          <w:p w14:paraId="0DD61743"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End</w:t>
            </w:r>
          </w:p>
          <w:p w14:paraId="69472C85" w14:textId="77777777" w:rsidR="004539FB" w:rsidRPr="00F24F28" w:rsidRDefault="004539FB" w:rsidP="00E63372">
            <w:pPr>
              <w:jc w:val="center"/>
              <w:rPr>
                <w:rFonts w:ascii="Times New Roman" w:hAnsi="Times New Roman" w:cs="Times New Roman"/>
              </w:rPr>
            </w:pPr>
          </w:p>
          <w:p w14:paraId="6A83D995"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126.0 (±56.2)</w:t>
            </w:r>
          </w:p>
          <w:p w14:paraId="5F3F1F37" w14:textId="77777777" w:rsidR="004539FB" w:rsidRPr="00F24F28" w:rsidRDefault="004539FB" w:rsidP="00E63372">
            <w:pPr>
              <w:jc w:val="center"/>
              <w:rPr>
                <w:rFonts w:ascii="Times New Roman" w:hAnsi="Times New Roman" w:cs="Times New Roman"/>
              </w:rPr>
            </w:pPr>
          </w:p>
        </w:tc>
        <w:tc>
          <w:tcPr>
            <w:tcW w:w="1985" w:type="dxa"/>
            <w:vAlign w:val="center"/>
          </w:tcPr>
          <w:p w14:paraId="139D6503" w14:textId="77777777" w:rsidR="004539FB" w:rsidRPr="00F24F28" w:rsidRDefault="004539FB" w:rsidP="00E63372">
            <w:pPr>
              <w:jc w:val="center"/>
              <w:rPr>
                <w:rFonts w:ascii="Times New Roman" w:hAnsi="Times New Roman" w:cs="Times New Roman"/>
              </w:rPr>
            </w:pPr>
            <w:proofErr w:type="spellStart"/>
            <w:r w:rsidRPr="00F24F28">
              <w:rPr>
                <w:rFonts w:ascii="Times New Roman" w:hAnsi="Times New Roman" w:cs="Times New Roman"/>
              </w:rPr>
              <w:t>Chla</w:t>
            </w:r>
            <w:proofErr w:type="spellEnd"/>
          </w:p>
        </w:tc>
        <w:tc>
          <w:tcPr>
            <w:tcW w:w="2268" w:type="dxa"/>
            <w:vAlign w:val="center"/>
          </w:tcPr>
          <w:p w14:paraId="1838EA60" w14:textId="77777777" w:rsidR="004539FB" w:rsidRPr="00F24F28" w:rsidRDefault="004539FB" w:rsidP="00E63372">
            <w:pPr>
              <w:jc w:val="center"/>
              <w:rPr>
                <w:rFonts w:ascii="Times New Roman" w:hAnsi="Times New Roman" w:cs="Times New Roman"/>
                <w:i/>
                <w:iCs/>
                <w:lang w:val="en-US"/>
              </w:rPr>
            </w:pPr>
            <w:r w:rsidRPr="00F24F28">
              <w:rPr>
                <w:rFonts w:ascii="Times New Roman" w:hAnsi="Times New Roman" w:cs="Times New Roman"/>
                <w:i/>
                <w:iCs/>
                <w:lang w:val="en-US"/>
              </w:rPr>
              <w:t xml:space="preserve">220.3 </w:t>
            </w:r>
            <w:r w:rsidRPr="00F24F28">
              <w:rPr>
                <w:rFonts w:ascii="Times New Roman" w:hAnsi="Times New Roman" w:cs="Times New Roman"/>
                <w:i/>
                <w:iCs/>
              </w:rPr>
              <w:t>(±14.6)</w:t>
            </w:r>
          </w:p>
        </w:tc>
        <w:tc>
          <w:tcPr>
            <w:tcW w:w="2268" w:type="dxa"/>
            <w:vAlign w:val="center"/>
          </w:tcPr>
          <w:p w14:paraId="5A8426E3"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311.7 (±15.3)</w:t>
            </w:r>
          </w:p>
        </w:tc>
        <w:tc>
          <w:tcPr>
            <w:tcW w:w="2187" w:type="dxa"/>
            <w:vAlign w:val="center"/>
          </w:tcPr>
          <w:p w14:paraId="1AD4AD4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5.3 (±12.1)</w:t>
            </w:r>
          </w:p>
        </w:tc>
      </w:tr>
      <w:tr w:rsidR="004539FB" w:rsidRPr="00F24F28" w14:paraId="59BDF974" w14:textId="77777777" w:rsidTr="00E63372">
        <w:trPr>
          <w:trHeight w:val="412"/>
        </w:trPr>
        <w:tc>
          <w:tcPr>
            <w:tcW w:w="1680" w:type="dxa"/>
            <w:vMerge/>
            <w:vAlign w:val="center"/>
          </w:tcPr>
          <w:p w14:paraId="17CACCB3" w14:textId="77777777" w:rsidR="004539FB" w:rsidRPr="00F24F28" w:rsidRDefault="004539FB" w:rsidP="00E63372">
            <w:pPr>
              <w:jc w:val="center"/>
              <w:rPr>
                <w:rFonts w:ascii="Times New Roman" w:hAnsi="Times New Roman" w:cs="Times New Roman"/>
              </w:rPr>
            </w:pPr>
          </w:p>
        </w:tc>
        <w:tc>
          <w:tcPr>
            <w:tcW w:w="1843" w:type="dxa"/>
            <w:vMerge/>
            <w:vAlign w:val="center"/>
          </w:tcPr>
          <w:p w14:paraId="5A1B9BE8" w14:textId="77777777" w:rsidR="004539FB" w:rsidRPr="00F24F28" w:rsidRDefault="004539FB" w:rsidP="00E63372">
            <w:pPr>
              <w:jc w:val="center"/>
              <w:rPr>
                <w:rFonts w:ascii="Times New Roman" w:hAnsi="Times New Roman" w:cs="Times New Roman"/>
              </w:rPr>
            </w:pPr>
          </w:p>
        </w:tc>
        <w:tc>
          <w:tcPr>
            <w:tcW w:w="1701" w:type="dxa"/>
            <w:vMerge/>
            <w:vAlign w:val="center"/>
          </w:tcPr>
          <w:p w14:paraId="70390BEA" w14:textId="77777777" w:rsidR="004539FB" w:rsidRPr="00F24F28" w:rsidRDefault="004539FB" w:rsidP="00E63372">
            <w:pPr>
              <w:jc w:val="center"/>
              <w:rPr>
                <w:rFonts w:ascii="Times New Roman" w:hAnsi="Times New Roman" w:cs="Times New Roman"/>
              </w:rPr>
            </w:pPr>
          </w:p>
        </w:tc>
        <w:tc>
          <w:tcPr>
            <w:tcW w:w="1985" w:type="dxa"/>
            <w:vAlign w:val="center"/>
          </w:tcPr>
          <w:p w14:paraId="578AFAC8"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Nitrate</w:t>
            </w:r>
          </w:p>
        </w:tc>
        <w:tc>
          <w:tcPr>
            <w:tcW w:w="2268" w:type="dxa"/>
            <w:vAlign w:val="center"/>
          </w:tcPr>
          <w:p w14:paraId="09C39E5B"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282.7 (±13.2)</w:t>
            </w:r>
          </w:p>
        </w:tc>
        <w:tc>
          <w:tcPr>
            <w:tcW w:w="2268" w:type="dxa"/>
            <w:vAlign w:val="center"/>
          </w:tcPr>
          <w:p w14:paraId="309EB86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358.3 (±18.8)</w:t>
            </w:r>
          </w:p>
        </w:tc>
        <w:tc>
          <w:tcPr>
            <w:tcW w:w="2187" w:type="dxa"/>
            <w:vAlign w:val="center"/>
          </w:tcPr>
          <w:p w14:paraId="54158C8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36.7 (±9.9)</w:t>
            </w:r>
          </w:p>
        </w:tc>
      </w:tr>
      <w:tr w:rsidR="004539FB" w:rsidRPr="00F24F28" w14:paraId="75A5620E" w14:textId="77777777" w:rsidTr="00E63372">
        <w:trPr>
          <w:trHeight w:val="412"/>
        </w:trPr>
        <w:tc>
          <w:tcPr>
            <w:tcW w:w="1680" w:type="dxa"/>
            <w:vMerge/>
            <w:vAlign w:val="center"/>
          </w:tcPr>
          <w:p w14:paraId="6817B71F" w14:textId="77777777" w:rsidR="004539FB" w:rsidRPr="00F24F28" w:rsidRDefault="004539FB" w:rsidP="00E63372">
            <w:pPr>
              <w:jc w:val="center"/>
              <w:rPr>
                <w:rFonts w:ascii="Times New Roman" w:hAnsi="Times New Roman" w:cs="Times New Roman"/>
              </w:rPr>
            </w:pPr>
          </w:p>
        </w:tc>
        <w:tc>
          <w:tcPr>
            <w:tcW w:w="1843" w:type="dxa"/>
            <w:vMerge/>
            <w:vAlign w:val="center"/>
          </w:tcPr>
          <w:p w14:paraId="70D91440" w14:textId="77777777" w:rsidR="004539FB" w:rsidRPr="00F24F28" w:rsidRDefault="004539FB" w:rsidP="00E63372">
            <w:pPr>
              <w:jc w:val="center"/>
              <w:rPr>
                <w:rFonts w:ascii="Times New Roman" w:hAnsi="Times New Roman" w:cs="Times New Roman"/>
              </w:rPr>
            </w:pPr>
          </w:p>
        </w:tc>
        <w:tc>
          <w:tcPr>
            <w:tcW w:w="1701" w:type="dxa"/>
            <w:vMerge/>
            <w:vAlign w:val="center"/>
          </w:tcPr>
          <w:p w14:paraId="52EABBFB" w14:textId="77777777" w:rsidR="004539FB" w:rsidRPr="00F24F28" w:rsidRDefault="004539FB" w:rsidP="00E63372">
            <w:pPr>
              <w:jc w:val="center"/>
              <w:rPr>
                <w:rFonts w:ascii="Times New Roman" w:hAnsi="Times New Roman" w:cs="Times New Roman"/>
              </w:rPr>
            </w:pPr>
          </w:p>
        </w:tc>
        <w:tc>
          <w:tcPr>
            <w:tcW w:w="1985" w:type="dxa"/>
            <w:vAlign w:val="center"/>
          </w:tcPr>
          <w:p w14:paraId="123A7935"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MLD</w:t>
            </w:r>
          </w:p>
        </w:tc>
        <w:tc>
          <w:tcPr>
            <w:tcW w:w="2268" w:type="dxa"/>
            <w:vAlign w:val="center"/>
          </w:tcPr>
          <w:p w14:paraId="6848A4B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238.3 (±23.5)</w:t>
            </w:r>
          </w:p>
        </w:tc>
        <w:tc>
          <w:tcPr>
            <w:tcW w:w="2268" w:type="dxa"/>
            <w:vAlign w:val="center"/>
          </w:tcPr>
          <w:p w14:paraId="45E4F99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328.3 (±33.2)</w:t>
            </w:r>
          </w:p>
        </w:tc>
        <w:tc>
          <w:tcPr>
            <w:tcW w:w="2187" w:type="dxa"/>
            <w:vAlign w:val="center"/>
          </w:tcPr>
          <w:p w14:paraId="7C481D9F"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7.0 (±14.9)</w:t>
            </w:r>
          </w:p>
        </w:tc>
      </w:tr>
      <w:tr w:rsidR="004539FB" w:rsidRPr="00F24F28" w14:paraId="6B2B1B17" w14:textId="77777777" w:rsidTr="00E63372">
        <w:trPr>
          <w:trHeight w:val="412"/>
        </w:trPr>
        <w:tc>
          <w:tcPr>
            <w:tcW w:w="1680" w:type="dxa"/>
            <w:vMerge/>
            <w:vAlign w:val="center"/>
          </w:tcPr>
          <w:p w14:paraId="64AFB8AE" w14:textId="77777777" w:rsidR="004539FB" w:rsidRPr="00F24F28" w:rsidRDefault="004539FB" w:rsidP="00E63372">
            <w:pPr>
              <w:jc w:val="center"/>
              <w:rPr>
                <w:rFonts w:ascii="Times New Roman" w:hAnsi="Times New Roman" w:cs="Times New Roman"/>
              </w:rPr>
            </w:pPr>
          </w:p>
        </w:tc>
        <w:tc>
          <w:tcPr>
            <w:tcW w:w="1843" w:type="dxa"/>
            <w:vMerge/>
            <w:vAlign w:val="center"/>
          </w:tcPr>
          <w:p w14:paraId="444CE651" w14:textId="77777777" w:rsidR="004539FB" w:rsidRPr="00F24F28" w:rsidRDefault="004539FB" w:rsidP="00E63372">
            <w:pPr>
              <w:jc w:val="center"/>
              <w:rPr>
                <w:rFonts w:ascii="Times New Roman" w:hAnsi="Times New Roman" w:cs="Times New Roman"/>
              </w:rPr>
            </w:pPr>
          </w:p>
        </w:tc>
        <w:tc>
          <w:tcPr>
            <w:tcW w:w="1701" w:type="dxa"/>
            <w:vMerge/>
            <w:vAlign w:val="center"/>
          </w:tcPr>
          <w:p w14:paraId="552C9BF9" w14:textId="77777777" w:rsidR="004539FB" w:rsidRPr="00F24F28" w:rsidRDefault="004539FB" w:rsidP="00E63372">
            <w:pPr>
              <w:jc w:val="center"/>
              <w:rPr>
                <w:rFonts w:ascii="Times New Roman" w:hAnsi="Times New Roman" w:cs="Times New Roman"/>
              </w:rPr>
            </w:pPr>
          </w:p>
        </w:tc>
        <w:tc>
          <w:tcPr>
            <w:tcW w:w="1985" w:type="dxa"/>
            <w:vAlign w:val="center"/>
          </w:tcPr>
          <w:p w14:paraId="2B688489"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E</w:t>
            </w:r>
            <w:r w:rsidRPr="00F24F28">
              <w:rPr>
                <w:rFonts w:ascii="Times New Roman" w:hAnsi="Times New Roman" w:cs="Times New Roman"/>
                <w:vertAlign w:val="subscript"/>
              </w:rPr>
              <w:t>BGP</w:t>
            </w:r>
          </w:p>
        </w:tc>
        <w:tc>
          <w:tcPr>
            <w:tcW w:w="2268" w:type="dxa"/>
            <w:vAlign w:val="center"/>
          </w:tcPr>
          <w:p w14:paraId="63B156E1"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240.0 (±35.4)</w:t>
            </w:r>
          </w:p>
        </w:tc>
        <w:tc>
          <w:tcPr>
            <w:tcW w:w="2268" w:type="dxa"/>
            <w:vAlign w:val="center"/>
          </w:tcPr>
          <w:p w14:paraId="255EF126"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311.7 (±17.2)</w:t>
            </w:r>
          </w:p>
        </w:tc>
        <w:tc>
          <w:tcPr>
            <w:tcW w:w="2187" w:type="dxa"/>
            <w:vAlign w:val="center"/>
          </w:tcPr>
          <w:p w14:paraId="4655F880"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48.0 (±20.2)</w:t>
            </w:r>
          </w:p>
        </w:tc>
      </w:tr>
      <w:tr w:rsidR="004539FB" w:rsidRPr="00F24F28" w14:paraId="27A4D783" w14:textId="77777777" w:rsidTr="00E63372">
        <w:trPr>
          <w:trHeight w:val="412"/>
        </w:trPr>
        <w:tc>
          <w:tcPr>
            <w:tcW w:w="1680" w:type="dxa"/>
            <w:vMerge/>
            <w:vAlign w:val="center"/>
          </w:tcPr>
          <w:p w14:paraId="6FBB4454" w14:textId="77777777" w:rsidR="004539FB" w:rsidRPr="00F24F28" w:rsidRDefault="004539FB" w:rsidP="00E63372">
            <w:pPr>
              <w:jc w:val="center"/>
              <w:rPr>
                <w:rFonts w:ascii="Times New Roman" w:hAnsi="Times New Roman" w:cs="Times New Roman"/>
              </w:rPr>
            </w:pPr>
          </w:p>
        </w:tc>
        <w:tc>
          <w:tcPr>
            <w:tcW w:w="1843" w:type="dxa"/>
            <w:vMerge/>
            <w:vAlign w:val="center"/>
          </w:tcPr>
          <w:p w14:paraId="7E3937D5" w14:textId="77777777" w:rsidR="004539FB" w:rsidRPr="00F24F28" w:rsidRDefault="004539FB" w:rsidP="00E63372">
            <w:pPr>
              <w:jc w:val="center"/>
              <w:rPr>
                <w:rFonts w:ascii="Times New Roman" w:hAnsi="Times New Roman" w:cs="Times New Roman"/>
              </w:rPr>
            </w:pPr>
          </w:p>
        </w:tc>
        <w:tc>
          <w:tcPr>
            <w:tcW w:w="1701" w:type="dxa"/>
            <w:vMerge/>
            <w:vAlign w:val="center"/>
          </w:tcPr>
          <w:p w14:paraId="741FE72E" w14:textId="77777777" w:rsidR="004539FB" w:rsidRPr="00F24F28" w:rsidRDefault="004539FB" w:rsidP="00E63372">
            <w:pPr>
              <w:jc w:val="center"/>
              <w:rPr>
                <w:rFonts w:ascii="Times New Roman" w:hAnsi="Times New Roman" w:cs="Times New Roman"/>
              </w:rPr>
            </w:pPr>
          </w:p>
        </w:tc>
        <w:tc>
          <w:tcPr>
            <w:tcW w:w="1985" w:type="dxa"/>
            <w:vAlign w:val="center"/>
          </w:tcPr>
          <w:p w14:paraId="06F4B2D8"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ΔpCO</w:t>
            </w:r>
            <w:r w:rsidRPr="00F24F28">
              <w:rPr>
                <w:rFonts w:ascii="Times New Roman" w:hAnsi="Times New Roman" w:cs="Times New Roman"/>
                <w:vertAlign w:val="subscript"/>
              </w:rPr>
              <w:t>2</w:t>
            </w:r>
          </w:p>
        </w:tc>
        <w:tc>
          <w:tcPr>
            <w:tcW w:w="2268" w:type="dxa"/>
            <w:vAlign w:val="center"/>
          </w:tcPr>
          <w:p w14:paraId="747DC7E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273.0 (±13.7)</w:t>
            </w:r>
          </w:p>
        </w:tc>
        <w:tc>
          <w:tcPr>
            <w:tcW w:w="2268" w:type="dxa"/>
            <w:vAlign w:val="center"/>
          </w:tcPr>
          <w:p w14:paraId="186BEFE6"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355.0 (±21.0)</w:t>
            </w:r>
          </w:p>
        </w:tc>
        <w:tc>
          <w:tcPr>
            <w:tcW w:w="2187" w:type="dxa"/>
            <w:vAlign w:val="center"/>
          </w:tcPr>
          <w:p w14:paraId="7FDEF689"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5.3 (±18.8)</w:t>
            </w:r>
          </w:p>
        </w:tc>
      </w:tr>
      <w:tr w:rsidR="004539FB" w:rsidRPr="00F24F28" w14:paraId="398A2EFF" w14:textId="77777777" w:rsidTr="00E63372">
        <w:trPr>
          <w:trHeight w:val="412"/>
        </w:trPr>
        <w:tc>
          <w:tcPr>
            <w:tcW w:w="1680" w:type="dxa"/>
            <w:vMerge/>
            <w:vAlign w:val="center"/>
          </w:tcPr>
          <w:p w14:paraId="79EC8C3C" w14:textId="77777777" w:rsidR="004539FB" w:rsidRPr="00F24F28" w:rsidRDefault="004539FB" w:rsidP="00E63372">
            <w:pPr>
              <w:jc w:val="center"/>
              <w:rPr>
                <w:rFonts w:ascii="Times New Roman" w:hAnsi="Times New Roman" w:cs="Times New Roman"/>
              </w:rPr>
            </w:pPr>
          </w:p>
        </w:tc>
        <w:tc>
          <w:tcPr>
            <w:tcW w:w="1843" w:type="dxa"/>
            <w:vMerge/>
            <w:vAlign w:val="center"/>
          </w:tcPr>
          <w:p w14:paraId="02CCDD3A" w14:textId="77777777" w:rsidR="004539FB" w:rsidRPr="00F24F28" w:rsidRDefault="004539FB" w:rsidP="00E63372">
            <w:pPr>
              <w:jc w:val="center"/>
              <w:rPr>
                <w:rFonts w:ascii="Times New Roman" w:hAnsi="Times New Roman" w:cs="Times New Roman"/>
              </w:rPr>
            </w:pPr>
          </w:p>
        </w:tc>
        <w:tc>
          <w:tcPr>
            <w:tcW w:w="1701" w:type="dxa"/>
            <w:vMerge/>
            <w:vAlign w:val="center"/>
          </w:tcPr>
          <w:p w14:paraId="084F9E44" w14:textId="77777777" w:rsidR="004539FB" w:rsidRPr="00F24F28" w:rsidRDefault="004539FB" w:rsidP="00E63372">
            <w:pPr>
              <w:jc w:val="center"/>
              <w:rPr>
                <w:rFonts w:ascii="Times New Roman" w:hAnsi="Times New Roman" w:cs="Times New Roman"/>
              </w:rPr>
            </w:pPr>
          </w:p>
        </w:tc>
        <w:tc>
          <w:tcPr>
            <w:tcW w:w="1985" w:type="dxa"/>
            <w:vAlign w:val="center"/>
          </w:tcPr>
          <w:p w14:paraId="71773FEA"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FCO</w:t>
            </w:r>
            <w:r w:rsidRPr="00F24F28">
              <w:rPr>
                <w:rFonts w:ascii="Times New Roman" w:hAnsi="Times New Roman" w:cs="Times New Roman"/>
                <w:vertAlign w:val="subscript"/>
              </w:rPr>
              <w:t>2</w:t>
            </w:r>
          </w:p>
        </w:tc>
        <w:tc>
          <w:tcPr>
            <w:tcW w:w="2268" w:type="dxa"/>
            <w:vAlign w:val="center"/>
          </w:tcPr>
          <w:p w14:paraId="06DBE119"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251.7 (±37.2)</w:t>
            </w:r>
          </w:p>
        </w:tc>
        <w:tc>
          <w:tcPr>
            <w:tcW w:w="2268" w:type="dxa"/>
            <w:vAlign w:val="center"/>
          </w:tcPr>
          <w:p w14:paraId="3C57326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338.3 (±9.7)</w:t>
            </w:r>
          </w:p>
        </w:tc>
        <w:tc>
          <w:tcPr>
            <w:tcW w:w="2187" w:type="dxa"/>
            <w:vAlign w:val="center"/>
          </w:tcPr>
          <w:p w14:paraId="78358DB4"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11.0 (±18.5)</w:t>
            </w:r>
          </w:p>
        </w:tc>
      </w:tr>
      <w:tr w:rsidR="004539FB" w:rsidRPr="00F24F28" w14:paraId="1997D04C" w14:textId="77777777" w:rsidTr="00E63372">
        <w:trPr>
          <w:trHeight w:val="413"/>
        </w:trPr>
        <w:tc>
          <w:tcPr>
            <w:tcW w:w="1680" w:type="dxa"/>
            <w:vMerge w:val="restart"/>
            <w:vAlign w:val="center"/>
          </w:tcPr>
          <w:p w14:paraId="0539C92D"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December</w:t>
            </w:r>
          </w:p>
          <w:p w14:paraId="14E78357" w14:textId="77777777" w:rsidR="004539FB" w:rsidRPr="00F24F28" w:rsidRDefault="004539FB" w:rsidP="00E63372">
            <w:pPr>
              <w:jc w:val="center"/>
              <w:rPr>
                <w:rFonts w:ascii="Times New Roman" w:hAnsi="Times New Roman" w:cs="Times New Roman"/>
              </w:rPr>
            </w:pPr>
          </w:p>
          <w:p w14:paraId="10A658BB"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355.1 (±7.5)</w:t>
            </w:r>
          </w:p>
          <w:p w14:paraId="58A6B348" w14:textId="77777777" w:rsidR="004539FB" w:rsidRPr="00F24F28" w:rsidRDefault="004539FB" w:rsidP="00E63372">
            <w:pPr>
              <w:jc w:val="center"/>
              <w:rPr>
                <w:rFonts w:ascii="Times New Roman" w:hAnsi="Times New Roman" w:cs="Times New Roman"/>
              </w:rPr>
            </w:pPr>
          </w:p>
        </w:tc>
        <w:tc>
          <w:tcPr>
            <w:tcW w:w="1843" w:type="dxa"/>
            <w:vMerge w:val="restart"/>
            <w:vAlign w:val="center"/>
          </w:tcPr>
          <w:p w14:paraId="0E38B796"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Start</w:t>
            </w:r>
          </w:p>
          <w:p w14:paraId="30E7B495" w14:textId="77777777" w:rsidR="004539FB" w:rsidRPr="00F24F28" w:rsidRDefault="004539FB" w:rsidP="00E63372">
            <w:pPr>
              <w:jc w:val="center"/>
              <w:rPr>
                <w:rFonts w:ascii="Times New Roman" w:hAnsi="Times New Roman" w:cs="Times New Roman"/>
              </w:rPr>
            </w:pPr>
          </w:p>
          <w:p w14:paraId="44078FB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330.4 (±15.4)</w:t>
            </w:r>
          </w:p>
          <w:p w14:paraId="71216CA5" w14:textId="77777777" w:rsidR="004539FB" w:rsidRPr="00F24F28" w:rsidRDefault="004539FB" w:rsidP="00E63372">
            <w:pPr>
              <w:jc w:val="center"/>
              <w:rPr>
                <w:rFonts w:ascii="Times New Roman" w:hAnsi="Times New Roman" w:cs="Times New Roman"/>
              </w:rPr>
            </w:pPr>
          </w:p>
        </w:tc>
        <w:tc>
          <w:tcPr>
            <w:tcW w:w="1701" w:type="dxa"/>
            <w:vMerge w:val="restart"/>
            <w:vAlign w:val="center"/>
          </w:tcPr>
          <w:p w14:paraId="2A51D7E0"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End</w:t>
            </w:r>
          </w:p>
          <w:p w14:paraId="20D36F70" w14:textId="77777777" w:rsidR="004539FB" w:rsidRPr="00F24F28" w:rsidRDefault="004539FB" w:rsidP="00E63372">
            <w:pPr>
              <w:jc w:val="center"/>
              <w:rPr>
                <w:rFonts w:ascii="Times New Roman" w:hAnsi="Times New Roman" w:cs="Times New Roman"/>
              </w:rPr>
            </w:pPr>
          </w:p>
          <w:p w14:paraId="6A66E4F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119.3 (±33.7)</w:t>
            </w:r>
          </w:p>
          <w:p w14:paraId="086ACA4D" w14:textId="77777777" w:rsidR="004539FB" w:rsidRPr="00F24F28" w:rsidRDefault="004539FB" w:rsidP="00E63372">
            <w:pPr>
              <w:jc w:val="center"/>
              <w:rPr>
                <w:rFonts w:ascii="Times New Roman" w:hAnsi="Times New Roman" w:cs="Times New Roman"/>
              </w:rPr>
            </w:pPr>
          </w:p>
        </w:tc>
        <w:tc>
          <w:tcPr>
            <w:tcW w:w="1985" w:type="dxa"/>
            <w:vAlign w:val="center"/>
          </w:tcPr>
          <w:p w14:paraId="03DF950A" w14:textId="77777777" w:rsidR="004539FB" w:rsidRPr="00F24F28" w:rsidRDefault="004539FB" w:rsidP="00E63372">
            <w:pPr>
              <w:jc w:val="center"/>
              <w:rPr>
                <w:rFonts w:ascii="Times New Roman" w:hAnsi="Times New Roman" w:cs="Times New Roman"/>
              </w:rPr>
            </w:pPr>
            <w:proofErr w:type="spellStart"/>
            <w:r w:rsidRPr="00F24F28">
              <w:rPr>
                <w:rFonts w:ascii="Times New Roman" w:hAnsi="Times New Roman" w:cs="Times New Roman"/>
              </w:rPr>
              <w:t>Chla</w:t>
            </w:r>
            <w:proofErr w:type="spellEnd"/>
          </w:p>
        </w:tc>
        <w:tc>
          <w:tcPr>
            <w:tcW w:w="2268" w:type="dxa"/>
            <w:vAlign w:val="center"/>
          </w:tcPr>
          <w:p w14:paraId="3365426D" w14:textId="77777777" w:rsidR="004539FB" w:rsidRPr="00F24F28" w:rsidRDefault="004539FB" w:rsidP="00E63372">
            <w:pPr>
              <w:jc w:val="center"/>
              <w:rPr>
                <w:rFonts w:ascii="Times New Roman" w:hAnsi="Times New Roman" w:cs="Times New Roman"/>
                <w:i/>
                <w:iCs/>
                <w:lang w:val="en-US"/>
              </w:rPr>
            </w:pPr>
            <w:r w:rsidRPr="00F24F28">
              <w:rPr>
                <w:rFonts w:ascii="Times New Roman" w:hAnsi="Times New Roman" w:cs="Times New Roman"/>
                <w:i/>
                <w:iCs/>
                <w:lang w:val="en-US"/>
              </w:rPr>
              <w:t xml:space="preserve">240.4 </w:t>
            </w:r>
            <w:r w:rsidRPr="00F24F28">
              <w:rPr>
                <w:rFonts w:ascii="Times New Roman" w:hAnsi="Times New Roman" w:cs="Times New Roman"/>
                <w:i/>
                <w:iCs/>
              </w:rPr>
              <w:t>(±10.6)</w:t>
            </w:r>
          </w:p>
        </w:tc>
        <w:tc>
          <w:tcPr>
            <w:tcW w:w="2268" w:type="dxa"/>
            <w:vAlign w:val="center"/>
          </w:tcPr>
          <w:p w14:paraId="4EB2265D"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340.8 (±16.8)</w:t>
            </w:r>
          </w:p>
        </w:tc>
        <w:tc>
          <w:tcPr>
            <w:tcW w:w="2187" w:type="dxa"/>
            <w:vAlign w:val="center"/>
          </w:tcPr>
          <w:p w14:paraId="2376A4A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38.5 (±25.3)</w:t>
            </w:r>
          </w:p>
        </w:tc>
      </w:tr>
      <w:tr w:rsidR="004539FB" w:rsidRPr="00F24F28" w14:paraId="351EDE56" w14:textId="77777777" w:rsidTr="00E63372">
        <w:trPr>
          <w:trHeight w:val="412"/>
        </w:trPr>
        <w:tc>
          <w:tcPr>
            <w:tcW w:w="1680" w:type="dxa"/>
            <w:vMerge/>
            <w:vAlign w:val="center"/>
          </w:tcPr>
          <w:p w14:paraId="701EB279" w14:textId="77777777" w:rsidR="004539FB" w:rsidRPr="00F24F28" w:rsidRDefault="004539FB" w:rsidP="00E63372">
            <w:pPr>
              <w:jc w:val="center"/>
              <w:rPr>
                <w:rFonts w:ascii="Times New Roman" w:hAnsi="Times New Roman" w:cs="Times New Roman"/>
              </w:rPr>
            </w:pPr>
          </w:p>
        </w:tc>
        <w:tc>
          <w:tcPr>
            <w:tcW w:w="1843" w:type="dxa"/>
            <w:vMerge/>
            <w:vAlign w:val="center"/>
          </w:tcPr>
          <w:p w14:paraId="64B1B501" w14:textId="77777777" w:rsidR="004539FB" w:rsidRPr="00F24F28" w:rsidRDefault="004539FB" w:rsidP="00E63372">
            <w:pPr>
              <w:jc w:val="center"/>
              <w:rPr>
                <w:rFonts w:ascii="Times New Roman" w:hAnsi="Times New Roman" w:cs="Times New Roman"/>
              </w:rPr>
            </w:pPr>
          </w:p>
        </w:tc>
        <w:tc>
          <w:tcPr>
            <w:tcW w:w="1701" w:type="dxa"/>
            <w:vMerge/>
            <w:vAlign w:val="center"/>
          </w:tcPr>
          <w:p w14:paraId="1079DAAE" w14:textId="77777777" w:rsidR="004539FB" w:rsidRPr="00F24F28" w:rsidRDefault="004539FB" w:rsidP="00E63372">
            <w:pPr>
              <w:jc w:val="center"/>
              <w:rPr>
                <w:rFonts w:ascii="Times New Roman" w:hAnsi="Times New Roman" w:cs="Times New Roman"/>
              </w:rPr>
            </w:pPr>
          </w:p>
        </w:tc>
        <w:tc>
          <w:tcPr>
            <w:tcW w:w="1985" w:type="dxa"/>
            <w:vAlign w:val="center"/>
          </w:tcPr>
          <w:p w14:paraId="2DC70D98"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Nitrate</w:t>
            </w:r>
          </w:p>
        </w:tc>
        <w:tc>
          <w:tcPr>
            <w:tcW w:w="2268" w:type="dxa"/>
            <w:vAlign w:val="center"/>
          </w:tcPr>
          <w:p w14:paraId="4861458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305.0 (±14.0)</w:t>
            </w:r>
          </w:p>
        </w:tc>
        <w:tc>
          <w:tcPr>
            <w:tcW w:w="2268" w:type="dxa"/>
            <w:vAlign w:val="center"/>
          </w:tcPr>
          <w:p w14:paraId="56B5268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8.7 (±25.3)</w:t>
            </w:r>
          </w:p>
        </w:tc>
        <w:tc>
          <w:tcPr>
            <w:tcW w:w="2187" w:type="dxa"/>
            <w:vAlign w:val="center"/>
          </w:tcPr>
          <w:p w14:paraId="7E94FF9B"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59.7 (±24.5)</w:t>
            </w:r>
          </w:p>
        </w:tc>
      </w:tr>
      <w:tr w:rsidR="004539FB" w:rsidRPr="00F24F28" w14:paraId="6215C523" w14:textId="77777777" w:rsidTr="00E63372">
        <w:trPr>
          <w:trHeight w:val="412"/>
        </w:trPr>
        <w:tc>
          <w:tcPr>
            <w:tcW w:w="1680" w:type="dxa"/>
            <w:vMerge/>
            <w:vAlign w:val="center"/>
          </w:tcPr>
          <w:p w14:paraId="7C445AFC" w14:textId="77777777" w:rsidR="004539FB" w:rsidRPr="00F24F28" w:rsidRDefault="004539FB" w:rsidP="00E63372">
            <w:pPr>
              <w:jc w:val="center"/>
              <w:rPr>
                <w:rFonts w:ascii="Times New Roman" w:hAnsi="Times New Roman" w:cs="Times New Roman"/>
              </w:rPr>
            </w:pPr>
          </w:p>
        </w:tc>
        <w:tc>
          <w:tcPr>
            <w:tcW w:w="1843" w:type="dxa"/>
            <w:vMerge/>
            <w:vAlign w:val="center"/>
          </w:tcPr>
          <w:p w14:paraId="65637C44" w14:textId="77777777" w:rsidR="004539FB" w:rsidRPr="00F24F28" w:rsidRDefault="004539FB" w:rsidP="00E63372">
            <w:pPr>
              <w:jc w:val="center"/>
              <w:rPr>
                <w:rFonts w:ascii="Times New Roman" w:hAnsi="Times New Roman" w:cs="Times New Roman"/>
              </w:rPr>
            </w:pPr>
          </w:p>
        </w:tc>
        <w:tc>
          <w:tcPr>
            <w:tcW w:w="1701" w:type="dxa"/>
            <w:vMerge/>
            <w:vAlign w:val="center"/>
          </w:tcPr>
          <w:p w14:paraId="34A32D52" w14:textId="77777777" w:rsidR="004539FB" w:rsidRPr="00F24F28" w:rsidRDefault="004539FB" w:rsidP="00E63372">
            <w:pPr>
              <w:jc w:val="center"/>
              <w:rPr>
                <w:rFonts w:ascii="Times New Roman" w:hAnsi="Times New Roman" w:cs="Times New Roman"/>
              </w:rPr>
            </w:pPr>
          </w:p>
        </w:tc>
        <w:tc>
          <w:tcPr>
            <w:tcW w:w="1985" w:type="dxa"/>
            <w:vAlign w:val="center"/>
          </w:tcPr>
          <w:p w14:paraId="730E7CDA"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MLD</w:t>
            </w:r>
          </w:p>
        </w:tc>
        <w:tc>
          <w:tcPr>
            <w:tcW w:w="2268" w:type="dxa"/>
            <w:vAlign w:val="center"/>
          </w:tcPr>
          <w:p w14:paraId="0DD89DC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267.0 (±23.8)</w:t>
            </w:r>
          </w:p>
        </w:tc>
        <w:tc>
          <w:tcPr>
            <w:tcW w:w="2268" w:type="dxa"/>
            <w:vAlign w:val="center"/>
          </w:tcPr>
          <w:p w14:paraId="4A29820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347.1 (±10.7)</w:t>
            </w:r>
          </w:p>
        </w:tc>
        <w:tc>
          <w:tcPr>
            <w:tcW w:w="2187" w:type="dxa"/>
            <w:vAlign w:val="center"/>
          </w:tcPr>
          <w:p w14:paraId="356E433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8.7 (±10.5)</w:t>
            </w:r>
          </w:p>
        </w:tc>
      </w:tr>
      <w:tr w:rsidR="004539FB" w:rsidRPr="00F24F28" w14:paraId="12790094" w14:textId="77777777" w:rsidTr="00E63372">
        <w:trPr>
          <w:trHeight w:val="412"/>
        </w:trPr>
        <w:tc>
          <w:tcPr>
            <w:tcW w:w="1680" w:type="dxa"/>
            <w:vMerge/>
            <w:vAlign w:val="center"/>
          </w:tcPr>
          <w:p w14:paraId="7838AAF9" w14:textId="77777777" w:rsidR="004539FB" w:rsidRPr="00F24F28" w:rsidRDefault="004539FB" w:rsidP="00E63372">
            <w:pPr>
              <w:jc w:val="center"/>
              <w:rPr>
                <w:rFonts w:ascii="Times New Roman" w:hAnsi="Times New Roman" w:cs="Times New Roman"/>
              </w:rPr>
            </w:pPr>
          </w:p>
        </w:tc>
        <w:tc>
          <w:tcPr>
            <w:tcW w:w="1843" w:type="dxa"/>
            <w:vMerge/>
            <w:vAlign w:val="center"/>
          </w:tcPr>
          <w:p w14:paraId="31041BCD" w14:textId="77777777" w:rsidR="004539FB" w:rsidRPr="00F24F28" w:rsidRDefault="004539FB" w:rsidP="00E63372">
            <w:pPr>
              <w:jc w:val="center"/>
              <w:rPr>
                <w:rFonts w:ascii="Times New Roman" w:hAnsi="Times New Roman" w:cs="Times New Roman"/>
              </w:rPr>
            </w:pPr>
          </w:p>
        </w:tc>
        <w:tc>
          <w:tcPr>
            <w:tcW w:w="1701" w:type="dxa"/>
            <w:vMerge/>
            <w:vAlign w:val="center"/>
          </w:tcPr>
          <w:p w14:paraId="05AB5F5E" w14:textId="77777777" w:rsidR="004539FB" w:rsidRPr="00F24F28" w:rsidRDefault="004539FB" w:rsidP="00E63372">
            <w:pPr>
              <w:jc w:val="center"/>
              <w:rPr>
                <w:rFonts w:ascii="Times New Roman" w:hAnsi="Times New Roman" w:cs="Times New Roman"/>
              </w:rPr>
            </w:pPr>
          </w:p>
        </w:tc>
        <w:tc>
          <w:tcPr>
            <w:tcW w:w="1985" w:type="dxa"/>
            <w:vAlign w:val="center"/>
          </w:tcPr>
          <w:p w14:paraId="1A764F19"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E</w:t>
            </w:r>
            <w:r w:rsidRPr="00F24F28">
              <w:rPr>
                <w:rFonts w:ascii="Times New Roman" w:hAnsi="Times New Roman" w:cs="Times New Roman"/>
                <w:vertAlign w:val="subscript"/>
              </w:rPr>
              <w:t>BGP</w:t>
            </w:r>
          </w:p>
        </w:tc>
        <w:tc>
          <w:tcPr>
            <w:tcW w:w="2268" w:type="dxa"/>
            <w:vAlign w:val="center"/>
          </w:tcPr>
          <w:p w14:paraId="47C5438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i6 (±18.6)</w:t>
            </w:r>
          </w:p>
        </w:tc>
        <w:tc>
          <w:tcPr>
            <w:tcW w:w="2268" w:type="dxa"/>
            <w:vAlign w:val="center"/>
          </w:tcPr>
          <w:p w14:paraId="75BC7CE3"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344.1 (±32.8)</w:t>
            </w:r>
          </w:p>
        </w:tc>
        <w:tc>
          <w:tcPr>
            <w:tcW w:w="2187" w:type="dxa"/>
            <w:vAlign w:val="center"/>
          </w:tcPr>
          <w:p w14:paraId="5B10116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39.5 (±24.1)</w:t>
            </w:r>
          </w:p>
        </w:tc>
      </w:tr>
      <w:tr w:rsidR="004539FB" w:rsidRPr="00F24F28" w14:paraId="05A99177" w14:textId="77777777" w:rsidTr="00E63372">
        <w:trPr>
          <w:trHeight w:val="412"/>
        </w:trPr>
        <w:tc>
          <w:tcPr>
            <w:tcW w:w="1680" w:type="dxa"/>
            <w:vMerge/>
            <w:vAlign w:val="center"/>
          </w:tcPr>
          <w:p w14:paraId="4717E4EA" w14:textId="77777777" w:rsidR="004539FB" w:rsidRPr="00F24F28" w:rsidRDefault="004539FB" w:rsidP="00E63372">
            <w:pPr>
              <w:jc w:val="center"/>
              <w:rPr>
                <w:rFonts w:ascii="Times New Roman" w:hAnsi="Times New Roman" w:cs="Times New Roman"/>
              </w:rPr>
            </w:pPr>
          </w:p>
        </w:tc>
        <w:tc>
          <w:tcPr>
            <w:tcW w:w="1843" w:type="dxa"/>
            <w:vMerge/>
            <w:vAlign w:val="center"/>
          </w:tcPr>
          <w:p w14:paraId="7AB5B2DB" w14:textId="77777777" w:rsidR="004539FB" w:rsidRPr="00F24F28" w:rsidRDefault="004539FB" w:rsidP="00E63372">
            <w:pPr>
              <w:jc w:val="center"/>
              <w:rPr>
                <w:rFonts w:ascii="Times New Roman" w:hAnsi="Times New Roman" w:cs="Times New Roman"/>
              </w:rPr>
            </w:pPr>
          </w:p>
        </w:tc>
        <w:tc>
          <w:tcPr>
            <w:tcW w:w="1701" w:type="dxa"/>
            <w:vMerge/>
            <w:vAlign w:val="center"/>
          </w:tcPr>
          <w:p w14:paraId="279B7133" w14:textId="77777777" w:rsidR="004539FB" w:rsidRPr="00F24F28" w:rsidRDefault="004539FB" w:rsidP="00E63372">
            <w:pPr>
              <w:jc w:val="center"/>
              <w:rPr>
                <w:rFonts w:ascii="Times New Roman" w:hAnsi="Times New Roman" w:cs="Times New Roman"/>
              </w:rPr>
            </w:pPr>
          </w:p>
        </w:tc>
        <w:tc>
          <w:tcPr>
            <w:tcW w:w="1985" w:type="dxa"/>
            <w:vAlign w:val="center"/>
          </w:tcPr>
          <w:p w14:paraId="11526BE6"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ΔpCO</w:t>
            </w:r>
            <w:r w:rsidRPr="00F24F28">
              <w:rPr>
                <w:rFonts w:ascii="Times New Roman" w:hAnsi="Times New Roman" w:cs="Times New Roman"/>
                <w:vertAlign w:val="subscript"/>
              </w:rPr>
              <w:t>2</w:t>
            </w:r>
          </w:p>
        </w:tc>
        <w:tc>
          <w:tcPr>
            <w:tcW w:w="2268" w:type="dxa"/>
            <w:vAlign w:val="center"/>
          </w:tcPr>
          <w:p w14:paraId="22021D24"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296.4 (±21.1)</w:t>
            </w:r>
          </w:p>
        </w:tc>
        <w:tc>
          <w:tcPr>
            <w:tcW w:w="2268" w:type="dxa"/>
            <w:vAlign w:val="center"/>
          </w:tcPr>
          <w:p w14:paraId="4624A59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24.7 (±27.9)</w:t>
            </w:r>
          </w:p>
        </w:tc>
        <w:tc>
          <w:tcPr>
            <w:tcW w:w="2187" w:type="dxa"/>
            <w:vAlign w:val="center"/>
          </w:tcPr>
          <w:p w14:paraId="06F1CF4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43.7 (±27.4)</w:t>
            </w:r>
          </w:p>
        </w:tc>
      </w:tr>
      <w:tr w:rsidR="004539FB" w:rsidRPr="00F24F28" w14:paraId="1A281E6A" w14:textId="77777777" w:rsidTr="00E63372">
        <w:trPr>
          <w:trHeight w:val="412"/>
        </w:trPr>
        <w:tc>
          <w:tcPr>
            <w:tcW w:w="1680" w:type="dxa"/>
            <w:vMerge/>
            <w:vAlign w:val="center"/>
          </w:tcPr>
          <w:p w14:paraId="553E3E52" w14:textId="77777777" w:rsidR="004539FB" w:rsidRPr="00F24F28" w:rsidRDefault="004539FB" w:rsidP="00E63372">
            <w:pPr>
              <w:jc w:val="center"/>
              <w:rPr>
                <w:rFonts w:ascii="Times New Roman" w:hAnsi="Times New Roman" w:cs="Times New Roman"/>
              </w:rPr>
            </w:pPr>
          </w:p>
        </w:tc>
        <w:tc>
          <w:tcPr>
            <w:tcW w:w="1843" w:type="dxa"/>
            <w:vMerge/>
            <w:vAlign w:val="center"/>
          </w:tcPr>
          <w:p w14:paraId="4FE9C38D" w14:textId="77777777" w:rsidR="004539FB" w:rsidRPr="00F24F28" w:rsidRDefault="004539FB" w:rsidP="00E63372">
            <w:pPr>
              <w:jc w:val="center"/>
              <w:rPr>
                <w:rFonts w:ascii="Times New Roman" w:hAnsi="Times New Roman" w:cs="Times New Roman"/>
              </w:rPr>
            </w:pPr>
          </w:p>
        </w:tc>
        <w:tc>
          <w:tcPr>
            <w:tcW w:w="1701" w:type="dxa"/>
            <w:vMerge/>
            <w:vAlign w:val="center"/>
          </w:tcPr>
          <w:p w14:paraId="55FFEA6A" w14:textId="77777777" w:rsidR="004539FB" w:rsidRPr="00F24F28" w:rsidRDefault="004539FB" w:rsidP="00E63372">
            <w:pPr>
              <w:jc w:val="center"/>
              <w:rPr>
                <w:rFonts w:ascii="Times New Roman" w:hAnsi="Times New Roman" w:cs="Times New Roman"/>
              </w:rPr>
            </w:pPr>
          </w:p>
        </w:tc>
        <w:tc>
          <w:tcPr>
            <w:tcW w:w="1985" w:type="dxa"/>
            <w:vAlign w:val="center"/>
          </w:tcPr>
          <w:p w14:paraId="55D0B774"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FCO</w:t>
            </w:r>
            <w:r w:rsidRPr="00F24F28">
              <w:rPr>
                <w:rFonts w:ascii="Times New Roman" w:hAnsi="Times New Roman" w:cs="Times New Roman"/>
                <w:vertAlign w:val="subscript"/>
              </w:rPr>
              <w:t>2</w:t>
            </w:r>
          </w:p>
        </w:tc>
        <w:tc>
          <w:tcPr>
            <w:tcW w:w="2268" w:type="dxa"/>
            <w:vAlign w:val="center"/>
          </w:tcPr>
          <w:p w14:paraId="431AB9E7"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299.2 (±27.3)</w:t>
            </w:r>
          </w:p>
        </w:tc>
        <w:tc>
          <w:tcPr>
            <w:tcW w:w="2268" w:type="dxa"/>
            <w:vAlign w:val="center"/>
          </w:tcPr>
          <w:p w14:paraId="735AA7CF"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22.1 (±26.4)</w:t>
            </w:r>
          </w:p>
        </w:tc>
        <w:tc>
          <w:tcPr>
            <w:tcW w:w="2187" w:type="dxa"/>
            <w:vAlign w:val="center"/>
          </w:tcPr>
          <w:p w14:paraId="77E4A8A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51.3 (±28.9)</w:t>
            </w:r>
          </w:p>
        </w:tc>
      </w:tr>
      <w:tr w:rsidR="004539FB" w:rsidRPr="00F24F28" w14:paraId="62ADA75E" w14:textId="77777777" w:rsidTr="00E63372">
        <w:trPr>
          <w:trHeight w:val="413"/>
        </w:trPr>
        <w:tc>
          <w:tcPr>
            <w:tcW w:w="1680" w:type="dxa"/>
            <w:vMerge w:val="restart"/>
            <w:vAlign w:val="center"/>
          </w:tcPr>
          <w:p w14:paraId="10237E16"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January</w:t>
            </w:r>
          </w:p>
          <w:p w14:paraId="3CA8C099" w14:textId="77777777" w:rsidR="004539FB" w:rsidRPr="00F24F28" w:rsidRDefault="004539FB" w:rsidP="00E63372">
            <w:pPr>
              <w:jc w:val="center"/>
              <w:rPr>
                <w:rFonts w:ascii="Times New Roman" w:hAnsi="Times New Roman" w:cs="Times New Roman"/>
              </w:rPr>
            </w:pPr>
          </w:p>
          <w:p w14:paraId="30F186AC"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9.8 (±11.6)</w:t>
            </w:r>
          </w:p>
          <w:p w14:paraId="3CC84D33" w14:textId="77777777" w:rsidR="004539FB" w:rsidRPr="00F24F28" w:rsidRDefault="004539FB" w:rsidP="00E63372">
            <w:pPr>
              <w:jc w:val="center"/>
              <w:rPr>
                <w:rFonts w:ascii="Times New Roman" w:hAnsi="Times New Roman" w:cs="Times New Roman"/>
              </w:rPr>
            </w:pPr>
          </w:p>
        </w:tc>
        <w:tc>
          <w:tcPr>
            <w:tcW w:w="1843" w:type="dxa"/>
            <w:vMerge w:val="restart"/>
            <w:vAlign w:val="center"/>
          </w:tcPr>
          <w:p w14:paraId="6B4679C3"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Start</w:t>
            </w:r>
          </w:p>
          <w:p w14:paraId="09BA1EAF" w14:textId="77777777" w:rsidR="004539FB" w:rsidRPr="00F24F28" w:rsidRDefault="004539FB" w:rsidP="00E63372">
            <w:pPr>
              <w:jc w:val="center"/>
              <w:rPr>
                <w:rFonts w:ascii="Times New Roman" w:hAnsi="Times New Roman" w:cs="Times New Roman"/>
              </w:rPr>
            </w:pPr>
          </w:p>
          <w:p w14:paraId="4437E854"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346.0 (±13.4)</w:t>
            </w:r>
          </w:p>
          <w:p w14:paraId="2FD8C6AB" w14:textId="77777777" w:rsidR="004539FB" w:rsidRPr="00F24F28" w:rsidRDefault="004539FB" w:rsidP="00E63372">
            <w:pPr>
              <w:jc w:val="center"/>
              <w:rPr>
                <w:rFonts w:ascii="Times New Roman" w:hAnsi="Times New Roman" w:cs="Times New Roman"/>
              </w:rPr>
            </w:pPr>
          </w:p>
        </w:tc>
        <w:tc>
          <w:tcPr>
            <w:tcW w:w="1701" w:type="dxa"/>
            <w:vMerge w:val="restart"/>
            <w:vAlign w:val="center"/>
          </w:tcPr>
          <w:p w14:paraId="2A4A5408" w14:textId="77777777" w:rsidR="004539FB" w:rsidRPr="00F24F28" w:rsidRDefault="004539FB" w:rsidP="00E63372">
            <w:pPr>
              <w:jc w:val="center"/>
              <w:rPr>
                <w:rFonts w:ascii="Times New Roman" w:hAnsi="Times New Roman" w:cs="Times New Roman"/>
                <w:b/>
                <w:bCs/>
              </w:rPr>
            </w:pPr>
            <w:r w:rsidRPr="00F24F28">
              <w:rPr>
                <w:rFonts w:ascii="Times New Roman" w:hAnsi="Times New Roman" w:cs="Times New Roman"/>
                <w:b/>
                <w:bCs/>
              </w:rPr>
              <w:t>End</w:t>
            </w:r>
          </w:p>
          <w:p w14:paraId="00867C72" w14:textId="77777777" w:rsidR="004539FB" w:rsidRPr="00F24F28" w:rsidRDefault="004539FB" w:rsidP="00E63372">
            <w:pPr>
              <w:jc w:val="center"/>
              <w:rPr>
                <w:rFonts w:ascii="Times New Roman" w:hAnsi="Times New Roman" w:cs="Times New Roman"/>
              </w:rPr>
            </w:pPr>
          </w:p>
          <w:p w14:paraId="4260C41B"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119.3 (±23.5)</w:t>
            </w:r>
          </w:p>
          <w:p w14:paraId="15501D79" w14:textId="77777777" w:rsidR="004539FB" w:rsidRPr="00F24F28" w:rsidRDefault="004539FB" w:rsidP="00E63372">
            <w:pPr>
              <w:jc w:val="center"/>
              <w:rPr>
                <w:rFonts w:ascii="Times New Roman" w:hAnsi="Times New Roman" w:cs="Times New Roman"/>
              </w:rPr>
            </w:pPr>
          </w:p>
        </w:tc>
        <w:tc>
          <w:tcPr>
            <w:tcW w:w="1985" w:type="dxa"/>
            <w:vAlign w:val="center"/>
          </w:tcPr>
          <w:p w14:paraId="3D876BD8" w14:textId="77777777" w:rsidR="004539FB" w:rsidRPr="00F24F28" w:rsidRDefault="004539FB" w:rsidP="00E63372">
            <w:pPr>
              <w:jc w:val="center"/>
              <w:rPr>
                <w:rFonts w:ascii="Times New Roman" w:hAnsi="Times New Roman" w:cs="Times New Roman"/>
              </w:rPr>
            </w:pPr>
            <w:proofErr w:type="spellStart"/>
            <w:r w:rsidRPr="00F24F28">
              <w:rPr>
                <w:rFonts w:ascii="Times New Roman" w:hAnsi="Times New Roman" w:cs="Times New Roman"/>
              </w:rPr>
              <w:t>Chla</w:t>
            </w:r>
            <w:proofErr w:type="spellEnd"/>
          </w:p>
        </w:tc>
        <w:tc>
          <w:tcPr>
            <w:tcW w:w="2268" w:type="dxa"/>
            <w:vAlign w:val="center"/>
          </w:tcPr>
          <w:p w14:paraId="0F4122DA" w14:textId="77777777" w:rsidR="004539FB" w:rsidRPr="00F24F28" w:rsidRDefault="004539FB" w:rsidP="00E63372">
            <w:pPr>
              <w:jc w:val="center"/>
              <w:rPr>
                <w:rFonts w:ascii="Times New Roman" w:hAnsi="Times New Roman" w:cs="Times New Roman"/>
                <w:i/>
                <w:iCs/>
                <w:lang w:val="en-US"/>
              </w:rPr>
            </w:pPr>
            <w:r w:rsidRPr="00F24F28">
              <w:rPr>
                <w:rFonts w:ascii="Times New Roman" w:hAnsi="Times New Roman" w:cs="Times New Roman"/>
                <w:i/>
                <w:iCs/>
                <w:lang w:val="en-US"/>
              </w:rPr>
              <w:t xml:space="preserve">236.6 </w:t>
            </w:r>
            <w:r w:rsidRPr="00F24F28">
              <w:rPr>
                <w:rFonts w:ascii="Times New Roman" w:hAnsi="Times New Roman" w:cs="Times New Roman"/>
                <w:i/>
                <w:iCs/>
              </w:rPr>
              <w:t>(±12.3)</w:t>
            </w:r>
          </w:p>
        </w:tc>
        <w:tc>
          <w:tcPr>
            <w:tcW w:w="2268" w:type="dxa"/>
            <w:vAlign w:val="center"/>
          </w:tcPr>
          <w:p w14:paraId="50E2AF74" w14:textId="77777777" w:rsidR="004539FB" w:rsidRPr="00F24F28" w:rsidRDefault="004539FB" w:rsidP="00E63372">
            <w:pPr>
              <w:jc w:val="center"/>
              <w:rPr>
                <w:rFonts w:ascii="Times New Roman" w:hAnsi="Times New Roman" w:cs="Times New Roman"/>
                <w:i/>
                <w:iCs/>
                <w:lang w:val="en-US"/>
              </w:rPr>
            </w:pPr>
            <w:r w:rsidRPr="00F24F28">
              <w:rPr>
                <w:rFonts w:ascii="Times New Roman" w:hAnsi="Times New Roman" w:cs="Times New Roman"/>
                <w:i/>
                <w:iCs/>
                <w:lang w:val="en-US"/>
              </w:rPr>
              <w:t xml:space="preserve">357.8 </w:t>
            </w:r>
            <w:r w:rsidRPr="00F24F28">
              <w:rPr>
                <w:rFonts w:ascii="Times New Roman" w:hAnsi="Times New Roman" w:cs="Times New Roman"/>
                <w:i/>
                <w:iCs/>
              </w:rPr>
              <w:t>(±23.4)</w:t>
            </w:r>
          </w:p>
        </w:tc>
        <w:tc>
          <w:tcPr>
            <w:tcW w:w="2187" w:type="dxa"/>
            <w:vAlign w:val="center"/>
          </w:tcPr>
          <w:p w14:paraId="2371E011"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56.1 (±16.5)</w:t>
            </w:r>
          </w:p>
        </w:tc>
      </w:tr>
      <w:tr w:rsidR="004539FB" w:rsidRPr="00F24F28" w14:paraId="036089B5" w14:textId="77777777" w:rsidTr="00E63372">
        <w:trPr>
          <w:trHeight w:val="412"/>
        </w:trPr>
        <w:tc>
          <w:tcPr>
            <w:tcW w:w="1680" w:type="dxa"/>
            <w:vMerge/>
            <w:vAlign w:val="center"/>
          </w:tcPr>
          <w:p w14:paraId="3AFAAE05" w14:textId="77777777" w:rsidR="004539FB" w:rsidRPr="00F24F28" w:rsidRDefault="004539FB" w:rsidP="00E63372">
            <w:pPr>
              <w:jc w:val="center"/>
              <w:rPr>
                <w:rFonts w:ascii="Times New Roman" w:hAnsi="Times New Roman" w:cs="Times New Roman"/>
              </w:rPr>
            </w:pPr>
          </w:p>
        </w:tc>
        <w:tc>
          <w:tcPr>
            <w:tcW w:w="1843" w:type="dxa"/>
            <w:vMerge/>
            <w:vAlign w:val="center"/>
          </w:tcPr>
          <w:p w14:paraId="3DF2CCBC" w14:textId="77777777" w:rsidR="004539FB" w:rsidRPr="00F24F28" w:rsidRDefault="004539FB" w:rsidP="00E63372">
            <w:pPr>
              <w:jc w:val="center"/>
              <w:rPr>
                <w:rFonts w:ascii="Times New Roman" w:hAnsi="Times New Roman" w:cs="Times New Roman"/>
              </w:rPr>
            </w:pPr>
          </w:p>
        </w:tc>
        <w:tc>
          <w:tcPr>
            <w:tcW w:w="1701" w:type="dxa"/>
            <w:vMerge/>
            <w:vAlign w:val="center"/>
          </w:tcPr>
          <w:p w14:paraId="26A516C0" w14:textId="77777777" w:rsidR="004539FB" w:rsidRPr="00F24F28" w:rsidRDefault="004539FB" w:rsidP="00E63372">
            <w:pPr>
              <w:jc w:val="center"/>
              <w:rPr>
                <w:rFonts w:ascii="Times New Roman" w:hAnsi="Times New Roman" w:cs="Times New Roman"/>
              </w:rPr>
            </w:pPr>
          </w:p>
        </w:tc>
        <w:tc>
          <w:tcPr>
            <w:tcW w:w="1985" w:type="dxa"/>
            <w:vAlign w:val="center"/>
          </w:tcPr>
          <w:p w14:paraId="26667E0C"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rPr>
              <w:t>Nitrate</w:t>
            </w:r>
          </w:p>
        </w:tc>
        <w:tc>
          <w:tcPr>
            <w:tcW w:w="2268" w:type="dxa"/>
            <w:vAlign w:val="center"/>
          </w:tcPr>
          <w:p w14:paraId="44FE51F9"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315.5 (±12.9)</w:t>
            </w:r>
          </w:p>
        </w:tc>
        <w:tc>
          <w:tcPr>
            <w:tcW w:w="2268" w:type="dxa"/>
            <w:vAlign w:val="center"/>
          </w:tcPr>
          <w:p w14:paraId="6B9B9F76"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20.3 (±18.9)</w:t>
            </w:r>
          </w:p>
        </w:tc>
        <w:tc>
          <w:tcPr>
            <w:tcW w:w="2187" w:type="dxa"/>
            <w:vAlign w:val="center"/>
          </w:tcPr>
          <w:p w14:paraId="4C41622F"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65.1 (±13.3)</w:t>
            </w:r>
          </w:p>
        </w:tc>
      </w:tr>
      <w:tr w:rsidR="004539FB" w:rsidRPr="00F24F28" w14:paraId="226B487A" w14:textId="77777777" w:rsidTr="00E63372">
        <w:trPr>
          <w:trHeight w:val="412"/>
        </w:trPr>
        <w:tc>
          <w:tcPr>
            <w:tcW w:w="1680" w:type="dxa"/>
            <w:vMerge/>
            <w:vAlign w:val="center"/>
          </w:tcPr>
          <w:p w14:paraId="298F960F" w14:textId="77777777" w:rsidR="004539FB" w:rsidRPr="00F24F28" w:rsidRDefault="004539FB" w:rsidP="00E63372">
            <w:pPr>
              <w:jc w:val="center"/>
              <w:rPr>
                <w:rFonts w:ascii="Times New Roman" w:hAnsi="Times New Roman" w:cs="Times New Roman"/>
              </w:rPr>
            </w:pPr>
          </w:p>
        </w:tc>
        <w:tc>
          <w:tcPr>
            <w:tcW w:w="1843" w:type="dxa"/>
            <w:vMerge/>
            <w:vAlign w:val="center"/>
          </w:tcPr>
          <w:p w14:paraId="047C84DC" w14:textId="77777777" w:rsidR="004539FB" w:rsidRPr="00F24F28" w:rsidRDefault="004539FB" w:rsidP="00E63372">
            <w:pPr>
              <w:jc w:val="center"/>
              <w:rPr>
                <w:rFonts w:ascii="Times New Roman" w:hAnsi="Times New Roman" w:cs="Times New Roman"/>
              </w:rPr>
            </w:pPr>
          </w:p>
        </w:tc>
        <w:tc>
          <w:tcPr>
            <w:tcW w:w="1701" w:type="dxa"/>
            <w:vMerge/>
            <w:vAlign w:val="center"/>
          </w:tcPr>
          <w:p w14:paraId="3801A35F" w14:textId="77777777" w:rsidR="004539FB" w:rsidRPr="00F24F28" w:rsidRDefault="004539FB" w:rsidP="00E63372">
            <w:pPr>
              <w:jc w:val="center"/>
              <w:rPr>
                <w:rFonts w:ascii="Times New Roman" w:hAnsi="Times New Roman" w:cs="Times New Roman"/>
              </w:rPr>
            </w:pPr>
          </w:p>
        </w:tc>
        <w:tc>
          <w:tcPr>
            <w:tcW w:w="1985" w:type="dxa"/>
            <w:vAlign w:val="center"/>
          </w:tcPr>
          <w:p w14:paraId="31E536E0"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MLD</w:t>
            </w:r>
          </w:p>
        </w:tc>
        <w:tc>
          <w:tcPr>
            <w:tcW w:w="2268" w:type="dxa"/>
            <w:vAlign w:val="center"/>
          </w:tcPr>
          <w:p w14:paraId="4176EE2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263.4 (±24.9)</w:t>
            </w:r>
          </w:p>
        </w:tc>
        <w:tc>
          <w:tcPr>
            <w:tcW w:w="2268" w:type="dxa"/>
            <w:vAlign w:val="center"/>
          </w:tcPr>
          <w:p w14:paraId="0A9BA35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362.8 (±8.9)</w:t>
            </w:r>
          </w:p>
        </w:tc>
        <w:tc>
          <w:tcPr>
            <w:tcW w:w="2187" w:type="dxa"/>
            <w:vAlign w:val="center"/>
          </w:tcPr>
          <w:p w14:paraId="0FD6118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24.6 (±12.7)</w:t>
            </w:r>
          </w:p>
        </w:tc>
      </w:tr>
      <w:tr w:rsidR="004539FB" w:rsidRPr="00F24F28" w14:paraId="3896E1C4" w14:textId="77777777" w:rsidTr="00E63372">
        <w:trPr>
          <w:trHeight w:val="412"/>
        </w:trPr>
        <w:tc>
          <w:tcPr>
            <w:tcW w:w="1680" w:type="dxa"/>
            <w:vMerge/>
            <w:vAlign w:val="center"/>
          </w:tcPr>
          <w:p w14:paraId="08C84165" w14:textId="77777777" w:rsidR="004539FB" w:rsidRPr="00F24F28" w:rsidRDefault="004539FB" w:rsidP="00E63372">
            <w:pPr>
              <w:jc w:val="center"/>
              <w:rPr>
                <w:rFonts w:ascii="Times New Roman" w:hAnsi="Times New Roman" w:cs="Times New Roman"/>
              </w:rPr>
            </w:pPr>
          </w:p>
        </w:tc>
        <w:tc>
          <w:tcPr>
            <w:tcW w:w="1843" w:type="dxa"/>
            <w:vMerge/>
            <w:vAlign w:val="center"/>
          </w:tcPr>
          <w:p w14:paraId="058187B4" w14:textId="77777777" w:rsidR="004539FB" w:rsidRPr="00F24F28" w:rsidRDefault="004539FB" w:rsidP="00E63372">
            <w:pPr>
              <w:jc w:val="center"/>
              <w:rPr>
                <w:rFonts w:ascii="Times New Roman" w:hAnsi="Times New Roman" w:cs="Times New Roman"/>
              </w:rPr>
            </w:pPr>
          </w:p>
        </w:tc>
        <w:tc>
          <w:tcPr>
            <w:tcW w:w="1701" w:type="dxa"/>
            <w:vMerge/>
            <w:vAlign w:val="center"/>
          </w:tcPr>
          <w:p w14:paraId="553FA6DB" w14:textId="77777777" w:rsidR="004539FB" w:rsidRPr="00F24F28" w:rsidRDefault="004539FB" w:rsidP="00E63372">
            <w:pPr>
              <w:jc w:val="center"/>
              <w:rPr>
                <w:rFonts w:ascii="Times New Roman" w:hAnsi="Times New Roman" w:cs="Times New Roman"/>
              </w:rPr>
            </w:pPr>
          </w:p>
        </w:tc>
        <w:tc>
          <w:tcPr>
            <w:tcW w:w="1985" w:type="dxa"/>
            <w:vAlign w:val="center"/>
          </w:tcPr>
          <w:p w14:paraId="05F10EAE"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E</w:t>
            </w:r>
            <w:r w:rsidRPr="00F24F28">
              <w:rPr>
                <w:rFonts w:ascii="Times New Roman" w:hAnsi="Times New Roman" w:cs="Times New Roman"/>
                <w:vertAlign w:val="subscript"/>
              </w:rPr>
              <w:t>BGP</w:t>
            </w:r>
          </w:p>
        </w:tc>
        <w:tc>
          <w:tcPr>
            <w:tcW w:w="2268" w:type="dxa"/>
            <w:vAlign w:val="center"/>
          </w:tcPr>
          <w:p w14:paraId="0BCCEB00"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300.8 (±29.3)</w:t>
            </w:r>
          </w:p>
        </w:tc>
        <w:tc>
          <w:tcPr>
            <w:tcW w:w="2268" w:type="dxa"/>
            <w:vAlign w:val="center"/>
          </w:tcPr>
          <w:p w14:paraId="4F6024E8"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349.0 (±17.9)</w:t>
            </w:r>
          </w:p>
        </w:tc>
        <w:tc>
          <w:tcPr>
            <w:tcW w:w="2187" w:type="dxa"/>
            <w:vAlign w:val="center"/>
          </w:tcPr>
          <w:p w14:paraId="3674C42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60.5 (±19.0)</w:t>
            </w:r>
          </w:p>
        </w:tc>
      </w:tr>
      <w:tr w:rsidR="004539FB" w:rsidRPr="00F24F28" w14:paraId="34CD30D2" w14:textId="77777777" w:rsidTr="00E63372">
        <w:trPr>
          <w:trHeight w:val="412"/>
        </w:trPr>
        <w:tc>
          <w:tcPr>
            <w:tcW w:w="1680" w:type="dxa"/>
            <w:vMerge/>
            <w:vAlign w:val="center"/>
          </w:tcPr>
          <w:p w14:paraId="0F5FF9DE" w14:textId="77777777" w:rsidR="004539FB" w:rsidRPr="00F24F28" w:rsidRDefault="004539FB" w:rsidP="00E63372">
            <w:pPr>
              <w:jc w:val="center"/>
              <w:rPr>
                <w:rFonts w:ascii="Times New Roman" w:hAnsi="Times New Roman" w:cs="Times New Roman"/>
              </w:rPr>
            </w:pPr>
          </w:p>
        </w:tc>
        <w:tc>
          <w:tcPr>
            <w:tcW w:w="1843" w:type="dxa"/>
            <w:vMerge/>
            <w:vAlign w:val="center"/>
          </w:tcPr>
          <w:p w14:paraId="70016F12" w14:textId="77777777" w:rsidR="004539FB" w:rsidRPr="00F24F28" w:rsidRDefault="004539FB" w:rsidP="00E63372">
            <w:pPr>
              <w:jc w:val="center"/>
              <w:rPr>
                <w:rFonts w:ascii="Times New Roman" w:hAnsi="Times New Roman" w:cs="Times New Roman"/>
              </w:rPr>
            </w:pPr>
          </w:p>
        </w:tc>
        <w:tc>
          <w:tcPr>
            <w:tcW w:w="1701" w:type="dxa"/>
            <w:vMerge/>
            <w:vAlign w:val="center"/>
          </w:tcPr>
          <w:p w14:paraId="020EF2F0" w14:textId="77777777" w:rsidR="004539FB" w:rsidRPr="00F24F28" w:rsidRDefault="004539FB" w:rsidP="00E63372">
            <w:pPr>
              <w:jc w:val="center"/>
              <w:rPr>
                <w:rFonts w:ascii="Times New Roman" w:hAnsi="Times New Roman" w:cs="Times New Roman"/>
              </w:rPr>
            </w:pPr>
          </w:p>
        </w:tc>
        <w:tc>
          <w:tcPr>
            <w:tcW w:w="1985" w:type="dxa"/>
            <w:vAlign w:val="center"/>
          </w:tcPr>
          <w:p w14:paraId="128A9C29"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ΔpCO</w:t>
            </w:r>
            <w:r w:rsidRPr="00F24F28">
              <w:rPr>
                <w:rFonts w:ascii="Times New Roman" w:hAnsi="Times New Roman" w:cs="Times New Roman"/>
                <w:vertAlign w:val="subscript"/>
              </w:rPr>
              <w:t>2</w:t>
            </w:r>
          </w:p>
        </w:tc>
        <w:tc>
          <w:tcPr>
            <w:tcW w:w="2268" w:type="dxa"/>
            <w:vAlign w:val="center"/>
          </w:tcPr>
          <w:p w14:paraId="6A95827F"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324.1 (±16.1)</w:t>
            </w:r>
          </w:p>
        </w:tc>
        <w:tc>
          <w:tcPr>
            <w:tcW w:w="2268" w:type="dxa"/>
            <w:vAlign w:val="center"/>
          </w:tcPr>
          <w:p w14:paraId="04BC3C6C"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39.0 (±18.2)</w:t>
            </w:r>
          </w:p>
        </w:tc>
        <w:tc>
          <w:tcPr>
            <w:tcW w:w="2187" w:type="dxa"/>
            <w:vAlign w:val="center"/>
          </w:tcPr>
          <w:p w14:paraId="4466BF7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57.8 (±11.3)</w:t>
            </w:r>
          </w:p>
        </w:tc>
      </w:tr>
      <w:tr w:rsidR="004539FB" w:rsidRPr="00F24F28" w14:paraId="7CA29E08" w14:textId="77777777" w:rsidTr="00E63372">
        <w:trPr>
          <w:trHeight w:val="412"/>
        </w:trPr>
        <w:tc>
          <w:tcPr>
            <w:tcW w:w="1680" w:type="dxa"/>
            <w:vMerge/>
            <w:vAlign w:val="center"/>
          </w:tcPr>
          <w:p w14:paraId="3ED6BF48" w14:textId="77777777" w:rsidR="004539FB" w:rsidRPr="00F24F28" w:rsidRDefault="004539FB" w:rsidP="00E63372">
            <w:pPr>
              <w:jc w:val="center"/>
              <w:rPr>
                <w:rFonts w:ascii="Times New Roman" w:hAnsi="Times New Roman" w:cs="Times New Roman"/>
              </w:rPr>
            </w:pPr>
          </w:p>
        </w:tc>
        <w:tc>
          <w:tcPr>
            <w:tcW w:w="1843" w:type="dxa"/>
            <w:vMerge/>
            <w:vAlign w:val="center"/>
          </w:tcPr>
          <w:p w14:paraId="4F750293" w14:textId="77777777" w:rsidR="004539FB" w:rsidRPr="00F24F28" w:rsidRDefault="004539FB" w:rsidP="00E63372">
            <w:pPr>
              <w:jc w:val="center"/>
              <w:rPr>
                <w:rFonts w:ascii="Times New Roman" w:hAnsi="Times New Roman" w:cs="Times New Roman"/>
              </w:rPr>
            </w:pPr>
          </w:p>
        </w:tc>
        <w:tc>
          <w:tcPr>
            <w:tcW w:w="1701" w:type="dxa"/>
            <w:vMerge/>
            <w:vAlign w:val="center"/>
          </w:tcPr>
          <w:p w14:paraId="56F09DF0" w14:textId="77777777" w:rsidR="004539FB" w:rsidRPr="00F24F28" w:rsidRDefault="004539FB" w:rsidP="00E63372">
            <w:pPr>
              <w:jc w:val="center"/>
              <w:rPr>
                <w:rFonts w:ascii="Times New Roman" w:hAnsi="Times New Roman" w:cs="Times New Roman"/>
              </w:rPr>
            </w:pPr>
          </w:p>
        </w:tc>
        <w:tc>
          <w:tcPr>
            <w:tcW w:w="1985" w:type="dxa"/>
            <w:vAlign w:val="center"/>
          </w:tcPr>
          <w:p w14:paraId="67E7E68A" w14:textId="77777777" w:rsidR="004539FB" w:rsidRPr="00F24F28" w:rsidRDefault="004539FB" w:rsidP="00E63372">
            <w:pPr>
              <w:jc w:val="center"/>
              <w:rPr>
                <w:rFonts w:ascii="Times New Roman" w:hAnsi="Times New Roman" w:cs="Times New Roman"/>
              </w:rPr>
            </w:pPr>
            <w:r w:rsidRPr="00F24F28">
              <w:rPr>
                <w:rFonts w:ascii="Times New Roman" w:hAnsi="Times New Roman" w:cs="Times New Roman"/>
              </w:rPr>
              <w:t>FCO</w:t>
            </w:r>
            <w:r w:rsidRPr="00F24F28">
              <w:rPr>
                <w:rFonts w:ascii="Times New Roman" w:hAnsi="Times New Roman" w:cs="Times New Roman"/>
                <w:vertAlign w:val="subscript"/>
              </w:rPr>
              <w:t>2</w:t>
            </w:r>
          </w:p>
        </w:tc>
        <w:tc>
          <w:tcPr>
            <w:tcW w:w="2268" w:type="dxa"/>
            <w:vAlign w:val="center"/>
          </w:tcPr>
          <w:p w14:paraId="46841A9E"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325.6 (±19.5)</w:t>
            </w:r>
          </w:p>
        </w:tc>
        <w:tc>
          <w:tcPr>
            <w:tcW w:w="2268" w:type="dxa"/>
            <w:vAlign w:val="center"/>
          </w:tcPr>
          <w:p w14:paraId="54FDFB1C"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39.0 (±32.0)</w:t>
            </w:r>
          </w:p>
        </w:tc>
        <w:tc>
          <w:tcPr>
            <w:tcW w:w="2187" w:type="dxa"/>
            <w:vAlign w:val="center"/>
          </w:tcPr>
          <w:p w14:paraId="2E97479A" w14:textId="77777777" w:rsidR="004539FB" w:rsidRPr="00F24F28" w:rsidRDefault="004539FB" w:rsidP="00E63372">
            <w:pPr>
              <w:jc w:val="center"/>
              <w:rPr>
                <w:rFonts w:ascii="Times New Roman" w:hAnsi="Times New Roman" w:cs="Times New Roman"/>
                <w:i/>
                <w:iCs/>
              </w:rPr>
            </w:pPr>
            <w:r w:rsidRPr="00F24F28">
              <w:rPr>
                <w:rFonts w:ascii="Times New Roman" w:hAnsi="Times New Roman" w:cs="Times New Roman"/>
                <w:i/>
                <w:iCs/>
              </w:rPr>
              <w:t>67.8 (±18.6)</w:t>
            </w:r>
          </w:p>
        </w:tc>
      </w:tr>
    </w:tbl>
    <w:p w14:paraId="059596DD" w14:textId="77777777" w:rsidR="004539FB" w:rsidRPr="00F24F28" w:rsidRDefault="004539FB" w:rsidP="004539FB">
      <w:pPr>
        <w:rPr>
          <w:rFonts w:ascii="Times New Roman" w:hAnsi="Times New Roman" w:cs="Times New Roman"/>
          <w:lang w:val="en-US"/>
        </w:rPr>
      </w:pPr>
    </w:p>
    <w:p w14:paraId="56C95CCC" w14:textId="77777777" w:rsidR="004539FB" w:rsidRPr="00F24F28" w:rsidRDefault="004539FB" w:rsidP="004539FB">
      <w:pPr>
        <w:rPr>
          <w:rFonts w:ascii="Times New Roman" w:hAnsi="Times New Roman" w:cs="Times New Roman"/>
          <w:lang w:val="en-US"/>
        </w:rPr>
      </w:pPr>
      <w:r w:rsidRPr="00F24F28">
        <w:rPr>
          <w:rFonts w:ascii="Times New Roman" w:hAnsi="Times New Roman" w:cs="Times New Roman"/>
          <w:lang w:val="en-US"/>
        </w:rPr>
        <w:t xml:space="preserve">Table S2. Results of sensitivity analysis of the ratio to convert </w:t>
      </w:r>
      <w:r w:rsidRPr="00F24F28">
        <w:rPr>
          <w:rFonts w:ascii="Times New Roman" w:hAnsi="Times New Roman" w:cs="Times New Roman"/>
        </w:rPr>
        <w:t>ΔNO</w:t>
      </w:r>
      <w:r w:rsidRPr="00F24F28">
        <w:rPr>
          <w:rFonts w:ascii="Times New Roman" w:hAnsi="Times New Roman" w:cs="Times New Roman"/>
          <w:vertAlign w:val="subscript"/>
        </w:rPr>
        <w:t>3</w:t>
      </w:r>
      <w:r w:rsidRPr="00F24F28">
        <w:rPr>
          <w:rFonts w:ascii="Times New Roman" w:hAnsi="Times New Roman" w:cs="Times New Roman"/>
          <w:vertAlign w:val="superscript"/>
        </w:rPr>
        <w:t>-</w:t>
      </w:r>
      <w:r w:rsidRPr="00F24F28">
        <w:rPr>
          <w:rFonts w:ascii="Times New Roman" w:hAnsi="Times New Roman" w:cs="Times New Roman"/>
        </w:rPr>
        <w:t xml:space="preserve"> to POC. </w:t>
      </w:r>
    </w:p>
    <w:tbl>
      <w:tblPr>
        <w:tblStyle w:val="TableGrid"/>
        <w:tblW w:w="0" w:type="auto"/>
        <w:tblLook w:val="04A0" w:firstRow="1" w:lastRow="0" w:firstColumn="1" w:lastColumn="0" w:noHBand="0" w:noVBand="1"/>
      </w:tblPr>
      <w:tblGrid>
        <w:gridCol w:w="2977"/>
        <w:gridCol w:w="2977"/>
        <w:gridCol w:w="3539"/>
      </w:tblGrid>
      <w:tr w:rsidR="004539FB" w:rsidRPr="00F24F28" w14:paraId="1CF8441B" w14:textId="77777777" w:rsidTr="00E63372">
        <w:trPr>
          <w:trHeight w:val="606"/>
        </w:trPr>
        <w:tc>
          <w:tcPr>
            <w:tcW w:w="2977" w:type="dxa"/>
            <w:vAlign w:val="center"/>
          </w:tcPr>
          <w:p w14:paraId="05F9E703" w14:textId="77777777" w:rsidR="004539FB" w:rsidRPr="00F24F28" w:rsidRDefault="004539FB" w:rsidP="00E63372">
            <w:pPr>
              <w:jc w:val="center"/>
              <w:rPr>
                <w:rFonts w:ascii="Times New Roman" w:hAnsi="Times New Roman" w:cs="Times New Roman"/>
              </w:rPr>
            </w:pPr>
          </w:p>
        </w:tc>
        <w:tc>
          <w:tcPr>
            <w:tcW w:w="2977" w:type="dxa"/>
            <w:vAlign w:val="center"/>
          </w:tcPr>
          <w:p w14:paraId="5F201CF4"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rPr>
              <w:t>ΔNO</w:t>
            </w:r>
            <w:r w:rsidRPr="00F24F28">
              <w:rPr>
                <w:rFonts w:ascii="Times New Roman" w:hAnsi="Times New Roman" w:cs="Times New Roman"/>
                <w:vertAlign w:val="subscript"/>
              </w:rPr>
              <w:t>3</w:t>
            </w:r>
            <w:r w:rsidRPr="00F24F28">
              <w:rPr>
                <w:rFonts w:ascii="Times New Roman" w:hAnsi="Times New Roman" w:cs="Times New Roman"/>
                <w:vertAlign w:val="superscript"/>
              </w:rPr>
              <w:t>-</w:t>
            </w:r>
            <w:r w:rsidRPr="00F24F28">
              <w:rPr>
                <w:rFonts w:ascii="Times New Roman" w:hAnsi="Times New Roman" w:cs="Times New Roman"/>
              </w:rPr>
              <w:t xml:space="preserve"> to POC ratio (N:C)</w:t>
            </w:r>
          </w:p>
        </w:tc>
        <w:tc>
          <w:tcPr>
            <w:tcW w:w="3539" w:type="dxa"/>
            <w:vAlign w:val="center"/>
          </w:tcPr>
          <w:p w14:paraId="6E03A5B0"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lang w:val="en-US"/>
              </w:rPr>
              <w:t>Mean grazing rate (</w:t>
            </w:r>
            <w:proofErr w:type="spellStart"/>
            <w:r w:rsidRPr="00F24F28">
              <w:rPr>
                <w:rFonts w:ascii="Times New Roman" w:hAnsi="Times New Roman" w:cs="Times New Roman"/>
                <w:lang w:val="en-US"/>
              </w:rPr>
              <w:t>mgC</w:t>
            </w:r>
            <w:proofErr w:type="spellEnd"/>
            <w:r w:rsidRPr="00F24F28">
              <w:rPr>
                <w:rFonts w:ascii="Times New Roman" w:hAnsi="Times New Roman" w:cs="Times New Roman"/>
                <w:lang w:val="en-US"/>
              </w:rPr>
              <w:t xml:space="preserve"> m</w:t>
            </w:r>
            <w:r w:rsidRPr="00F24F28">
              <w:rPr>
                <w:rFonts w:ascii="Times New Roman" w:hAnsi="Times New Roman" w:cs="Times New Roman"/>
                <w:vertAlign w:val="superscript"/>
                <w:lang w:val="en-US"/>
              </w:rPr>
              <w:t>-2</w:t>
            </w:r>
            <w:r w:rsidRPr="00F24F28">
              <w:rPr>
                <w:rFonts w:ascii="Times New Roman" w:hAnsi="Times New Roman" w:cs="Times New Roman"/>
                <w:lang w:val="en-US"/>
              </w:rPr>
              <w:t xml:space="preserve"> d</w:t>
            </w:r>
            <w:r w:rsidRPr="00F24F28">
              <w:rPr>
                <w:rFonts w:ascii="Times New Roman" w:hAnsi="Times New Roman" w:cs="Times New Roman"/>
                <w:vertAlign w:val="superscript"/>
                <w:lang w:val="en-US"/>
              </w:rPr>
              <w:t>-1</w:t>
            </w:r>
            <w:r w:rsidRPr="00F24F28">
              <w:rPr>
                <w:rFonts w:ascii="Times New Roman" w:hAnsi="Times New Roman" w:cs="Times New Roman"/>
                <w:lang w:val="en-US"/>
              </w:rPr>
              <w:t>)</w:t>
            </w:r>
          </w:p>
        </w:tc>
      </w:tr>
      <w:tr w:rsidR="004539FB" w:rsidRPr="00F24F28" w14:paraId="482DF716" w14:textId="77777777" w:rsidTr="00E63372">
        <w:trPr>
          <w:trHeight w:val="606"/>
        </w:trPr>
        <w:tc>
          <w:tcPr>
            <w:tcW w:w="2977" w:type="dxa"/>
            <w:vAlign w:val="center"/>
          </w:tcPr>
          <w:p w14:paraId="7B597A53"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sz w:val="22"/>
                <w:szCs w:val="22"/>
              </w:rPr>
              <w:t>Redfield et al. (1963)</w:t>
            </w:r>
          </w:p>
        </w:tc>
        <w:tc>
          <w:tcPr>
            <w:tcW w:w="2977" w:type="dxa"/>
            <w:vAlign w:val="center"/>
          </w:tcPr>
          <w:p w14:paraId="32B6BD09"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lang w:val="en-US"/>
              </w:rPr>
              <w:t>106/16</w:t>
            </w:r>
          </w:p>
        </w:tc>
        <w:tc>
          <w:tcPr>
            <w:tcW w:w="3539" w:type="dxa"/>
            <w:vAlign w:val="center"/>
          </w:tcPr>
          <w:p w14:paraId="277ED7EA"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sz w:val="22"/>
                <w:szCs w:val="22"/>
              </w:rPr>
              <w:t>120.9</w:t>
            </w:r>
          </w:p>
        </w:tc>
      </w:tr>
      <w:tr w:rsidR="004539FB" w:rsidRPr="00F24F28" w14:paraId="781BA82A" w14:textId="77777777" w:rsidTr="00E63372">
        <w:trPr>
          <w:trHeight w:val="606"/>
        </w:trPr>
        <w:tc>
          <w:tcPr>
            <w:tcW w:w="2977" w:type="dxa"/>
            <w:vAlign w:val="center"/>
          </w:tcPr>
          <w:p w14:paraId="266CE0FC"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sz w:val="22"/>
                <w:szCs w:val="22"/>
              </w:rPr>
              <w:t>Anderson and Sarmiento. (1994)</w:t>
            </w:r>
          </w:p>
        </w:tc>
        <w:tc>
          <w:tcPr>
            <w:tcW w:w="2977" w:type="dxa"/>
            <w:vAlign w:val="center"/>
          </w:tcPr>
          <w:p w14:paraId="39FFDCCB"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lang w:val="en-US"/>
              </w:rPr>
              <w:t>117/16</w:t>
            </w:r>
          </w:p>
        </w:tc>
        <w:tc>
          <w:tcPr>
            <w:tcW w:w="3539" w:type="dxa"/>
            <w:vAlign w:val="center"/>
          </w:tcPr>
          <w:p w14:paraId="27C628E5"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sz w:val="22"/>
                <w:szCs w:val="22"/>
              </w:rPr>
              <w:t>135.0</w:t>
            </w:r>
          </w:p>
        </w:tc>
      </w:tr>
      <w:tr w:rsidR="004539FB" w:rsidRPr="00F24F28" w14:paraId="26261D9E" w14:textId="77777777" w:rsidTr="00E63372">
        <w:trPr>
          <w:trHeight w:val="606"/>
        </w:trPr>
        <w:tc>
          <w:tcPr>
            <w:tcW w:w="2977" w:type="dxa"/>
            <w:vAlign w:val="center"/>
          </w:tcPr>
          <w:p w14:paraId="580F3E54"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sz w:val="22"/>
                <w:szCs w:val="22"/>
              </w:rPr>
              <w:t>Coale et al. (2004)</w:t>
            </w:r>
          </w:p>
        </w:tc>
        <w:tc>
          <w:tcPr>
            <w:tcW w:w="2977" w:type="dxa"/>
            <w:vAlign w:val="center"/>
          </w:tcPr>
          <w:p w14:paraId="5BD70C15"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lang w:val="en-US"/>
              </w:rPr>
              <w:t>110/19</w:t>
            </w:r>
          </w:p>
        </w:tc>
        <w:tc>
          <w:tcPr>
            <w:tcW w:w="3539" w:type="dxa"/>
            <w:vAlign w:val="center"/>
          </w:tcPr>
          <w:p w14:paraId="63F76D39" w14:textId="77777777" w:rsidR="004539FB" w:rsidRPr="00F24F28" w:rsidRDefault="004539FB" w:rsidP="00E63372">
            <w:pPr>
              <w:jc w:val="center"/>
              <w:rPr>
                <w:rFonts w:ascii="Times New Roman" w:hAnsi="Times New Roman" w:cs="Times New Roman"/>
                <w:lang w:val="en-US"/>
              </w:rPr>
            </w:pPr>
            <w:r w:rsidRPr="00F24F28">
              <w:rPr>
                <w:rFonts w:ascii="Times New Roman" w:hAnsi="Times New Roman" w:cs="Times New Roman"/>
                <w:sz w:val="22"/>
                <w:szCs w:val="22"/>
              </w:rPr>
              <w:t>105.3</w:t>
            </w:r>
          </w:p>
        </w:tc>
      </w:tr>
    </w:tbl>
    <w:p w14:paraId="1F4AFE2F" w14:textId="77777777" w:rsidR="004539FB" w:rsidRPr="00F24F28" w:rsidRDefault="004539FB" w:rsidP="004539FB">
      <w:pPr>
        <w:rPr>
          <w:rFonts w:ascii="Times New Roman" w:hAnsi="Times New Roman" w:cs="Times New Roman"/>
          <w:lang w:val="en-US"/>
        </w:rPr>
      </w:pPr>
    </w:p>
    <w:p w14:paraId="55B71C54" w14:textId="77777777" w:rsidR="00A7370D" w:rsidRDefault="00A7370D">
      <w:pPr>
        <w:rPr>
          <w:rFonts w:ascii="Times New Roman" w:hAnsi="Times New Roman" w:cs="Times New Roman"/>
          <w:lang w:val="en-US"/>
        </w:rPr>
        <w:sectPr w:rsidR="00A7370D" w:rsidSect="004539FB">
          <w:footerReference w:type="default" r:id="rId15"/>
          <w:pgSz w:w="16838" w:h="11906" w:orient="landscape"/>
          <w:pgMar w:top="1440" w:right="1440" w:bottom="1440" w:left="1440" w:header="708" w:footer="708" w:gutter="0"/>
          <w:cols w:space="708"/>
          <w:docGrid w:linePitch="360"/>
        </w:sectPr>
      </w:pPr>
    </w:p>
    <w:p w14:paraId="6CC6B6BA" w14:textId="77777777" w:rsidR="00A7370D" w:rsidRPr="00F24F28" w:rsidRDefault="00A7370D" w:rsidP="00A7370D">
      <w:pPr>
        <w:rPr>
          <w:rFonts w:ascii="Times New Roman" w:hAnsi="Times New Roman" w:cs="Times New Roman"/>
          <w:b/>
          <w:bCs/>
          <w:sz w:val="32"/>
          <w:szCs w:val="32"/>
          <w:lang w:val="en-US"/>
        </w:rPr>
      </w:pPr>
      <w:r w:rsidRPr="00F24F28">
        <w:rPr>
          <w:rFonts w:ascii="Times New Roman" w:hAnsi="Times New Roman" w:cs="Times New Roman"/>
          <w:b/>
          <w:bCs/>
          <w:sz w:val="32"/>
          <w:szCs w:val="32"/>
          <w:lang w:val="en-US"/>
        </w:rPr>
        <w:lastRenderedPageBreak/>
        <w:t xml:space="preserve">Reference list </w:t>
      </w:r>
    </w:p>
    <w:p w14:paraId="1E5CF336" w14:textId="77777777" w:rsidR="00A7370D" w:rsidRPr="00F24F28" w:rsidRDefault="00A7370D" w:rsidP="00A7370D">
      <w:pPr>
        <w:pStyle w:val="Bibliography"/>
        <w:rPr>
          <w:rFonts w:ascii="Times New Roman" w:hAnsi="Times New Roman" w:cs="Times New Roman"/>
          <w:lang w:val="en-GB"/>
        </w:rPr>
      </w:pPr>
      <w:r w:rsidRPr="00F24F28">
        <w:rPr>
          <w:rFonts w:ascii="Times New Roman" w:hAnsi="Times New Roman" w:cs="Times New Roman"/>
          <w:lang w:val="en-US"/>
        </w:rPr>
        <w:fldChar w:fldCharType="begin"/>
      </w:r>
      <w:r w:rsidRPr="00F24F28">
        <w:rPr>
          <w:rFonts w:ascii="Times New Roman" w:hAnsi="Times New Roman" w:cs="Times New Roman"/>
          <w:lang w:val="en-US"/>
        </w:rPr>
        <w:instrText xml:space="preserve"> ADDIN ZOTERO_BIBL {"uncited":[],"omitted":[],"custom":[]} CSL_BIBLIOGRAPHY </w:instrText>
      </w:r>
      <w:r w:rsidRPr="00F24F28">
        <w:rPr>
          <w:rFonts w:ascii="Times New Roman" w:hAnsi="Times New Roman" w:cs="Times New Roman"/>
          <w:lang w:val="en-US"/>
        </w:rPr>
        <w:fldChar w:fldCharType="separate"/>
      </w:r>
      <w:r w:rsidRPr="00F24F28">
        <w:rPr>
          <w:rFonts w:ascii="Times New Roman" w:hAnsi="Times New Roman" w:cs="Times New Roman"/>
          <w:lang w:val="en-GB"/>
        </w:rPr>
        <w:t>1.</w:t>
      </w:r>
      <w:r w:rsidRPr="00F24F28">
        <w:rPr>
          <w:rFonts w:ascii="Times New Roman" w:hAnsi="Times New Roman" w:cs="Times New Roman"/>
          <w:lang w:val="en-GB"/>
        </w:rPr>
        <w:tab/>
        <w:t xml:space="preserve">Tu, Z. </w:t>
      </w:r>
      <w:r w:rsidRPr="00F24F28">
        <w:rPr>
          <w:rFonts w:ascii="Times New Roman" w:hAnsi="Times New Roman" w:cs="Times New Roman"/>
          <w:i/>
          <w:iCs/>
          <w:lang w:val="en-GB"/>
        </w:rPr>
        <w:t>et al.</w:t>
      </w:r>
      <w:r w:rsidRPr="00F24F28">
        <w:rPr>
          <w:rFonts w:ascii="Times New Roman" w:hAnsi="Times New Roman" w:cs="Times New Roman"/>
          <w:lang w:val="en-GB"/>
        </w:rPr>
        <w:t xml:space="preserve"> Increase in CO</w:t>
      </w:r>
      <w:r w:rsidRPr="00F24F28">
        <w:rPr>
          <w:rFonts w:ascii="Times New Roman" w:hAnsi="Times New Roman" w:cs="Times New Roman"/>
          <w:vertAlign w:val="subscript"/>
          <w:lang w:val="en-GB"/>
        </w:rPr>
        <w:t>2</w:t>
      </w:r>
      <w:r w:rsidRPr="00F24F28">
        <w:rPr>
          <w:rFonts w:ascii="Times New Roman" w:hAnsi="Times New Roman" w:cs="Times New Roman"/>
          <w:lang w:val="en-GB"/>
        </w:rPr>
        <w:t xml:space="preserve"> Uptake Capacity in the Arctic Chukchi Sea During Summer Revealed by Satellite‐Based Estimation. </w:t>
      </w:r>
      <w:r w:rsidRPr="00F24F28">
        <w:rPr>
          <w:rFonts w:ascii="Times New Roman" w:hAnsi="Times New Roman" w:cs="Times New Roman"/>
          <w:i/>
          <w:iCs/>
          <w:lang w:val="en-GB"/>
        </w:rPr>
        <w:t>Geophysical Research Letters</w:t>
      </w:r>
      <w:r w:rsidRPr="00F24F28">
        <w:rPr>
          <w:rFonts w:ascii="Times New Roman" w:hAnsi="Times New Roman" w:cs="Times New Roman"/>
          <w:lang w:val="en-GB"/>
        </w:rPr>
        <w:t xml:space="preserve"> </w:t>
      </w:r>
      <w:r w:rsidRPr="00F24F28">
        <w:rPr>
          <w:rFonts w:ascii="Times New Roman" w:hAnsi="Times New Roman" w:cs="Times New Roman"/>
          <w:b/>
          <w:bCs/>
          <w:lang w:val="en-GB"/>
        </w:rPr>
        <w:t>48</w:t>
      </w:r>
      <w:r w:rsidRPr="00F24F28">
        <w:rPr>
          <w:rFonts w:ascii="Times New Roman" w:hAnsi="Times New Roman" w:cs="Times New Roman"/>
          <w:lang w:val="en-GB"/>
        </w:rPr>
        <w:t>, e2021GL093844 (2021).</w:t>
      </w:r>
    </w:p>
    <w:p w14:paraId="6EEB18FC" w14:textId="77777777" w:rsidR="00A7370D" w:rsidRPr="00F24F28" w:rsidRDefault="00A7370D" w:rsidP="00A7370D">
      <w:pPr>
        <w:pStyle w:val="Bibliography"/>
        <w:rPr>
          <w:rFonts w:ascii="Times New Roman" w:hAnsi="Times New Roman" w:cs="Times New Roman"/>
          <w:lang w:val="en-GB"/>
        </w:rPr>
      </w:pPr>
      <w:r w:rsidRPr="00F24F28">
        <w:rPr>
          <w:rFonts w:ascii="Times New Roman" w:hAnsi="Times New Roman" w:cs="Times New Roman"/>
          <w:lang w:val="en-GB"/>
        </w:rPr>
        <w:t>2.</w:t>
      </w:r>
      <w:r w:rsidRPr="00F24F28">
        <w:rPr>
          <w:rFonts w:ascii="Times New Roman" w:hAnsi="Times New Roman" w:cs="Times New Roman"/>
          <w:lang w:val="en-GB"/>
        </w:rPr>
        <w:tab/>
        <w:t xml:space="preserve">Huang, H. </w:t>
      </w:r>
      <w:r w:rsidRPr="00F24F28">
        <w:rPr>
          <w:rFonts w:ascii="Times New Roman" w:hAnsi="Times New Roman" w:cs="Times New Roman"/>
          <w:i/>
          <w:iCs/>
          <w:lang w:val="en-GB"/>
        </w:rPr>
        <w:t>et al.</w:t>
      </w:r>
      <w:r w:rsidRPr="00F24F28">
        <w:rPr>
          <w:rFonts w:ascii="Times New Roman" w:hAnsi="Times New Roman" w:cs="Times New Roman"/>
          <w:lang w:val="en-GB"/>
        </w:rPr>
        <w:t xml:space="preserve"> Revisiting Winter Southern Ocean CO</w:t>
      </w:r>
      <w:r w:rsidRPr="00F24F28">
        <w:rPr>
          <w:rFonts w:ascii="Times New Roman" w:hAnsi="Times New Roman" w:cs="Times New Roman"/>
          <w:vertAlign w:val="subscript"/>
          <w:lang w:val="en-GB"/>
        </w:rPr>
        <w:t>2</w:t>
      </w:r>
      <w:r w:rsidRPr="00F24F28">
        <w:rPr>
          <w:rFonts w:ascii="Times New Roman" w:hAnsi="Times New Roman" w:cs="Times New Roman"/>
          <w:lang w:val="en-GB"/>
        </w:rPr>
        <w:t xml:space="preserve"> Uptake Based on CALIPSO Observations. </w:t>
      </w:r>
      <w:r w:rsidRPr="00F24F28">
        <w:rPr>
          <w:rFonts w:ascii="Times New Roman" w:hAnsi="Times New Roman" w:cs="Times New Roman"/>
          <w:i/>
          <w:iCs/>
          <w:lang w:val="en-GB"/>
        </w:rPr>
        <w:t>Geophysical Research Letters</w:t>
      </w:r>
      <w:r w:rsidRPr="00F24F28">
        <w:rPr>
          <w:rFonts w:ascii="Times New Roman" w:hAnsi="Times New Roman" w:cs="Times New Roman"/>
          <w:lang w:val="en-GB"/>
        </w:rPr>
        <w:t xml:space="preserve"> </w:t>
      </w:r>
      <w:r w:rsidRPr="00F24F28">
        <w:rPr>
          <w:rFonts w:ascii="Times New Roman" w:hAnsi="Times New Roman" w:cs="Times New Roman"/>
          <w:b/>
          <w:bCs/>
          <w:lang w:val="en-GB"/>
        </w:rPr>
        <w:t>51</w:t>
      </w:r>
      <w:r w:rsidRPr="00F24F28">
        <w:rPr>
          <w:rFonts w:ascii="Times New Roman" w:hAnsi="Times New Roman" w:cs="Times New Roman"/>
          <w:lang w:val="en-GB"/>
        </w:rPr>
        <w:t>, e2024GL108335 (2024).</w:t>
      </w:r>
    </w:p>
    <w:p w14:paraId="4C2A687E" w14:textId="77777777" w:rsidR="00A7370D" w:rsidRPr="00F24F28" w:rsidRDefault="00A7370D" w:rsidP="00A7370D">
      <w:pPr>
        <w:pStyle w:val="Bibliography"/>
        <w:rPr>
          <w:rFonts w:ascii="Times New Roman" w:hAnsi="Times New Roman" w:cs="Times New Roman"/>
          <w:lang w:val="en-GB"/>
        </w:rPr>
      </w:pPr>
      <w:r w:rsidRPr="00F24F28">
        <w:rPr>
          <w:rFonts w:ascii="Times New Roman" w:hAnsi="Times New Roman" w:cs="Times New Roman"/>
          <w:lang w:val="en-GB"/>
        </w:rPr>
        <w:t>3.</w:t>
      </w:r>
      <w:r w:rsidRPr="00F24F28">
        <w:rPr>
          <w:rFonts w:ascii="Times New Roman" w:hAnsi="Times New Roman" w:cs="Times New Roman"/>
          <w:lang w:val="en-GB"/>
        </w:rPr>
        <w:tab/>
        <w:t xml:space="preserve">Williams, N. L. </w:t>
      </w:r>
      <w:r w:rsidRPr="00F24F28">
        <w:rPr>
          <w:rFonts w:ascii="Times New Roman" w:hAnsi="Times New Roman" w:cs="Times New Roman"/>
          <w:i/>
          <w:iCs/>
          <w:lang w:val="en-GB"/>
        </w:rPr>
        <w:t>et al.</w:t>
      </w:r>
      <w:r w:rsidRPr="00F24F28">
        <w:rPr>
          <w:rFonts w:ascii="Times New Roman" w:hAnsi="Times New Roman" w:cs="Times New Roman"/>
          <w:lang w:val="en-GB"/>
        </w:rPr>
        <w:t xml:space="preserve"> Calculating surface ocean pCO</w:t>
      </w:r>
      <w:r w:rsidRPr="00F24F28">
        <w:rPr>
          <w:rFonts w:ascii="Times New Roman" w:hAnsi="Times New Roman" w:cs="Times New Roman"/>
          <w:vertAlign w:val="subscript"/>
          <w:lang w:val="en-GB"/>
        </w:rPr>
        <w:t>2</w:t>
      </w:r>
      <w:r w:rsidRPr="00F24F28">
        <w:rPr>
          <w:rFonts w:ascii="Times New Roman" w:hAnsi="Times New Roman" w:cs="Times New Roman"/>
          <w:lang w:val="en-GB"/>
        </w:rPr>
        <w:t xml:space="preserve"> from biogeochemical Argo floats equipped with pH: An uncertainty analysis. </w:t>
      </w:r>
      <w:r w:rsidRPr="00F24F28">
        <w:rPr>
          <w:rFonts w:ascii="Times New Roman" w:hAnsi="Times New Roman" w:cs="Times New Roman"/>
          <w:i/>
          <w:iCs/>
          <w:lang w:val="en-GB"/>
        </w:rPr>
        <w:t>Global Biogeochemical Cycles</w:t>
      </w:r>
      <w:r w:rsidRPr="00F24F28">
        <w:rPr>
          <w:rFonts w:ascii="Times New Roman" w:hAnsi="Times New Roman" w:cs="Times New Roman"/>
          <w:lang w:val="en-GB"/>
        </w:rPr>
        <w:t xml:space="preserve"> </w:t>
      </w:r>
      <w:r w:rsidRPr="00F24F28">
        <w:rPr>
          <w:rFonts w:ascii="Times New Roman" w:hAnsi="Times New Roman" w:cs="Times New Roman"/>
          <w:b/>
          <w:bCs/>
          <w:lang w:val="en-GB"/>
        </w:rPr>
        <w:t>31</w:t>
      </w:r>
      <w:r w:rsidRPr="00F24F28">
        <w:rPr>
          <w:rFonts w:ascii="Times New Roman" w:hAnsi="Times New Roman" w:cs="Times New Roman"/>
          <w:lang w:val="en-GB"/>
        </w:rPr>
        <w:t>, 591–604 (2017).</w:t>
      </w:r>
    </w:p>
    <w:p w14:paraId="11F787D0" w14:textId="77777777" w:rsidR="00A7370D" w:rsidRPr="00F24F28" w:rsidRDefault="00A7370D" w:rsidP="00A7370D">
      <w:pPr>
        <w:pStyle w:val="Bibliography"/>
        <w:rPr>
          <w:rFonts w:ascii="Times New Roman" w:hAnsi="Times New Roman" w:cs="Times New Roman"/>
          <w:lang w:val="en-GB"/>
        </w:rPr>
      </w:pPr>
      <w:r w:rsidRPr="00F24F28">
        <w:rPr>
          <w:rFonts w:ascii="Times New Roman" w:hAnsi="Times New Roman" w:cs="Times New Roman"/>
          <w:lang w:val="en-GB"/>
        </w:rPr>
        <w:t>4.</w:t>
      </w:r>
      <w:r w:rsidRPr="00F24F28">
        <w:rPr>
          <w:rFonts w:ascii="Times New Roman" w:hAnsi="Times New Roman" w:cs="Times New Roman"/>
          <w:lang w:val="en-GB"/>
        </w:rPr>
        <w:tab/>
        <w:t xml:space="preserve">Sutton, A. J., Williams, N. L. &amp; Tilbrook, B. Constraining Southern Ocean CO </w:t>
      </w:r>
      <w:r w:rsidRPr="00F24F28">
        <w:rPr>
          <w:rFonts w:ascii="Times New Roman" w:hAnsi="Times New Roman" w:cs="Times New Roman"/>
          <w:vertAlign w:val="subscript"/>
          <w:lang w:val="en-GB"/>
        </w:rPr>
        <w:t>2</w:t>
      </w:r>
      <w:r w:rsidRPr="00F24F28">
        <w:rPr>
          <w:rFonts w:ascii="Times New Roman" w:hAnsi="Times New Roman" w:cs="Times New Roman"/>
          <w:lang w:val="en-GB"/>
        </w:rPr>
        <w:t xml:space="preserve"> Flux Uncertainty Using Uncrewed Surface Vehicle Observations. </w:t>
      </w:r>
      <w:r w:rsidRPr="00F24F28">
        <w:rPr>
          <w:rFonts w:ascii="Times New Roman" w:hAnsi="Times New Roman" w:cs="Times New Roman"/>
          <w:i/>
          <w:iCs/>
          <w:lang w:val="en-GB"/>
        </w:rPr>
        <w:t>Geophysical Research Letters</w:t>
      </w:r>
      <w:r w:rsidRPr="00F24F28">
        <w:rPr>
          <w:rFonts w:ascii="Times New Roman" w:hAnsi="Times New Roman" w:cs="Times New Roman"/>
          <w:lang w:val="en-GB"/>
        </w:rPr>
        <w:t xml:space="preserve"> </w:t>
      </w:r>
      <w:r w:rsidRPr="00F24F28">
        <w:rPr>
          <w:rFonts w:ascii="Times New Roman" w:hAnsi="Times New Roman" w:cs="Times New Roman"/>
          <w:b/>
          <w:bCs/>
          <w:lang w:val="en-GB"/>
        </w:rPr>
        <w:t>48</w:t>
      </w:r>
      <w:r w:rsidRPr="00F24F28">
        <w:rPr>
          <w:rFonts w:ascii="Times New Roman" w:hAnsi="Times New Roman" w:cs="Times New Roman"/>
          <w:lang w:val="en-GB"/>
        </w:rPr>
        <w:t>, e2020GL091748 (2021).</w:t>
      </w:r>
    </w:p>
    <w:p w14:paraId="6021E877" w14:textId="77777777" w:rsidR="00A7370D" w:rsidRPr="00F24F28" w:rsidRDefault="00A7370D" w:rsidP="00A7370D">
      <w:pPr>
        <w:pStyle w:val="Bibliography"/>
        <w:rPr>
          <w:rFonts w:ascii="Times New Roman" w:hAnsi="Times New Roman" w:cs="Times New Roman"/>
          <w:lang w:val="en-GB"/>
        </w:rPr>
      </w:pPr>
      <w:r w:rsidRPr="00F24F28">
        <w:rPr>
          <w:rFonts w:ascii="Times New Roman" w:hAnsi="Times New Roman" w:cs="Times New Roman"/>
          <w:lang w:val="en-GB"/>
        </w:rPr>
        <w:t>5.</w:t>
      </w:r>
      <w:r w:rsidRPr="00F24F28">
        <w:rPr>
          <w:rFonts w:ascii="Times New Roman" w:hAnsi="Times New Roman" w:cs="Times New Roman"/>
          <w:lang w:val="en-GB"/>
        </w:rPr>
        <w:tab/>
        <w:t xml:space="preserve">Wynn-Edwards, C. A. </w:t>
      </w:r>
      <w:r w:rsidRPr="00F24F28">
        <w:rPr>
          <w:rFonts w:ascii="Times New Roman" w:hAnsi="Times New Roman" w:cs="Times New Roman"/>
          <w:i/>
          <w:iCs/>
          <w:lang w:val="en-GB"/>
        </w:rPr>
        <w:t>et al.</w:t>
      </w:r>
      <w:r w:rsidRPr="00F24F28">
        <w:rPr>
          <w:rFonts w:ascii="Times New Roman" w:hAnsi="Times New Roman" w:cs="Times New Roman"/>
          <w:lang w:val="en-GB"/>
        </w:rPr>
        <w:t xml:space="preserve"> Subantarctic pCO2 estimated from a biogeochemical float: comparison with moored observations reinforces the importance of spatial and temporal variability. </w:t>
      </w:r>
      <w:r w:rsidRPr="00F24F28">
        <w:rPr>
          <w:rFonts w:ascii="Times New Roman" w:hAnsi="Times New Roman" w:cs="Times New Roman"/>
          <w:i/>
          <w:iCs/>
          <w:lang w:val="en-GB"/>
        </w:rPr>
        <w:t>Front. Mar. Sci.</w:t>
      </w:r>
      <w:r w:rsidRPr="00F24F28">
        <w:rPr>
          <w:rFonts w:ascii="Times New Roman" w:hAnsi="Times New Roman" w:cs="Times New Roman"/>
          <w:lang w:val="en-GB"/>
        </w:rPr>
        <w:t xml:space="preserve"> </w:t>
      </w:r>
      <w:r w:rsidRPr="00F24F28">
        <w:rPr>
          <w:rFonts w:ascii="Times New Roman" w:hAnsi="Times New Roman" w:cs="Times New Roman"/>
          <w:b/>
          <w:bCs/>
          <w:lang w:val="en-GB"/>
        </w:rPr>
        <w:t>10</w:t>
      </w:r>
      <w:r w:rsidRPr="00F24F28">
        <w:rPr>
          <w:rFonts w:ascii="Times New Roman" w:hAnsi="Times New Roman" w:cs="Times New Roman"/>
          <w:lang w:val="en-GB"/>
        </w:rPr>
        <w:t>, 1231953 (2023).</w:t>
      </w:r>
    </w:p>
    <w:p w14:paraId="0FDFF606" w14:textId="77777777" w:rsidR="00A7370D" w:rsidRPr="00F24F28" w:rsidRDefault="00A7370D" w:rsidP="00A7370D">
      <w:pPr>
        <w:pStyle w:val="Bibliography"/>
        <w:rPr>
          <w:rFonts w:ascii="Times New Roman" w:hAnsi="Times New Roman" w:cs="Times New Roman"/>
          <w:lang w:val="en-GB"/>
        </w:rPr>
      </w:pPr>
      <w:r w:rsidRPr="00F24F28">
        <w:rPr>
          <w:rFonts w:ascii="Times New Roman" w:hAnsi="Times New Roman" w:cs="Times New Roman"/>
          <w:lang w:val="en-GB"/>
        </w:rPr>
        <w:t>6.</w:t>
      </w:r>
      <w:r w:rsidRPr="00F24F28">
        <w:rPr>
          <w:rFonts w:ascii="Times New Roman" w:hAnsi="Times New Roman" w:cs="Times New Roman"/>
          <w:lang w:val="en-GB"/>
        </w:rPr>
        <w:tab/>
        <w:t xml:space="preserve">Bushinsky, S. M. </w:t>
      </w:r>
      <w:r w:rsidRPr="00F24F28">
        <w:rPr>
          <w:rFonts w:ascii="Times New Roman" w:hAnsi="Times New Roman" w:cs="Times New Roman"/>
          <w:i/>
          <w:iCs/>
          <w:lang w:val="en-GB"/>
        </w:rPr>
        <w:t>et al.</w:t>
      </w:r>
      <w:r w:rsidRPr="00F24F28">
        <w:rPr>
          <w:rFonts w:ascii="Times New Roman" w:hAnsi="Times New Roman" w:cs="Times New Roman"/>
          <w:lang w:val="en-GB"/>
        </w:rPr>
        <w:t xml:space="preserve"> Reassessing Southern Ocean Air‐Sea CO </w:t>
      </w:r>
      <w:r w:rsidRPr="00F24F28">
        <w:rPr>
          <w:rFonts w:ascii="Times New Roman" w:hAnsi="Times New Roman" w:cs="Times New Roman"/>
          <w:vertAlign w:val="subscript"/>
          <w:lang w:val="en-GB"/>
        </w:rPr>
        <w:t>2</w:t>
      </w:r>
      <w:r w:rsidRPr="00F24F28">
        <w:rPr>
          <w:rFonts w:ascii="Times New Roman" w:hAnsi="Times New Roman" w:cs="Times New Roman"/>
          <w:lang w:val="en-GB"/>
        </w:rPr>
        <w:t xml:space="preserve"> Flux Estimates With the Addition of Biogeochemical Float Observations. </w:t>
      </w:r>
      <w:r w:rsidRPr="00F24F28">
        <w:rPr>
          <w:rFonts w:ascii="Times New Roman" w:hAnsi="Times New Roman" w:cs="Times New Roman"/>
          <w:i/>
          <w:iCs/>
          <w:lang w:val="en-GB"/>
        </w:rPr>
        <w:t>Global Biogeochemical Cycles</w:t>
      </w:r>
      <w:r w:rsidRPr="00F24F28">
        <w:rPr>
          <w:rFonts w:ascii="Times New Roman" w:hAnsi="Times New Roman" w:cs="Times New Roman"/>
          <w:lang w:val="en-GB"/>
        </w:rPr>
        <w:t xml:space="preserve"> </w:t>
      </w:r>
      <w:r w:rsidRPr="00F24F28">
        <w:rPr>
          <w:rFonts w:ascii="Times New Roman" w:hAnsi="Times New Roman" w:cs="Times New Roman"/>
          <w:b/>
          <w:bCs/>
          <w:lang w:val="en-GB"/>
        </w:rPr>
        <w:t>33</w:t>
      </w:r>
      <w:r w:rsidRPr="00F24F28">
        <w:rPr>
          <w:rFonts w:ascii="Times New Roman" w:hAnsi="Times New Roman" w:cs="Times New Roman"/>
          <w:lang w:val="en-GB"/>
        </w:rPr>
        <w:t>, 1370–1388 (2019).</w:t>
      </w:r>
    </w:p>
    <w:p w14:paraId="1DEE0106" w14:textId="77777777" w:rsidR="00A7370D" w:rsidRPr="00F24F28" w:rsidRDefault="00A7370D" w:rsidP="00A7370D">
      <w:pPr>
        <w:pStyle w:val="Bibliography"/>
        <w:rPr>
          <w:rFonts w:ascii="Times New Roman" w:hAnsi="Times New Roman" w:cs="Times New Roman"/>
          <w:lang w:val="en-GB"/>
        </w:rPr>
      </w:pPr>
      <w:r w:rsidRPr="00F24F28">
        <w:rPr>
          <w:rFonts w:ascii="Times New Roman" w:hAnsi="Times New Roman" w:cs="Times New Roman"/>
          <w:lang w:val="en-GB"/>
        </w:rPr>
        <w:t>7.</w:t>
      </w:r>
      <w:r w:rsidRPr="00F24F28">
        <w:rPr>
          <w:rFonts w:ascii="Times New Roman" w:hAnsi="Times New Roman" w:cs="Times New Roman"/>
          <w:lang w:val="en-GB"/>
        </w:rPr>
        <w:tab/>
        <w:t xml:space="preserve">Monteiro, P. M. S. </w:t>
      </w:r>
      <w:r w:rsidRPr="00F24F28">
        <w:rPr>
          <w:rFonts w:ascii="Times New Roman" w:hAnsi="Times New Roman" w:cs="Times New Roman"/>
          <w:i/>
          <w:iCs/>
          <w:lang w:val="en-GB"/>
        </w:rPr>
        <w:t>et al.</w:t>
      </w:r>
      <w:r w:rsidRPr="00F24F28">
        <w:rPr>
          <w:rFonts w:ascii="Times New Roman" w:hAnsi="Times New Roman" w:cs="Times New Roman"/>
          <w:lang w:val="en-GB"/>
        </w:rPr>
        <w:t xml:space="preserve"> Intraseasonal variability linked to sampling alias in air-sea CO</w:t>
      </w:r>
      <w:r w:rsidRPr="00F24F28">
        <w:rPr>
          <w:rFonts w:ascii="Times New Roman" w:hAnsi="Times New Roman" w:cs="Times New Roman"/>
          <w:vertAlign w:val="subscript"/>
          <w:lang w:val="en-GB"/>
        </w:rPr>
        <w:t>2</w:t>
      </w:r>
      <w:r w:rsidRPr="00F24F28">
        <w:rPr>
          <w:rFonts w:ascii="Times New Roman" w:hAnsi="Times New Roman" w:cs="Times New Roman"/>
          <w:lang w:val="en-GB"/>
        </w:rPr>
        <w:t xml:space="preserve"> fluxes in the Southern Ocean: Alias in Air-Sea CO</w:t>
      </w:r>
      <w:r w:rsidRPr="00F24F28">
        <w:rPr>
          <w:rFonts w:ascii="Times New Roman" w:hAnsi="Times New Roman" w:cs="Times New Roman"/>
          <w:vertAlign w:val="subscript"/>
          <w:lang w:val="en-GB"/>
        </w:rPr>
        <w:t>2</w:t>
      </w:r>
      <w:r w:rsidRPr="00F24F28">
        <w:rPr>
          <w:rFonts w:ascii="Times New Roman" w:hAnsi="Times New Roman" w:cs="Times New Roman"/>
          <w:lang w:val="en-GB"/>
        </w:rPr>
        <w:t xml:space="preserve"> Fluxes. </w:t>
      </w:r>
      <w:r w:rsidRPr="00F24F28">
        <w:rPr>
          <w:rFonts w:ascii="Times New Roman" w:hAnsi="Times New Roman" w:cs="Times New Roman"/>
          <w:i/>
          <w:iCs/>
          <w:lang w:val="en-GB"/>
        </w:rPr>
        <w:t>Geophys. Res. Lett.</w:t>
      </w:r>
      <w:r w:rsidRPr="00F24F28">
        <w:rPr>
          <w:rFonts w:ascii="Times New Roman" w:hAnsi="Times New Roman" w:cs="Times New Roman"/>
          <w:lang w:val="en-GB"/>
        </w:rPr>
        <w:t xml:space="preserve"> </w:t>
      </w:r>
      <w:r w:rsidRPr="00F24F28">
        <w:rPr>
          <w:rFonts w:ascii="Times New Roman" w:hAnsi="Times New Roman" w:cs="Times New Roman"/>
          <w:b/>
          <w:bCs/>
          <w:lang w:val="en-GB"/>
        </w:rPr>
        <w:t>42</w:t>
      </w:r>
      <w:r w:rsidRPr="00F24F28">
        <w:rPr>
          <w:rFonts w:ascii="Times New Roman" w:hAnsi="Times New Roman" w:cs="Times New Roman"/>
          <w:lang w:val="en-GB"/>
        </w:rPr>
        <w:t>, 8507–8514 (2015).</w:t>
      </w:r>
    </w:p>
    <w:p w14:paraId="63206D01" w14:textId="4EAA0989" w:rsidR="00D20426" w:rsidRPr="00F24F28" w:rsidRDefault="00A7370D" w:rsidP="00A7370D">
      <w:pPr>
        <w:rPr>
          <w:rFonts w:ascii="Times New Roman" w:hAnsi="Times New Roman" w:cs="Times New Roman"/>
          <w:lang w:val="en-US"/>
        </w:rPr>
      </w:pPr>
      <w:r w:rsidRPr="00F24F28">
        <w:rPr>
          <w:rFonts w:ascii="Times New Roman" w:hAnsi="Times New Roman" w:cs="Times New Roman"/>
          <w:lang w:val="en-US"/>
        </w:rPr>
        <w:fldChar w:fldCharType="end"/>
      </w:r>
    </w:p>
    <w:sectPr w:rsidR="00D20426" w:rsidRPr="00F24F28" w:rsidSect="00A737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24FAF" w14:textId="77777777" w:rsidR="0027604F" w:rsidRDefault="0027604F" w:rsidP="004539FB">
      <w:pPr>
        <w:spacing w:after="0" w:line="240" w:lineRule="auto"/>
      </w:pPr>
      <w:r>
        <w:separator/>
      </w:r>
    </w:p>
  </w:endnote>
  <w:endnote w:type="continuationSeparator" w:id="0">
    <w:p w14:paraId="6211DA59" w14:textId="77777777" w:rsidR="0027604F" w:rsidRDefault="0027604F" w:rsidP="0045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5341D" w14:textId="77777777" w:rsidR="008676D2" w:rsidRDefault="00867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EC6A5" w14:textId="77777777" w:rsidR="0027604F" w:rsidRDefault="0027604F" w:rsidP="004539FB">
      <w:pPr>
        <w:spacing w:after="0" w:line="240" w:lineRule="auto"/>
      </w:pPr>
      <w:r>
        <w:separator/>
      </w:r>
    </w:p>
  </w:footnote>
  <w:footnote w:type="continuationSeparator" w:id="0">
    <w:p w14:paraId="5FE83DC2" w14:textId="77777777" w:rsidR="0027604F" w:rsidRDefault="0027604F" w:rsidP="00453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86177"/>
    <w:multiLevelType w:val="multilevel"/>
    <w:tmpl w:val="A2CE2A7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08177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E9E"/>
    <w:rsid w:val="00002DF5"/>
    <w:rsid w:val="000064B3"/>
    <w:rsid w:val="00007F43"/>
    <w:rsid w:val="00012489"/>
    <w:rsid w:val="0001262C"/>
    <w:rsid w:val="000136A1"/>
    <w:rsid w:val="000137D6"/>
    <w:rsid w:val="00014A76"/>
    <w:rsid w:val="00020A46"/>
    <w:rsid w:val="00023AB7"/>
    <w:rsid w:val="00023CB0"/>
    <w:rsid w:val="0003468C"/>
    <w:rsid w:val="00037710"/>
    <w:rsid w:val="000457CB"/>
    <w:rsid w:val="00045A41"/>
    <w:rsid w:val="00045C94"/>
    <w:rsid w:val="00046921"/>
    <w:rsid w:val="00047020"/>
    <w:rsid w:val="000476F6"/>
    <w:rsid w:val="0004774A"/>
    <w:rsid w:val="00047BA7"/>
    <w:rsid w:val="00063A1F"/>
    <w:rsid w:val="00064AE4"/>
    <w:rsid w:val="00064F4E"/>
    <w:rsid w:val="00070818"/>
    <w:rsid w:val="000717FC"/>
    <w:rsid w:val="00071833"/>
    <w:rsid w:val="000742A6"/>
    <w:rsid w:val="000826BC"/>
    <w:rsid w:val="00082DC5"/>
    <w:rsid w:val="000841C4"/>
    <w:rsid w:val="00086E5E"/>
    <w:rsid w:val="00096692"/>
    <w:rsid w:val="000A0904"/>
    <w:rsid w:val="000C085C"/>
    <w:rsid w:val="000C1ECB"/>
    <w:rsid w:val="000C31BF"/>
    <w:rsid w:val="000C7721"/>
    <w:rsid w:val="000D0BEC"/>
    <w:rsid w:val="000D2108"/>
    <w:rsid w:val="000E1964"/>
    <w:rsid w:val="000F3844"/>
    <w:rsid w:val="000F3E30"/>
    <w:rsid w:val="000F5990"/>
    <w:rsid w:val="001055A3"/>
    <w:rsid w:val="00116507"/>
    <w:rsid w:val="00116556"/>
    <w:rsid w:val="001233C2"/>
    <w:rsid w:val="001427B2"/>
    <w:rsid w:val="00146C13"/>
    <w:rsid w:val="00153DA1"/>
    <w:rsid w:val="001561C8"/>
    <w:rsid w:val="00160D0F"/>
    <w:rsid w:val="00162C94"/>
    <w:rsid w:val="001801A0"/>
    <w:rsid w:val="0018343C"/>
    <w:rsid w:val="00187762"/>
    <w:rsid w:val="001A0FB8"/>
    <w:rsid w:val="001A16EB"/>
    <w:rsid w:val="001A71C2"/>
    <w:rsid w:val="001B38C4"/>
    <w:rsid w:val="001B64D9"/>
    <w:rsid w:val="001B7153"/>
    <w:rsid w:val="001D0C66"/>
    <w:rsid w:val="001D527D"/>
    <w:rsid w:val="001D583D"/>
    <w:rsid w:val="001E06B6"/>
    <w:rsid w:val="001E1B30"/>
    <w:rsid w:val="001E4438"/>
    <w:rsid w:val="001E5492"/>
    <w:rsid w:val="001F096C"/>
    <w:rsid w:val="001F5341"/>
    <w:rsid w:val="001F5809"/>
    <w:rsid w:val="002048BE"/>
    <w:rsid w:val="00206D59"/>
    <w:rsid w:val="002126E8"/>
    <w:rsid w:val="00215C5F"/>
    <w:rsid w:val="00233DE5"/>
    <w:rsid w:val="00234177"/>
    <w:rsid w:val="00236925"/>
    <w:rsid w:val="0023752D"/>
    <w:rsid w:val="002439E8"/>
    <w:rsid w:val="002462E3"/>
    <w:rsid w:val="00252817"/>
    <w:rsid w:val="002606AF"/>
    <w:rsid w:val="002606B4"/>
    <w:rsid w:val="0026421C"/>
    <w:rsid w:val="0027604F"/>
    <w:rsid w:val="0028002F"/>
    <w:rsid w:val="00280D3F"/>
    <w:rsid w:val="00281073"/>
    <w:rsid w:val="0028337F"/>
    <w:rsid w:val="00284EF6"/>
    <w:rsid w:val="00287676"/>
    <w:rsid w:val="0029214E"/>
    <w:rsid w:val="00292D3D"/>
    <w:rsid w:val="002A3FC2"/>
    <w:rsid w:val="002B20AA"/>
    <w:rsid w:val="002B66C8"/>
    <w:rsid w:val="002B6FA0"/>
    <w:rsid w:val="002C309B"/>
    <w:rsid w:val="002D07CD"/>
    <w:rsid w:val="002D528C"/>
    <w:rsid w:val="002D6337"/>
    <w:rsid w:val="002D64F6"/>
    <w:rsid w:val="002E0F27"/>
    <w:rsid w:val="002E1907"/>
    <w:rsid w:val="002E1E3B"/>
    <w:rsid w:val="002E564B"/>
    <w:rsid w:val="0030028D"/>
    <w:rsid w:val="00301751"/>
    <w:rsid w:val="0030247A"/>
    <w:rsid w:val="00311FFD"/>
    <w:rsid w:val="00315A69"/>
    <w:rsid w:val="00315B21"/>
    <w:rsid w:val="00321BF6"/>
    <w:rsid w:val="00324C51"/>
    <w:rsid w:val="00331B54"/>
    <w:rsid w:val="003418BF"/>
    <w:rsid w:val="0034295B"/>
    <w:rsid w:val="00351F98"/>
    <w:rsid w:val="00353741"/>
    <w:rsid w:val="003566B9"/>
    <w:rsid w:val="00360DC8"/>
    <w:rsid w:val="00361B39"/>
    <w:rsid w:val="00365D34"/>
    <w:rsid w:val="003904EF"/>
    <w:rsid w:val="00392269"/>
    <w:rsid w:val="00393D87"/>
    <w:rsid w:val="00397860"/>
    <w:rsid w:val="003A0373"/>
    <w:rsid w:val="003A3FCC"/>
    <w:rsid w:val="003A4519"/>
    <w:rsid w:val="003A58BA"/>
    <w:rsid w:val="003A7EB3"/>
    <w:rsid w:val="003C6B29"/>
    <w:rsid w:val="003D26A4"/>
    <w:rsid w:val="003D3B84"/>
    <w:rsid w:val="003D6AE2"/>
    <w:rsid w:val="003E6B6F"/>
    <w:rsid w:val="003F197F"/>
    <w:rsid w:val="003F34D6"/>
    <w:rsid w:val="003F4E1C"/>
    <w:rsid w:val="003F533F"/>
    <w:rsid w:val="003F5AE6"/>
    <w:rsid w:val="003F5D56"/>
    <w:rsid w:val="004022AD"/>
    <w:rsid w:val="00402506"/>
    <w:rsid w:val="00411AE8"/>
    <w:rsid w:val="00414739"/>
    <w:rsid w:val="0041762A"/>
    <w:rsid w:val="0042253F"/>
    <w:rsid w:val="00425C55"/>
    <w:rsid w:val="004320F8"/>
    <w:rsid w:val="00432C5A"/>
    <w:rsid w:val="004375BE"/>
    <w:rsid w:val="004423F1"/>
    <w:rsid w:val="00442570"/>
    <w:rsid w:val="0044789C"/>
    <w:rsid w:val="004478A9"/>
    <w:rsid w:val="00450DE4"/>
    <w:rsid w:val="004539FB"/>
    <w:rsid w:val="00471A3B"/>
    <w:rsid w:val="0047399A"/>
    <w:rsid w:val="004805FA"/>
    <w:rsid w:val="00480BDC"/>
    <w:rsid w:val="00483727"/>
    <w:rsid w:val="004843BD"/>
    <w:rsid w:val="00484BD1"/>
    <w:rsid w:val="00491682"/>
    <w:rsid w:val="00494DF0"/>
    <w:rsid w:val="004A4F2E"/>
    <w:rsid w:val="004A586D"/>
    <w:rsid w:val="004B1DD2"/>
    <w:rsid w:val="004B5F91"/>
    <w:rsid w:val="004C127E"/>
    <w:rsid w:val="004C725C"/>
    <w:rsid w:val="004D726F"/>
    <w:rsid w:val="004E0864"/>
    <w:rsid w:val="004E4877"/>
    <w:rsid w:val="00500078"/>
    <w:rsid w:val="005063C6"/>
    <w:rsid w:val="0051618D"/>
    <w:rsid w:val="005174B2"/>
    <w:rsid w:val="005212C3"/>
    <w:rsid w:val="005278CF"/>
    <w:rsid w:val="00532CAA"/>
    <w:rsid w:val="00535645"/>
    <w:rsid w:val="00550334"/>
    <w:rsid w:val="00553EC4"/>
    <w:rsid w:val="00556D92"/>
    <w:rsid w:val="00557AD9"/>
    <w:rsid w:val="00557CC0"/>
    <w:rsid w:val="005618E1"/>
    <w:rsid w:val="00576EAA"/>
    <w:rsid w:val="005779B7"/>
    <w:rsid w:val="00586374"/>
    <w:rsid w:val="00591098"/>
    <w:rsid w:val="005936D3"/>
    <w:rsid w:val="005A4057"/>
    <w:rsid w:val="005B2482"/>
    <w:rsid w:val="005B7F82"/>
    <w:rsid w:val="005C10B9"/>
    <w:rsid w:val="005C340C"/>
    <w:rsid w:val="005C63D7"/>
    <w:rsid w:val="005C6E73"/>
    <w:rsid w:val="005D1ED3"/>
    <w:rsid w:val="005D268A"/>
    <w:rsid w:val="005D57CD"/>
    <w:rsid w:val="005D6F7A"/>
    <w:rsid w:val="005E3E26"/>
    <w:rsid w:val="005E72B8"/>
    <w:rsid w:val="005F3B40"/>
    <w:rsid w:val="005F5175"/>
    <w:rsid w:val="00602652"/>
    <w:rsid w:val="00602F71"/>
    <w:rsid w:val="006042FC"/>
    <w:rsid w:val="00607267"/>
    <w:rsid w:val="00613E0A"/>
    <w:rsid w:val="00622D09"/>
    <w:rsid w:val="00625518"/>
    <w:rsid w:val="00625D54"/>
    <w:rsid w:val="00627F09"/>
    <w:rsid w:val="006302FE"/>
    <w:rsid w:val="006316B3"/>
    <w:rsid w:val="00633B14"/>
    <w:rsid w:val="00636420"/>
    <w:rsid w:val="00643D07"/>
    <w:rsid w:val="0065294F"/>
    <w:rsid w:val="00656FB2"/>
    <w:rsid w:val="00657D86"/>
    <w:rsid w:val="0066380D"/>
    <w:rsid w:val="006641E2"/>
    <w:rsid w:val="006642B8"/>
    <w:rsid w:val="006674D6"/>
    <w:rsid w:val="006815D8"/>
    <w:rsid w:val="006820CE"/>
    <w:rsid w:val="006929C9"/>
    <w:rsid w:val="00695281"/>
    <w:rsid w:val="00696008"/>
    <w:rsid w:val="006A1386"/>
    <w:rsid w:val="006A1F36"/>
    <w:rsid w:val="006A2682"/>
    <w:rsid w:val="006A4BEF"/>
    <w:rsid w:val="006B2D89"/>
    <w:rsid w:val="006D4543"/>
    <w:rsid w:val="006E75A8"/>
    <w:rsid w:val="00707AE6"/>
    <w:rsid w:val="007108FB"/>
    <w:rsid w:val="00725279"/>
    <w:rsid w:val="007358C4"/>
    <w:rsid w:val="007366BF"/>
    <w:rsid w:val="00742B83"/>
    <w:rsid w:val="0074776E"/>
    <w:rsid w:val="007512D5"/>
    <w:rsid w:val="00755320"/>
    <w:rsid w:val="007554B9"/>
    <w:rsid w:val="00764909"/>
    <w:rsid w:val="00766687"/>
    <w:rsid w:val="00767989"/>
    <w:rsid w:val="00774E8B"/>
    <w:rsid w:val="007760C7"/>
    <w:rsid w:val="007803C3"/>
    <w:rsid w:val="007833EB"/>
    <w:rsid w:val="00783C03"/>
    <w:rsid w:val="00791DCA"/>
    <w:rsid w:val="00792C0F"/>
    <w:rsid w:val="00795A85"/>
    <w:rsid w:val="007C4636"/>
    <w:rsid w:val="007D6DD4"/>
    <w:rsid w:val="007D721C"/>
    <w:rsid w:val="007D7792"/>
    <w:rsid w:val="007D7943"/>
    <w:rsid w:val="007E3F47"/>
    <w:rsid w:val="007E7AC0"/>
    <w:rsid w:val="007F53E1"/>
    <w:rsid w:val="00802772"/>
    <w:rsid w:val="00817791"/>
    <w:rsid w:val="00820A83"/>
    <w:rsid w:val="0082194C"/>
    <w:rsid w:val="008260AA"/>
    <w:rsid w:val="00830A79"/>
    <w:rsid w:val="008333F4"/>
    <w:rsid w:val="00834564"/>
    <w:rsid w:val="00845F73"/>
    <w:rsid w:val="00850C83"/>
    <w:rsid w:val="00852765"/>
    <w:rsid w:val="00857A55"/>
    <w:rsid w:val="00857FA4"/>
    <w:rsid w:val="00860AD0"/>
    <w:rsid w:val="008676D2"/>
    <w:rsid w:val="00875700"/>
    <w:rsid w:val="008811A3"/>
    <w:rsid w:val="008822F8"/>
    <w:rsid w:val="0088312E"/>
    <w:rsid w:val="008A3061"/>
    <w:rsid w:val="008A3EA8"/>
    <w:rsid w:val="008B354E"/>
    <w:rsid w:val="008B5957"/>
    <w:rsid w:val="008B59C6"/>
    <w:rsid w:val="008C1214"/>
    <w:rsid w:val="008C156C"/>
    <w:rsid w:val="008C1F02"/>
    <w:rsid w:val="008C7AB1"/>
    <w:rsid w:val="008D0499"/>
    <w:rsid w:val="008D0F3D"/>
    <w:rsid w:val="008D35A0"/>
    <w:rsid w:val="008D55A0"/>
    <w:rsid w:val="008E249E"/>
    <w:rsid w:val="008E3100"/>
    <w:rsid w:val="008E42CC"/>
    <w:rsid w:val="008F0291"/>
    <w:rsid w:val="008F324D"/>
    <w:rsid w:val="008F4EC6"/>
    <w:rsid w:val="009004D8"/>
    <w:rsid w:val="00901063"/>
    <w:rsid w:val="009039FF"/>
    <w:rsid w:val="00904020"/>
    <w:rsid w:val="00921784"/>
    <w:rsid w:val="00921C24"/>
    <w:rsid w:val="00923DE4"/>
    <w:rsid w:val="009274E0"/>
    <w:rsid w:val="00930B97"/>
    <w:rsid w:val="00932001"/>
    <w:rsid w:val="00934B62"/>
    <w:rsid w:val="00946B4F"/>
    <w:rsid w:val="0095298A"/>
    <w:rsid w:val="00962474"/>
    <w:rsid w:val="009628C5"/>
    <w:rsid w:val="0096653E"/>
    <w:rsid w:val="009702BF"/>
    <w:rsid w:val="009743C8"/>
    <w:rsid w:val="009757AC"/>
    <w:rsid w:val="00977973"/>
    <w:rsid w:val="009972D0"/>
    <w:rsid w:val="009A4BFB"/>
    <w:rsid w:val="009B01F4"/>
    <w:rsid w:val="009B2347"/>
    <w:rsid w:val="009B63CC"/>
    <w:rsid w:val="009B667D"/>
    <w:rsid w:val="009B71A9"/>
    <w:rsid w:val="009B743B"/>
    <w:rsid w:val="009D527D"/>
    <w:rsid w:val="009F10C3"/>
    <w:rsid w:val="009F3FCD"/>
    <w:rsid w:val="009F6672"/>
    <w:rsid w:val="009F6B6D"/>
    <w:rsid w:val="00A0209C"/>
    <w:rsid w:val="00A04161"/>
    <w:rsid w:val="00A071D5"/>
    <w:rsid w:val="00A10B1A"/>
    <w:rsid w:val="00A2265C"/>
    <w:rsid w:val="00A22A91"/>
    <w:rsid w:val="00A243C7"/>
    <w:rsid w:val="00A245EB"/>
    <w:rsid w:val="00A26D48"/>
    <w:rsid w:val="00A36C04"/>
    <w:rsid w:val="00A42B40"/>
    <w:rsid w:val="00A47C88"/>
    <w:rsid w:val="00A5667E"/>
    <w:rsid w:val="00A60255"/>
    <w:rsid w:val="00A736CB"/>
    <w:rsid w:val="00A7370D"/>
    <w:rsid w:val="00A73842"/>
    <w:rsid w:val="00A73E67"/>
    <w:rsid w:val="00A762B4"/>
    <w:rsid w:val="00A80F83"/>
    <w:rsid w:val="00A83873"/>
    <w:rsid w:val="00A8665B"/>
    <w:rsid w:val="00AA6D67"/>
    <w:rsid w:val="00AB495E"/>
    <w:rsid w:val="00AB5AB4"/>
    <w:rsid w:val="00AB7E97"/>
    <w:rsid w:val="00AC0B89"/>
    <w:rsid w:val="00AD67EB"/>
    <w:rsid w:val="00AE55A6"/>
    <w:rsid w:val="00AF32AA"/>
    <w:rsid w:val="00AF3783"/>
    <w:rsid w:val="00B05E31"/>
    <w:rsid w:val="00B119E9"/>
    <w:rsid w:val="00B1472A"/>
    <w:rsid w:val="00B171AF"/>
    <w:rsid w:val="00B2120A"/>
    <w:rsid w:val="00B2199E"/>
    <w:rsid w:val="00B2310C"/>
    <w:rsid w:val="00B2770D"/>
    <w:rsid w:val="00B32AE5"/>
    <w:rsid w:val="00B34EB2"/>
    <w:rsid w:val="00B35922"/>
    <w:rsid w:val="00B42480"/>
    <w:rsid w:val="00B429FD"/>
    <w:rsid w:val="00B42D3A"/>
    <w:rsid w:val="00B4478E"/>
    <w:rsid w:val="00B56D30"/>
    <w:rsid w:val="00B57C0C"/>
    <w:rsid w:val="00B57FD6"/>
    <w:rsid w:val="00B62B95"/>
    <w:rsid w:val="00B71439"/>
    <w:rsid w:val="00B75183"/>
    <w:rsid w:val="00B8326B"/>
    <w:rsid w:val="00B944FF"/>
    <w:rsid w:val="00B94B96"/>
    <w:rsid w:val="00B94E66"/>
    <w:rsid w:val="00B96065"/>
    <w:rsid w:val="00B970A7"/>
    <w:rsid w:val="00BA19E6"/>
    <w:rsid w:val="00BB00E2"/>
    <w:rsid w:val="00BB3D50"/>
    <w:rsid w:val="00BB77AD"/>
    <w:rsid w:val="00BC007F"/>
    <w:rsid w:val="00BC39BA"/>
    <w:rsid w:val="00BC769F"/>
    <w:rsid w:val="00BD05D5"/>
    <w:rsid w:val="00BD34DC"/>
    <w:rsid w:val="00BD4EDE"/>
    <w:rsid w:val="00BD7F1F"/>
    <w:rsid w:val="00BE72BD"/>
    <w:rsid w:val="00BF06A0"/>
    <w:rsid w:val="00BF7FA7"/>
    <w:rsid w:val="00C01C3B"/>
    <w:rsid w:val="00C03DCE"/>
    <w:rsid w:val="00C11C2B"/>
    <w:rsid w:val="00C123B5"/>
    <w:rsid w:val="00C2361E"/>
    <w:rsid w:val="00C241A4"/>
    <w:rsid w:val="00C322AA"/>
    <w:rsid w:val="00C34AF5"/>
    <w:rsid w:val="00C41907"/>
    <w:rsid w:val="00C45FC7"/>
    <w:rsid w:val="00C47210"/>
    <w:rsid w:val="00C51CC4"/>
    <w:rsid w:val="00C6204B"/>
    <w:rsid w:val="00C71AE5"/>
    <w:rsid w:val="00C74C3E"/>
    <w:rsid w:val="00C76F73"/>
    <w:rsid w:val="00C76FB2"/>
    <w:rsid w:val="00C7781D"/>
    <w:rsid w:val="00C80DD1"/>
    <w:rsid w:val="00C82809"/>
    <w:rsid w:val="00C8601B"/>
    <w:rsid w:val="00C8612B"/>
    <w:rsid w:val="00C92DCC"/>
    <w:rsid w:val="00C97DFD"/>
    <w:rsid w:val="00CA1C02"/>
    <w:rsid w:val="00CA1C34"/>
    <w:rsid w:val="00CA2BE4"/>
    <w:rsid w:val="00CA3841"/>
    <w:rsid w:val="00CB4A3C"/>
    <w:rsid w:val="00CB5A0B"/>
    <w:rsid w:val="00CB7281"/>
    <w:rsid w:val="00CC6B49"/>
    <w:rsid w:val="00CD13BE"/>
    <w:rsid w:val="00CD6E72"/>
    <w:rsid w:val="00CE03A2"/>
    <w:rsid w:val="00CE4F78"/>
    <w:rsid w:val="00CF299F"/>
    <w:rsid w:val="00CF33B5"/>
    <w:rsid w:val="00D0573F"/>
    <w:rsid w:val="00D07EFE"/>
    <w:rsid w:val="00D20426"/>
    <w:rsid w:val="00D2490F"/>
    <w:rsid w:val="00D2661D"/>
    <w:rsid w:val="00D31356"/>
    <w:rsid w:val="00D33313"/>
    <w:rsid w:val="00D33B69"/>
    <w:rsid w:val="00D3424B"/>
    <w:rsid w:val="00D36196"/>
    <w:rsid w:val="00D36BD2"/>
    <w:rsid w:val="00D36FF2"/>
    <w:rsid w:val="00D45D67"/>
    <w:rsid w:val="00D50229"/>
    <w:rsid w:val="00D53733"/>
    <w:rsid w:val="00D54EDA"/>
    <w:rsid w:val="00D55C09"/>
    <w:rsid w:val="00D578D6"/>
    <w:rsid w:val="00D57B63"/>
    <w:rsid w:val="00D6486E"/>
    <w:rsid w:val="00D90EC4"/>
    <w:rsid w:val="00DB21EC"/>
    <w:rsid w:val="00DB3BEB"/>
    <w:rsid w:val="00DB49D9"/>
    <w:rsid w:val="00DB5C19"/>
    <w:rsid w:val="00DB788D"/>
    <w:rsid w:val="00DC1AE9"/>
    <w:rsid w:val="00DD0D6D"/>
    <w:rsid w:val="00DD31D8"/>
    <w:rsid w:val="00DD4F20"/>
    <w:rsid w:val="00DD51DE"/>
    <w:rsid w:val="00DE05BC"/>
    <w:rsid w:val="00DE6AEB"/>
    <w:rsid w:val="00DF35CE"/>
    <w:rsid w:val="00E05D49"/>
    <w:rsid w:val="00E140E1"/>
    <w:rsid w:val="00E15811"/>
    <w:rsid w:val="00E15C12"/>
    <w:rsid w:val="00E205F7"/>
    <w:rsid w:val="00E21150"/>
    <w:rsid w:val="00E26062"/>
    <w:rsid w:val="00E3075B"/>
    <w:rsid w:val="00E31680"/>
    <w:rsid w:val="00E32A9F"/>
    <w:rsid w:val="00E42B2A"/>
    <w:rsid w:val="00E431F8"/>
    <w:rsid w:val="00E47D04"/>
    <w:rsid w:val="00E50180"/>
    <w:rsid w:val="00E57C9F"/>
    <w:rsid w:val="00E61989"/>
    <w:rsid w:val="00E704E4"/>
    <w:rsid w:val="00E728B0"/>
    <w:rsid w:val="00E85B83"/>
    <w:rsid w:val="00E91838"/>
    <w:rsid w:val="00E9457A"/>
    <w:rsid w:val="00E97CC8"/>
    <w:rsid w:val="00EA6533"/>
    <w:rsid w:val="00EB22C5"/>
    <w:rsid w:val="00EB50EE"/>
    <w:rsid w:val="00EB7C5E"/>
    <w:rsid w:val="00EC225E"/>
    <w:rsid w:val="00EC5A28"/>
    <w:rsid w:val="00ED4F96"/>
    <w:rsid w:val="00ED7618"/>
    <w:rsid w:val="00EE131C"/>
    <w:rsid w:val="00EE298F"/>
    <w:rsid w:val="00EE501F"/>
    <w:rsid w:val="00EF4C6C"/>
    <w:rsid w:val="00EF5E72"/>
    <w:rsid w:val="00F01107"/>
    <w:rsid w:val="00F02DDF"/>
    <w:rsid w:val="00F039D9"/>
    <w:rsid w:val="00F046FE"/>
    <w:rsid w:val="00F04E9E"/>
    <w:rsid w:val="00F05B91"/>
    <w:rsid w:val="00F07080"/>
    <w:rsid w:val="00F074B1"/>
    <w:rsid w:val="00F14926"/>
    <w:rsid w:val="00F214DE"/>
    <w:rsid w:val="00F235DA"/>
    <w:rsid w:val="00F23973"/>
    <w:rsid w:val="00F24F28"/>
    <w:rsid w:val="00F424A8"/>
    <w:rsid w:val="00F43590"/>
    <w:rsid w:val="00F45020"/>
    <w:rsid w:val="00F45C4B"/>
    <w:rsid w:val="00F507EC"/>
    <w:rsid w:val="00F51C64"/>
    <w:rsid w:val="00F522EC"/>
    <w:rsid w:val="00F52ED1"/>
    <w:rsid w:val="00F54EED"/>
    <w:rsid w:val="00F56243"/>
    <w:rsid w:val="00F63715"/>
    <w:rsid w:val="00F66BF7"/>
    <w:rsid w:val="00F74374"/>
    <w:rsid w:val="00F76312"/>
    <w:rsid w:val="00F76DE4"/>
    <w:rsid w:val="00F8119F"/>
    <w:rsid w:val="00F8441B"/>
    <w:rsid w:val="00FA3EE1"/>
    <w:rsid w:val="00FD171A"/>
    <w:rsid w:val="00FD24D6"/>
    <w:rsid w:val="00FE4F85"/>
    <w:rsid w:val="00FE68E7"/>
    <w:rsid w:val="00FF0724"/>
    <w:rsid w:val="00FF1A08"/>
    <w:rsid w:val="00FF2251"/>
    <w:rsid w:val="00FF2F9B"/>
    <w:rsid w:val="21827A9C"/>
    <w:rsid w:val="25152EC5"/>
    <w:rsid w:val="2B95E256"/>
    <w:rsid w:val="2BC515BC"/>
    <w:rsid w:val="30E8C34B"/>
    <w:rsid w:val="33F960AE"/>
    <w:rsid w:val="36CE449D"/>
    <w:rsid w:val="36D972FC"/>
    <w:rsid w:val="3A90B4EB"/>
    <w:rsid w:val="3CEE1B12"/>
    <w:rsid w:val="410F5368"/>
    <w:rsid w:val="41B0246F"/>
    <w:rsid w:val="41D8F266"/>
    <w:rsid w:val="43FBF3FA"/>
    <w:rsid w:val="446EEC97"/>
    <w:rsid w:val="455B9AA9"/>
    <w:rsid w:val="46C9F317"/>
    <w:rsid w:val="48699B78"/>
    <w:rsid w:val="4A89CF7E"/>
    <w:rsid w:val="4E78FD6B"/>
    <w:rsid w:val="5442986E"/>
    <w:rsid w:val="55CBFBBF"/>
    <w:rsid w:val="564604B8"/>
    <w:rsid w:val="5E8D03E7"/>
    <w:rsid w:val="68622E10"/>
    <w:rsid w:val="6AFCFEBC"/>
    <w:rsid w:val="70667745"/>
    <w:rsid w:val="79A0887E"/>
    <w:rsid w:val="7ACBEB3E"/>
    <w:rsid w:val="7FD3F3A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09BB4"/>
  <w15:chartTrackingRefBased/>
  <w15:docId w15:val="{17561057-7A0B-7048-ABB3-62A28AC2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4E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E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E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E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E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E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E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E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E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E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4E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E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E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E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E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E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E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E9E"/>
    <w:rPr>
      <w:rFonts w:eastAsiaTheme="majorEastAsia" w:cstheme="majorBidi"/>
      <w:color w:val="272727" w:themeColor="text1" w:themeTint="D8"/>
    </w:rPr>
  </w:style>
  <w:style w:type="paragraph" w:styleId="Title">
    <w:name w:val="Title"/>
    <w:basedOn w:val="Normal"/>
    <w:next w:val="Normal"/>
    <w:link w:val="TitleChar"/>
    <w:uiPriority w:val="10"/>
    <w:qFormat/>
    <w:rsid w:val="00F04E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E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E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E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E9E"/>
    <w:pPr>
      <w:spacing w:before="160"/>
      <w:jc w:val="center"/>
    </w:pPr>
    <w:rPr>
      <w:i/>
      <w:iCs/>
      <w:color w:val="404040" w:themeColor="text1" w:themeTint="BF"/>
    </w:rPr>
  </w:style>
  <w:style w:type="character" w:customStyle="1" w:styleId="QuoteChar">
    <w:name w:val="Quote Char"/>
    <w:basedOn w:val="DefaultParagraphFont"/>
    <w:link w:val="Quote"/>
    <w:uiPriority w:val="29"/>
    <w:rsid w:val="00F04E9E"/>
    <w:rPr>
      <w:i/>
      <w:iCs/>
      <w:color w:val="404040" w:themeColor="text1" w:themeTint="BF"/>
    </w:rPr>
  </w:style>
  <w:style w:type="paragraph" w:styleId="ListParagraph">
    <w:name w:val="List Paragraph"/>
    <w:basedOn w:val="Normal"/>
    <w:uiPriority w:val="34"/>
    <w:qFormat/>
    <w:rsid w:val="00F04E9E"/>
    <w:pPr>
      <w:ind w:left="720"/>
      <w:contextualSpacing/>
    </w:pPr>
  </w:style>
  <w:style w:type="character" w:styleId="IntenseEmphasis">
    <w:name w:val="Intense Emphasis"/>
    <w:basedOn w:val="DefaultParagraphFont"/>
    <w:uiPriority w:val="21"/>
    <w:qFormat/>
    <w:rsid w:val="00F04E9E"/>
    <w:rPr>
      <w:i/>
      <w:iCs/>
      <w:color w:val="0F4761" w:themeColor="accent1" w:themeShade="BF"/>
    </w:rPr>
  </w:style>
  <w:style w:type="paragraph" w:styleId="IntenseQuote">
    <w:name w:val="Intense Quote"/>
    <w:basedOn w:val="Normal"/>
    <w:next w:val="Normal"/>
    <w:link w:val="IntenseQuoteChar"/>
    <w:uiPriority w:val="30"/>
    <w:qFormat/>
    <w:rsid w:val="00F04E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E9E"/>
    <w:rPr>
      <w:i/>
      <w:iCs/>
      <w:color w:val="0F4761" w:themeColor="accent1" w:themeShade="BF"/>
    </w:rPr>
  </w:style>
  <w:style w:type="character" w:styleId="IntenseReference">
    <w:name w:val="Intense Reference"/>
    <w:basedOn w:val="DefaultParagraphFont"/>
    <w:uiPriority w:val="32"/>
    <w:qFormat/>
    <w:rsid w:val="00F04E9E"/>
    <w:rPr>
      <w:b/>
      <w:bCs/>
      <w:smallCaps/>
      <w:color w:val="0F4761" w:themeColor="accent1" w:themeShade="BF"/>
      <w:spacing w:val="5"/>
    </w:rPr>
  </w:style>
  <w:style w:type="table" w:styleId="TableGrid">
    <w:name w:val="Table Grid"/>
    <w:basedOn w:val="TableNormal"/>
    <w:uiPriority w:val="39"/>
    <w:rsid w:val="00B2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s2">
    <w:name w:val="s2"/>
    <w:basedOn w:val="DefaultParagraphFont"/>
    <w:rsid w:val="004E4877"/>
  </w:style>
  <w:style w:type="paragraph" w:styleId="Bibliography">
    <w:name w:val="Bibliography"/>
    <w:basedOn w:val="Normal"/>
    <w:next w:val="Normal"/>
    <w:uiPriority w:val="37"/>
    <w:unhideWhenUsed/>
    <w:rsid w:val="00556D92"/>
    <w:pPr>
      <w:tabs>
        <w:tab w:val="left" w:pos="260"/>
      </w:tabs>
      <w:spacing w:after="0" w:line="480" w:lineRule="auto"/>
      <w:ind w:left="264" w:hanging="264"/>
    </w:pPr>
  </w:style>
  <w:style w:type="paragraph" w:styleId="Header">
    <w:name w:val="header"/>
    <w:basedOn w:val="Normal"/>
    <w:link w:val="HeaderChar"/>
    <w:uiPriority w:val="99"/>
    <w:unhideWhenUsed/>
    <w:rsid w:val="00453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9FB"/>
  </w:style>
  <w:style w:type="paragraph" w:styleId="Footer">
    <w:name w:val="footer"/>
    <w:basedOn w:val="Normal"/>
    <w:link w:val="FooterChar"/>
    <w:uiPriority w:val="99"/>
    <w:unhideWhenUsed/>
    <w:rsid w:val="00453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9FB"/>
  </w:style>
  <w:style w:type="character" w:styleId="LineNumber">
    <w:name w:val="line number"/>
    <w:basedOn w:val="DefaultParagraphFont"/>
    <w:uiPriority w:val="99"/>
    <w:semiHidden/>
    <w:unhideWhenUsed/>
    <w:rsid w:val="00047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29263">
      <w:bodyDiv w:val="1"/>
      <w:marLeft w:val="0"/>
      <w:marRight w:val="0"/>
      <w:marTop w:val="0"/>
      <w:marBottom w:val="0"/>
      <w:divBdr>
        <w:top w:val="none" w:sz="0" w:space="0" w:color="auto"/>
        <w:left w:val="none" w:sz="0" w:space="0" w:color="auto"/>
        <w:bottom w:val="none" w:sz="0" w:space="0" w:color="auto"/>
        <w:right w:val="none" w:sz="0" w:space="0" w:color="auto"/>
      </w:divBdr>
      <w:divsChild>
        <w:div w:id="1117021608">
          <w:marLeft w:val="0"/>
          <w:marRight w:val="0"/>
          <w:marTop w:val="0"/>
          <w:marBottom w:val="0"/>
          <w:divBdr>
            <w:top w:val="none" w:sz="0" w:space="0" w:color="auto"/>
            <w:left w:val="none" w:sz="0" w:space="0" w:color="auto"/>
            <w:bottom w:val="none" w:sz="0" w:space="0" w:color="auto"/>
            <w:right w:val="none" w:sz="0" w:space="0" w:color="auto"/>
          </w:divBdr>
          <w:divsChild>
            <w:div w:id="36105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077">
      <w:bodyDiv w:val="1"/>
      <w:marLeft w:val="0"/>
      <w:marRight w:val="0"/>
      <w:marTop w:val="0"/>
      <w:marBottom w:val="0"/>
      <w:divBdr>
        <w:top w:val="none" w:sz="0" w:space="0" w:color="auto"/>
        <w:left w:val="none" w:sz="0" w:space="0" w:color="auto"/>
        <w:bottom w:val="none" w:sz="0" w:space="0" w:color="auto"/>
        <w:right w:val="none" w:sz="0" w:space="0" w:color="auto"/>
      </w:divBdr>
    </w:div>
    <w:div w:id="379746007">
      <w:bodyDiv w:val="1"/>
      <w:marLeft w:val="0"/>
      <w:marRight w:val="0"/>
      <w:marTop w:val="0"/>
      <w:marBottom w:val="0"/>
      <w:divBdr>
        <w:top w:val="none" w:sz="0" w:space="0" w:color="auto"/>
        <w:left w:val="none" w:sz="0" w:space="0" w:color="auto"/>
        <w:bottom w:val="none" w:sz="0" w:space="0" w:color="auto"/>
        <w:right w:val="none" w:sz="0" w:space="0" w:color="auto"/>
      </w:divBdr>
    </w:div>
    <w:div w:id="811874058">
      <w:bodyDiv w:val="1"/>
      <w:marLeft w:val="0"/>
      <w:marRight w:val="0"/>
      <w:marTop w:val="0"/>
      <w:marBottom w:val="0"/>
      <w:divBdr>
        <w:top w:val="none" w:sz="0" w:space="0" w:color="auto"/>
        <w:left w:val="none" w:sz="0" w:space="0" w:color="auto"/>
        <w:bottom w:val="none" w:sz="0" w:space="0" w:color="auto"/>
        <w:right w:val="none" w:sz="0" w:space="0" w:color="auto"/>
      </w:divBdr>
      <w:divsChild>
        <w:div w:id="643657507">
          <w:marLeft w:val="0"/>
          <w:marRight w:val="0"/>
          <w:marTop w:val="0"/>
          <w:marBottom w:val="0"/>
          <w:divBdr>
            <w:top w:val="none" w:sz="0" w:space="0" w:color="auto"/>
            <w:left w:val="none" w:sz="0" w:space="0" w:color="auto"/>
            <w:bottom w:val="none" w:sz="0" w:space="0" w:color="auto"/>
            <w:right w:val="none" w:sz="0" w:space="0" w:color="auto"/>
          </w:divBdr>
          <w:divsChild>
            <w:div w:id="661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2476">
      <w:bodyDiv w:val="1"/>
      <w:marLeft w:val="0"/>
      <w:marRight w:val="0"/>
      <w:marTop w:val="0"/>
      <w:marBottom w:val="0"/>
      <w:divBdr>
        <w:top w:val="none" w:sz="0" w:space="0" w:color="auto"/>
        <w:left w:val="none" w:sz="0" w:space="0" w:color="auto"/>
        <w:bottom w:val="none" w:sz="0" w:space="0" w:color="auto"/>
        <w:right w:val="none" w:sz="0" w:space="0" w:color="auto"/>
      </w:divBdr>
      <w:divsChild>
        <w:div w:id="645163624">
          <w:marLeft w:val="0"/>
          <w:marRight w:val="0"/>
          <w:marTop w:val="0"/>
          <w:marBottom w:val="0"/>
          <w:divBdr>
            <w:top w:val="none" w:sz="0" w:space="0" w:color="auto"/>
            <w:left w:val="none" w:sz="0" w:space="0" w:color="auto"/>
            <w:bottom w:val="none" w:sz="0" w:space="0" w:color="auto"/>
            <w:right w:val="none" w:sz="0" w:space="0" w:color="auto"/>
          </w:divBdr>
          <w:divsChild>
            <w:div w:id="3853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2303">
      <w:bodyDiv w:val="1"/>
      <w:marLeft w:val="0"/>
      <w:marRight w:val="0"/>
      <w:marTop w:val="0"/>
      <w:marBottom w:val="0"/>
      <w:divBdr>
        <w:top w:val="none" w:sz="0" w:space="0" w:color="auto"/>
        <w:left w:val="none" w:sz="0" w:space="0" w:color="auto"/>
        <w:bottom w:val="none" w:sz="0" w:space="0" w:color="auto"/>
        <w:right w:val="none" w:sz="0" w:space="0" w:color="auto"/>
      </w:divBdr>
      <w:divsChild>
        <w:div w:id="34895318">
          <w:marLeft w:val="0"/>
          <w:marRight w:val="0"/>
          <w:marTop w:val="0"/>
          <w:marBottom w:val="0"/>
          <w:divBdr>
            <w:top w:val="none" w:sz="0" w:space="0" w:color="auto"/>
            <w:left w:val="none" w:sz="0" w:space="0" w:color="auto"/>
            <w:bottom w:val="none" w:sz="0" w:space="0" w:color="auto"/>
            <w:right w:val="none" w:sz="0" w:space="0" w:color="auto"/>
          </w:divBdr>
          <w:divsChild>
            <w:div w:id="6294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7011">
      <w:bodyDiv w:val="1"/>
      <w:marLeft w:val="0"/>
      <w:marRight w:val="0"/>
      <w:marTop w:val="0"/>
      <w:marBottom w:val="0"/>
      <w:divBdr>
        <w:top w:val="none" w:sz="0" w:space="0" w:color="auto"/>
        <w:left w:val="none" w:sz="0" w:space="0" w:color="auto"/>
        <w:bottom w:val="none" w:sz="0" w:space="0" w:color="auto"/>
        <w:right w:val="none" w:sz="0" w:space="0" w:color="auto"/>
      </w:divBdr>
    </w:div>
    <w:div w:id="2105606887">
      <w:bodyDiv w:val="1"/>
      <w:marLeft w:val="0"/>
      <w:marRight w:val="0"/>
      <w:marTop w:val="0"/>
      <w:marBottom w:val="0"/>
      <w:divBdr>
        <w:top w:val="none" w:sz="0" w:space="0" w:color="auto"/>
        <w:left w:val="none" w:sz="0" w:space="0" w:color="auto"/>
        <w:bottom w:val="none" w:sz="0" w:space="0" w:color="auto"/>
        <w:right w:val="none" w:sz="0" w:space="0" w:color="auto"/>
      </w:divBdr>
      <w:divsChild>
        <w:div w:id="1103257169">
          <w:marLeft w:val="0"/>
          <w:marRight w:val="0"/>
          <w:marTop w:val="0"/>
          <w:marBottom w:val="0"/>
          <w:divBdr>
            <w:top w:val="none" w:sz="0" w:space="0" w:color="auto"/>
            <w:left w:val="none" w:sz="0" w:space="0" w:color="auto"/>
            <w:bottom w:val="none" w:sz="0" w:space="0" w:color="auto"/>
            <w:right w:val="none" w:sz="0" w:space="0" w:color="auto"/>
          </w:divBdr>
          <w:divsChild>
            <w:div w:id="12309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4E87E2-9EF6-D74C-ABB4-4E11DFB29BB7}">
  <we:reference id="8caa46f3-14c0-4824-9208-8faac4bf2c1e"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67D50-FBC5-3847-98B6-1BF1AD3C4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5532</Words>
  <Characters>31537</Characters>
  <Application>Microsoft Office Word</Application>
  <DocSecurity>0</DocSecurity>
  <Lines>262</Lines>
  <Paragraphs>73</Paragraphs>
  <ScaleCrop>false</ScaleCrop>
  <Company/>
  <LinksUpToDate>false</LinksUpToDate>
  <CharactersWithSpaces>36996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Xiang Yang</dc:creator>
  <cp:keywords/>
  <dc:description/>
  <cp:lastModifiedBy>Xiang Yang</cp:lastModifiedBy>
  <cp:revision>302</cp:revision>
  <dcterms:created xsi:type="dcterms:W3CDTF">2024-11-06T02:39:00Z</dcterms:created>
  <dcterms:modified xsi:type="dcterms:W3CDTF">2025-05-02T21:34:00Z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zotero-version="7.0.3"&gt;&lt;session id="6dCM3r3t"/&gt;&lt;style id="http://www.zotero.org/styles/nature" hasBibliography="1" bibliographyStyleHasBeenSet="1"/&gt;&lt;prefs&gt;&lt;pref name="fieldType" value="Field"/&gt;&lt;/prefs&gt;&lt;/data&gt;</vt:lpwstr>
  </property>
</Properties>
</file>