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BEE4A" w14:textId="77777777" w:rsidR="00351EEA" w:rsidRDefault="00351EEA" w:rsidP="00351EEA">
      <w:pPr>
        <w:pStyle w:val="Heading1"/>
      </w:pPr>
      <w:r>
        <w:t>Extended Figures</w:t>
      </w:r>
    </w:p>
    <w:p w14:paraId="5EE1374A" w14:textId="77777777" w:rsidR="00351EEA" w:rsidRPr="00660601" w:rsidRDefault="00351EEA" w:rsidP="00351EEA">
      <w:r>
        <w:rPr>
          <w:noProof/>
        </w:rPr>
        <w:drawing>
          <wp:inline distT="0" distB="0" distL="0" distR="0" wp14:anchorId="2F618E64" wp14:editId="5CCD5A09">
            <wp:extent cx="5943600" cy="2840181"/>
            <wp:effectExtent l="0" t="0" r="0" b="0"/>
            <wp:docPr id="1569832998" name="Picture 5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832998" name="Picture 5" descr="A screenshot of a computer screen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161"/>
                    <a:stretch/>
                  </pic:blipFill>
                  <pic:spPr bwMode="auto">
                    <a:xfrm>
                      <a:off x="0" y="0"/>
                      <a:ext cx="5943600" cy="2840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130ABF" w14:textId="77777777" w:rsidR="00351EEA" w:rsidRPr="006A7075" w:rsidRDefault="00351EEA" w:rsidP="00351EEA">
      <w:pPr>
        <w:spacing w:after="0" w:line="240" w:lineRule="auto"/>
      </w:pPr>
      <w:r w:rsidRPr="006A7075">
        <w:rPr>
          <w:b/>
          <w:bCs/>
        </w:rPr>
        <w:t>Extended Data Figure 1</w:t>
      </w:r>
      <w:r w:rsidRPr="006A7075">
        <w:t xml:space="preserve">. Results of differential gene expression analysis of paired sample by treatment (timepoint). </w:t>
      </w:r>
    </w:p>
    <w:p w14:paraId="528FFFCD" w14:textId="77777777" w:rsidR="00351EEA" w:rsidRPr="006A7075" w:rsidRDefault="00351EEA" w:rsidP="00351EEA">
      <w:pPr>
        <w:spacing w:after="0" w:line="240" w:lineRule="auto"/>
      </w:pPr>
      <w:r w:rsidRPr="006A7075">
        <w:rPr>
          <w:b/>
          <w:bCs/>
        </w:rPr>
        <w:t>a-c.</w:t>
      </w:r>
      <w:r w:rsidRPr="006A7075">
        <w:t xml:space="preserve"> Volcano plots of the results of differential gene expression analysis of paired samples between baseline and C1D1 (a), baseline and week 8 (b), and C1D1 and week 8 (c). Genes with the absolute log2-fold changes &gt; 0.5 and FDR &gt; 0.05 are in green, genes with the absolute log2-fold changes &lt; 0.5 and FDR &lt; 0.05 are in blue, and genes the absolute log2-fold changes &gt; 0.5 and FDR &lt; 0.05 are in red.</w:t>
      </w:r>
    </w:p>
    <w:p w14:paraId="79554113" w14:textId="77777777" w:rsidR="00351EEA" w:rsidRPr="00660601" w:rsidRDefault="00351EEA" w:rsidP="00351EEA"/>
    <w:p w14:paraId="56AE66E5" w14:textId="77777777" w:rsidR="00351EEA" w:rsidRDefault="00351EEA" w:rsidP="00351EEA">
      <w:r>
        <w:br w:type="page"/>
      </w:r>
    </w:p>
    <w:p w14:paraId="7BAE35BB" w14:textId="77777777" w:rsidR="00351EEA" w:rsidRDefault="00351EEA" w:rsidP="00351EEA">
      <w:r>
        <w:rPr>
          <w:noProof/>
        </w:rPr>
        <w:lastRenderedPageBreak/>
        <w:drawing>
          <wp:inline distT="0" distB="0" distL="0" distR="0" wp14:anchorId="3D96EB01" wp14:editId="61C26A97">
            <wp:extent cx="5764073" cy="6227618"/>
            <wp:effectExtent l="0" t="0" r="8255" b="1905"/>
            <wp:docPr id="17518118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811840" name="Picture 1751811840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68"/>
                    <a:stretch/>
                  </pic:blipFill>
                  <pic:spPr bwMode="auto">
                    <a:xfrm>
                      <a:off x="0" y="0"/>
                      <a:ext cx="5770019" cy="6234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503F44" w14:textId="77777777" w:rsidR="00351EEA" w:rsidRPr="00175026" w:rsidRDefault="00351EEA" w:rsidP="00351EEA">
      <w:pPr>
        <w:spacing w:after="0" w:line="240" w:lineRule="auto"/>
      </w:pPr>
      <w:r w:rsidRPr="00175026">
        <w:rPr>
          <w:b/>
          <w:bCs/>
        </w:rPr>
        <w:t>Extended Data Figure 2</w:t>
      </w:r>
      <w:r w:rsidRPr="00175026">
        <w:t>. Results of differential gene expression analysis of analyses of responders vs non-responders at each timepoint.</w:t>
      </w:r>
    </w:p>
    <w:p w14:paraId="5298091D" w14:textId="77777777" w:rsidR="00351EEA" w:rsidRPr="00175026" w:rsidRDefault="00351EEA" w:rsidP="00351EEA">
      <w:pPr>
        <w:spacing w:after="0" w:line="240" w:lineRule="auto"/>
      </w:pPr>
      <w:r w:rsidRPr="00175026">
        <w:t xml:space="preserve">a-c. Heatmaps of significantly differentially expressed genes (absolute log2-fold &gt; 0.5 and FDR-adjusted </w:t>
      </w:r>
      <w:r w:rsidRPr="00175026">
        <w:rPr>
          <w:i/>
          <w:iCs/>
        </w:rPr>
        <w:t>p</w:t>
      </w:r>
      <w:r w:rsidRPr="00175026">
        <w:t>-value &lt; 0.05) in analysis of responders vs non-responders at baseline (a), C1D1 (b), and week 8 (c). There were 10 non-responders and four responders at baseline; 11 non-responders and five responders at C1D1; five non-responders and two responders at week 8. The analysis was performed using the DESeq2 package. The rows and the columns are clustered hierarchically with Pearson’s distance.</w:t>
      </w:r>
    </w:p>
    <w:p w14:paraId="2DA28F94" w14:textId="77777777" w:rsidR="00351EEA" w:rsidRPr="00175026" w:rsidRDefault="00351EEA" w:rsidP="00351EEA">
      <w:pPr>
        <w:spacing w:after="0" w:line="240" w:lineRule="auto"/>
      </w:pPr>
      <w:r w:rsidRPr="00175026">
        <w:t>d. Heatmap of gene set scores of TME gene sets with two-sided Wilcoxon sum rank test p-values &lt; 0.1 between responders and non-responders at baseline. The columns are ordered by RECIST response, and the rows are clustered hierarchically with Pearson’s distance.</w:t>
      </w:r>
    </w:p>
    <w:p w14:paraId="506AE5C6" w14:textId="77777777" w:rsidR="00351EEA" w:rsidRDefault="00351EEA" w:rsidP="00351EEA">
      <w:pPr>
        <w:spacing w:after="0" w:line="240" w:lineRule="auto"/>
      </w:pPr>
      <w:r w:rsidRPr="00175026">
        <w:rPr>
          <w:i/>
          <w:iCs/>
        </w:rPr>
        <w:lastRenderedPageBreak/>
        <w:t xml:space="preserve">TME, tumor microenvironment </w:t>
      </w:r>
      <w:r>
        <w:br w:type="page"/>
      </w:r>
    </w:p>
    <w:p w14:paraId="2FFDC1EF" w14:textId="77777777" w:rsidR="00351EEA" w:rsidRDefault="00351EEA" w:rsidP="00351EEA">
      <w:r>
        <w:rPr>
          <w:noProof/>
        </w:rPr>
        <w:lastRenderedPageBreak/>
        <w:drawing>
          <wp:inline distT="0" distB="0" distL="0" distR="0" wp14:anchorId="7A800BE7" wp14:editId="4D03E3E9">
            <wp:extent cx="5634173" cy="6054436"/>
            <wp:effectExtent l="0" t="0" r="5080" b="3810"/>
            <wp:docPr id="549973766" name="Picture 7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973766" name="Picture 7" descr="A screenshot of a computer screen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06"/>
                    <a:stretch/>
                  </pic:blipFill>
                  <pic:spPr bwMode="auto">
                    <a:xfrm>
                      <a:off x="0" y="0"/>
                      <a:ext cx="5647187" cy="6068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5C1F8" w14:textId="77777777" w:rsidR="00351EEA" w:rsidRPr="00455B51" w:rsidRDefault="00351EEA" w:rsidP="00351EEA">
      <w:pPr>
        <w:spacing w:after="0" w:line="240" w:lineRule="auto"/>
      </w:pPr>
      <w:r w:rsidRPr="00455B51">
        <w:rPr>
          <w:b/>
          <w:bCs/>
        </w:rPr>
        <w:t>Extended Data Figure 3.</w:t>
      </w:r>
      <w:r w:rsidRPr="00455B51">
        <w:t xml:space="preserve"> Results of differential gene expression of clinical benefit rate at baseline (a) and C1D1 (b).</w:t>
      </w:r>
    </w:p>
    <w:p w14:paraId="38EF2042" w14:textId="77777777" w:rsidR="00351EEA" w:rsidRPr="00455B51" w:rsidRDefault="00351EEA" w:rsidP="00351EEA">
      <w:pPr>
        <w:spacing w:after="0" w:line="240" w:lineRule="auto"/>
      </w:pPr>
      <w:r w:rsidRPr="00455B51">
        <w:t>Volcano plots of the results of differential gene expression analysis between CBR responders and non-responders at baseline (a, top panel), and C1D1 (b, top panel).  Genes with the absolute log2-fold changes &gt; 0.5 and FDR &gt; 0.05 are in green, genes with the absolute log2-fold changes &lt; 0.5 and FDR &lt; 0.05 are in blue, and genes the absolute log2-fold changes &gt; 0.5 and FDR &lt; 0.05 are in red.</w:t>
      </w:r>
    </w:p>
    <w:p w14:paraId="48B563A9" w14:textId="77777777" w:rsidR="00351EEA" w:rsidRPr="00455B51" w:rsidRDefault="00351EEA" w:rsidP="00351EEA">
      <w:pPr>
        <w:spacing w:after="0" w:line="240" w:lineRule="auto"/>
      </w:pPr>
      <w:r w:rsidRPr="00455B51">
        <w:t xml:space="preserve">Heatmaps of significantly differentially expressed genes (absolute log2-fold &gt; 0.5 and FDR-adjusted </w:t>
      </w:r>
      <w:r w:rsidRPr="00455B51">
        <w:rPr>
          <w:i/>
          <w:iCs/>
        </w:rPr>
        <w:t>p</w:t>
      </w:r>
      <w:r w:rsidRPr="00455B51">
        <w:t>-value &lt; 0.05) in analysis of CBR responders vs non-responders at baseline (a, bottom panel) and C1D1 (b, bottom panel). The rows and the columns are clustered hierarchically with Pearson’s distance.</w:t>
      </w:r>
    </w:p>
    <w:p w14:paraId="71BD2282" w14:textId="77777777" w:rsidR="00351EEA" w:rsidRPr="00455B51" w:rsidRDefault="00351EEA" w:rsidP="00351EEA">
      <w:pPr>
        <w:spacing w:after="0" w:line="240" w:lineRule="auto"/>
      </w:pPr>
      <w:r w:rsidRPr="00455B51">
        <w:t>There were six non-responders and eight responders at baseline; six non-responders and ten responders at C1D1. The analysis was performed using the DESeq2 package.</w:t>
      </w:r>
    </w:p>
    <w:p w14:paraId="7FE1C671" w14:textId="77777777" w:rsidR="00351EEA" w:rsidRDefault="00351EEA" w:rsidP="00351EEA">
      <w:pPr>
        <w:spacing w:after="0" w:line="240" w:lineRule="auto"/>
        <w:rPr>
          <w:i/>
          <w:iCs/>
        </w:rPr>
      </w:pPr>
      <w:r w:rsidRPr="00455B51">
        <w:rPr>
          <w:i/>
          <w:iCs/>
        </w:rPr>
        <w:lastRenderedPageBreak/>
        <w:t>CBR, clinical benefit rate</w:t>
      </w:r>
      <w:r>
        <w:rPr>
          <w:i/>
          <w:iCs/>
        </w:rPr>
        <w:br w:type="page"/>
      </w:r>
    </w:p>
    <w:p w14:paraId="1386C893" w14:textId="77777777" w:rsidR="00351EEA" w:rsidRPr="00455B51" w:rsidRDefault="00351EEA" w:rsidP="00351EEA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76855682" wp14:editId="294B36EA">
            <wp:extent cx="5943600" cy="6331527"/>
            <wp:effectExtent l="0" t="0" r="0" b="0"/>
            <wp:docPr id="331100639" name="Picture 8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100639" name="Picture 8" descr="A close-up of a graph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105"/>
                    <a:stretch/>
                  </pic:blipFill>
                  <pic:spPr bwMode="auto">
                    <a:xfrm>
                      <a:off x="0" y="0"/>
                      <a:ext cx="5943600" cy="6331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97C0E" w14:textId="77777777" w:rsidR="00351EEA" w:rsidRPr="00585E5E" w:rsidRDefault="00351EEA" w:rsidP="00351EEA">
      <w:pPr>
        <w:spacing w:after="0" w:line="240" w:lineRule="auto"/>
      </w:pPr>
      <w:r w:rsidRPr="00585E5E">
        <w:rPr>
          <w:b/>
          <w:bCs/>
        </w:rPr>
        <w:t>Extended Data Figure 4.</w:t>
      </w:r>
      <w:r w:rsidRPr="00585E5E">
        <w:t xml:space="preserve"> Results of analysis of 22 immune cell type proportions estimated by CIBERSORTx.</w:t>
      </w:r>
    </w:p>
    <w:p w14:paraId="30A8F7F5" w14:textId="77777777" w:rsidR="00351EEA" w:rsidRPr="00585E5E" w:rsidRDefault="00351EEA" w:rsidP="00351EEA">
      <w:pPr>
        <w:spacing w:after="0" w:line="240" w:lineRule="auto"/>
      </w:pPr>
      <w:r w:rsidRPr="00585E5E">
        <w:t>a. Heatmap of estimated CIBERSORTx cell proportions (n=37). The only proportions that had a standard deviation more than 0.01 are shown. The rows are clustered hierarchically with euclidian distance. The columns are ordered by patient, time, and response.</w:t>
      </w:r>
    </w:p>
    <w:p w14:paraId="5D3D47CC" w14:textId="77777777" w:rsidR="00351EEA" w:rsidRPr="00585E5E" w:rsidRDefault="00351EEA" w:rsidP="00351EEA">
      <w:pPr>
        <w:spacing w:after="0" w:line="240" w:lineRule="auto"/>
      </w:pPr>
      <w:r w:rsidRPr="00585E5E">
        <w:t xml:space="preserve">b. Boxplots of monocyte proportions between responder vs non-responders at each timepoint are shown (n=37). </w:t>
      </w:r>
    </w:p>
    <w:p w14:paraId="12F83621" w14:textId="77777777" w:rsidR="00351EEA" w:rsidRPr="00585E5E" w:rsidRDefault="00351EEA" w:rsidP="00351EEA">
      <w:pPr>
        <w:spacing w:after="0" w:line="240" w:lineRule="auto"/>
      </w:pPr>
      <w:r w:rsidRPr="00585E5E">
        <w:t>c. Boxplot of treatment effect between responders and non-responder (after entinostat) in monocytes (n=12).</w:t>
      </w:r>
    </w:p>
    <w:p w14:paraId="57413B5F" w14:textId="77777777" w:rsidR="00351EEA" w:rsidRPr="00585E5E" w:rsidRDefault="00351EEA" w:rsidP="00351EEA">
      <w:pPr>
        <w:spacing w:after="0" w:line="240" w:lineRule="auto"/>
      </w:pPr>
      <w:r w:rsidRPr="00585E5E">
        <w:t>Two-sided Wilcoxon rank sum test p-values are shown</w:t>
      </w:r>
    </w:p>
    <w:p w14:paraId="7C8F8BDE" w14:textId="77777777" w:rsidR="00351EEA" w:rsidRDefault="00351EEA" w:rsidP="00351EEA">
      <w:r>
        <w:br w:type="page"/>
      </w:r>
    </w:p>
    <w:p w14:paraId="29F5B41E" w14:textId="77777777" w:rsidR="00351EEA" w:rsidRDefault="00351EEA" w:rsidP="00351EEA">
      <w:r>
        <w:rPr>
          <w:noProof/>
        </w:rPr>
        <w:lastRenderedPageBreak/>
        <w:drawing>
          <wp:inline distT="0" distB="0" distL="0" distR="0" wp14:anchorId="708E6BD0" wp14:editId="45867D9C">
            <wp:extent cx="5943600" cy="2840182"/>
            <wp:effectExtent l="0" t="0" r="0" b="0"/>
            <wp:docPr id="1374306921" name="Picture 9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306921" name="Picture 9" descr="A screenshot of a graph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161"/>
                    <a:stretch/>
                  </pic:blipFill>
                  <pic:spPr bwMode="auto">
                    <a:xfrm>
                      <a:off x="0" y="0"/>
                      <a:ext cx="5943600" cy="2840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0BAF1A" w14:textId="77777777" w:rsidR="00351EEA" w:rsidRPr="005F5D7C" w:rsidRDefault="00351EEA" w:rsidP="00351EEA">
      <w:r w:rsidRPr="005F5D7C">
        <w:rPr>
          <w:b/>
          <w:bCs/>
        </w:rPr>
        <w:t>Extended Data Figure 5.</w:t>
      </w:r>
      <w:r w:rsidRPr="005F5D7C">
        <w:t xml:space="preserve"> Results of neoantigen analysis</w:t>
      </w:r>
    </w:p>
    <w:p w14:paraId="254947DF" w14:textId="77777777" w:rsidR="00351EEA" w:rsidRPr="005F5D7C" w:rsidRDefault="00351EEA" w:rsidP="00351EEA">
      <w:r w:rsidRPr="005F5D7C">
        <w:t>Boxplots of the number of strong neoantigen binders in all samples (n=37) over timepoints, as well as for non-responders and responders. Paired two-sided Wilcoxon rank sum test p-values are shown</w:t>
      </w:r>
    </w:p>
    <w:p w14:paraId="0756FE2C" w14:textId="77777777" w:rsidR="00351EEA" w:rsidRDefault="00351EEA" w:rsidP="00351EEA"/>
    <w:p w14:paraId="29448B5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EEA"/>
    <w:rsid w:val="002E281E"/>
    <w:rsid w:val="003201BB"/>
    <w:rsid w:val="00351EEA"/>
    <w:rsid w:val="007E2F8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66BDC"/>
  <w15:chartTrackingRefBased/>
  <w15:docId w15:val="{4725C293-0C74-4F15-A164-C30D8C2A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EE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E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1E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EE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EE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EE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EE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EE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EE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EE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E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1E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E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E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E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E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E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E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E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E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1E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EE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1E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EE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51E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EE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51E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E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E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E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502</Words>
  <Characters>2862</Characters>
  <Application>Microsoft Office Word</Application>
  <DocSecurity>0</DocSecurity>
  <Lines>23</Lines>
  <Paragraphs>6</Paragraphs>
  <ScaleCrop>false</ScaleCrop>
  <Company>Springer Nature</Company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2025-06-05T09:31:00Z</dcterms:created>
  <dcterms:modified xsi:type="dcterms:W3CDTF">2025-06-05T09:32:00Z</dcterms:modified>
</cp:coreProperties>
</file>