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B1050" w:rsidRDefault="005157CF" w:rsidP="009B1050">
      <w:pPr>
        <w:spacing w:line="276" w:lineRule="auto"/>
        <w:jc w:val="both"/>
      </w:pPr>
      <w:r>
        <w:t>Supplementary material</w:t>
      </w:r>
      <w:r w:rsidR="009B1050">
        <w:t xml:space="preserve"> to </w:t>
      </w:r>
      <w:r w:rsidR="009B1050" w:rsidRPr="009B1050">
        <w:rPr>
          <w:i/>
          <w:iCs/>
        </w:rPr>
        <w:t>Varada et al.,</w:t>
      </w:r>
    </w:p>
    <w:p w:rsidR="009B1050" w:rsidRDefault="009B1050" w:rsidP="009B1050">
      <w:pPr>
        <w:spacing w:line="276" w:lineRule="auto"/>
        <w:jc w:val="both"/>
        <w:rPr>
          <w:rFonts w:cstheme="minorHAnsi"/>
          <w:sz w:val="28"/>
          <w:szCs w:val="28"/>
          <w:lang w:val="en-US"/>
        </w:rPr>
      </w:pPr>
    </w:p>
    <w:p w:rsidR="009B1050" w:rsidRPr="000635FC" w:rsidRDefault="009B1050" w:rsidP="009B1050">
      <w:pPr>
        <w:spacing w:line="276" w:lineRule="auto"/>
        <w:jc w:val="both"/>
        <w:rPr>
          <w:rFonts w:cstheme="minorHAnsi"/>
          <w:sz w:val="28"/>
          <w:szCs w:val="28"/>
          <w:lang w:val="en-US"/>
        </w:rPr>
      </w:pPr>
      <w:r w:rsidRPr="000635FC">
        <w:rPr>
          <w:rFonts w:cstheme="minorHAnsi"/>
          <w:sz w:val="28"/>
          <w:szCs w:val="28"/>
          <w:lang w:val="en-US"/>
        </w:rPr>
        <w:t>Distinguishing self from non-self RNA by editing-specific inosine patterns</w:t>
      </w:r>
    </w:p>
    <w:p w:rsidR="005157CF" w:rsidRDefault="005157CF"/>
    <w:p w:rsidR="005157CF" w:rsidRDefault="005157CF"/>
    <w:p w:rsidR="005157CF" w:rsidRDefault="005157CF">
      <w:r>
        <w:br w:type="page"/>
      </w:r>
    </w:p>
    <w:p w:rsidR="005157CF" w:rsidRDefault="005157CF"/>
    <w:p w:rsidR="00843376" w:rsidRDefault="00843376">
      <w:r>
        <w:rPr>
          <w:noProof/>
        </w:rPr>
        <w:drawing>
          <wp:inline distT="0" distB="0" distL="0" distR="0">
            <wp:extent cx="5731510" cy="4011930"/>
            <wp:effectExtent l="0" t="0" r="0" b="1270"/>
            <wp:docPr id="6588016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01683" name="Picture 658801683"/>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31510" cy="4011930"/>
                    </a:xfrm>
                    <a:prstGeom prst="rect">
                      <a:avLst/>
                    </a:prstGeom>
                  </pic:spPr>
                </pic:pic>
              </a:graphicData>
            </a:graphic>
          </wp:inline>
        </w:drawing>
      </w:r>
    </w:p>
    <w:p w:rsidR="00843376" w:rsidRPr="00F03429" w:rsidRDefault="00843376" w:rsidP="009B1050">
      <w:pPr>
        <w:jc w:val="both"/>
        <w:rPr>
          <w:b/>
          <w:bCs/>
          <w:lang w:val="en-US"/>
        </w:rPr>
      </w:pPr>
      <w:r w:rsidRPr="00F03429">
        <w:rPr>
          <w:b/>
          <w:bCs/>
          <w:lang w:val="en-US"/>
        </w:rPr>
        <w:t>Supplementary figure 1:</w:t>
      </w:r>
    </w:p>
    <w:p w:rsidR="00843376" w:rsidRPr="00843376" w:rsidRDefault="00843376" w:rsidP="009B1050">
      <w:pPr>
        <w:jc w:val="both"/>
        <w:rPr>
          <w:lang w:val="en-US"/>
        </w:rPr>
      </w:pPr>
      <w:r>
        <w:rPr>
          <w:lang w:val="en-US"/>
        </w:rPr>
        <w:t xml:space="preserve">Characterization of </w:t>
      </w:r>
      <w:r w:rsidR="009B1050">
        <w:rPr>
          <w:lang w:val="en-US"/>
        </w:rPr>
        <w:t>MDA5</w:t>
      </w:r>
      <w:r>
        <w:rPr>
          <w:lang w:val="en-US"/>
        </w:rPr>
        <w:t xml:space="preserve"> protected RNAs. Total RNA from mouse liver was isolated. An aliquot of the total RNA was used for library preparation to allow quantification of expressed genes (left arrow). An aliquot of the total liver RNA was treated with an </w:t>
      </w:r>
      <w:proofErr w:type="spellStart"/>
      <w:r>
        <w:rPr>
          <w:lang w:val="en-US"/>
        </w:rPr>
        <w:t>RNAse</w:t>
      </w:r>
      <w:proofErr w:type="spellEnd"/>
      <w:r>
        <w:rPr>
          <w:lang w:val="en-US"/>
        </w:rPr>
        <w:t xml:space="preserve"> mixture to assess </w:t>
      </w:r>
      <w:proofErr w:type="spellStart"/>
      <w:r>
        <w:rPr>
          <w:lang w:val="en-US"/>
        </w:rPr>
        <w:t>RNAse</w:t>
      </w:r>
      <w:proofErr w:type="spellEnd"/>
      <w:r>
        <w:rPr>
          <w:lang w:val="en-US"/>
        </w:rPr>
        <w:t xml:space="preserve"> resistant sites (middle arrow). A fraction of the total liver RNA was incubated with recombinant </w:t>
      </w:r>
      <w:r w:rsidR="009B1050">
        <w:rPr>
          <w:lang w:val="en-US"/>
        </w:rPr>
        <w:t>MDA5</w:t>
      </w:r>
      <w:r>
        <w:rPr>
          <w:lang w:val="en-US"/>
        </w:rPr>
        <w:t xml:space="preserve"> and treated with </w:t>
      </w:r>
      <w:proofErr w:type="spellStart"/>
      <w:r>
        <w:rPr>
          <w:lang w:val="en-US"/>
        </w:rPr>
        <w:t>RNAses</w:t>
      </w:r>
      <w:proofErr w:type="spellEnd"/>
      <w:r>
        <w:rPr>
          <w:lang w:val="en-US"/>
        </w:rPr>
        <w:t>. The protected RNAs were used for Illumina library preparation (right arrow).</w:t>
      </w:r>
    </w:p>
    <w:p w:rsidR="00843376" w:rsidRDefault="00843376"/>
    <w:p w:rsidR="00843376" w:rsidRDefault="00843376"/>
    <w:p w:rsidR="00843376" w:rsidRPr="00F03429" w:rsidRDefault="00843376">
      <w:pPr>
        <w:rPr>
          <w:b/>
          <w:bCs/>
          <w:lang w:val="en-US"/>
        </w:rPr>
      </w:pPr>
      <w:r w:rsidRPr="00F03429">
        <w:rPr>
          <w:b/>
          <w:bCs/>
          <w:lang w:val="en-US"/>
        </w:rPr>
        <w:br w:type="page"/>
      </w:r>
    </w:p>
    <w:p w:rsidR="00843376" w:rsidRPr="00F03429" w:rsidRDefault="00843376">
      <w:pPr>
        <w:rPr>
          <w:b/>
          <w:bCs/>
          <w:lang w:val="en-US"/>
        </w:rPr>
      </w:pPr>
      <w:r w:rsidRPr="00F03429">
        <w:rPr>
          <w:b/>
          <w:bCs/>
          <w:lang w:val="en-US"/>
        </w:rPr>
        <w:lastRenderedPageBreak/>
        <w:t>Supplementary table 1:</w:t>
      </w:r>
    </w:p>
    <w:p w:rsidR="00843376" w:rsidRPr="00843376" w:rsidRDefault="00843376">
      <w:pPr>
        <w:rPr>
          <w:lang w:val="en-US"/>
        </w:rPr>
      </w:pPr>
      <w:r w:rsidRPr="00843376">
        <w:rPr>
          <w:lang w:val="en-US"/>
        </w:rPr>
        <w:t>Sequencing IDs, origin of RNA</w:t>
      </w:r>
      <w:r>
        <w:rPr>
          <w:lang w:val="en-US"/>
        </w:rPr>
        <w:t>, genotype of mice, treatment of samples and corresponding read numbers are indicated.</w:t>
      </w:r>
    </w:p>
    <w:tbl>
      <w:tblPr>
        <w:tblW w:w="7400" w:type="dxa"/>
        <w:tblLook w:val="04A0" w:firstRow="1" w:lastRow="0" w:firstColumn="1" w:lastColumn="0" w:noHBand="0" w:noVBand="1"/>
      </w:tblPr>
      <w:tblGrid>
        <w:gridCol w:w="1300"/>
        <w:gridCol w:w="1300"/>
        <w:gridCol w:w="1720"/>
        <w:gridCol w:w="1740"/>
        <w:gridCol w:w="1340"/>
      </w:tblGrid>
      <w:tr w:rsidR="007F0F71" w:rsidRPr="007F0F71" w:rsidTr="007F0F71">
        <w:trPr>
          <w:trHeight w:val="320"/>
        </w:trPr>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b/>
                <w:bCs/>
                <w:color w:val="000000"/>
                <w:kern w:val="0"/>
                <w:lang w:eastAsia="en-GB"/>
                <w14:ligatures w14:val="none"/>
              </w:rPr>
            </w:pPr>
            <w:r w:rsidRPr="007F0F71">
              <w:rPr>
                <w:rFonts w:ascii="Calibri" w:eastAsia="Times New Roman" w:hAnsi="Calibri" w:cs="Calibri"/>
                <w:b/>
                <w:bCs/>
                <w:color w:val="000000"/>
                <w:kern w:val="0"/>
                <w:lang w:eastAsia="en-GB"/>
                <w14:ligatures w14:val="none"/>
              </w:rPr>
              <w:t>ID</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b/>
                <w:bCs/>
                <w:color w:val="000000"/>
                <w:kern w:val="0"/>
                <w:lang w:eastAsia="en-GB"/>
                <w14:ligatures w14:val="none"/>
              </w:rPr>
            </w:pPr>
            <w:r w:rsidRPr="007F0F71">
              <w:rPr>
                <w:rFonts w:ascii="Calibri" w:eastAsia="Times New Roman" w:hAnsi="Calibri" w:cs="Calibri"/>
                <w:b/>
                <w:bCs/>
                <w:color w:val="000000"/>
                <w:kern w:val="0"/>
                <w:lang w:eastAsia="en-GB"/>
                <w14:ligatures w14:val="none"/>
              </w:rPr>
              <w:t>organ</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b/>
                <w:bCs/>
                <w:color w:val="000000"/>
                <w:kern w:val="0"/>
                <w:lang w:eastAsia="en-GB"/>
                <w14:ligatures w14:val="none"/>
              </w:rPr>
            </w:pPr>
            <w:r w:rsidRPr="007F0F71">
              <w:rPr>
                <w:rFonts w:ascii="Calibri" w:eastAsia="Times New Roman" w:hAnsi="Calibri" w:cs="Calibri"/>
                <w:b/>
                <w:bCs/>
                <w:color w:val="000000"/>
                <w:kern w:val="0"/>
                <w:lang w:eastAsia="en-GB"/>
                <w14:ligatures w14:val="none"/>
              </w:rPr>
              <w:t>genotype</w:t>
            </w:r>
          </w:p>
        </w:tc>
        <w:tc>
          <w:tcPr>
            <w:tcW w:w="174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b/>
                <w:bCs/>
                <w:color w:val="000000"/>
                <w:kern w:val="0"/>
                <w:lang w:eastAsia="en-GB"/>
                <w14:ligatures w14:val="none"/>
              </w:rPr>
            </w:pPr>
            <w:r w:rsidRPr="007F0F71">
              <w:rPr>
                <w:rFonts w:ascii="Calibri" w:eastAsia="Times New Roman" w:hAnsi="Calibri" w:cs="Calibri"/>
                <w:b/>
                <w:bCs/>
                <w:color w:val="000000"/>
                <w:kern w:val="0"/>
                <w:lang w:eastAsia="en-GB"/>
                <w14:ligatures w14:val="none"/>
              </w:rPr>
              <w:t>treatment</w:t>
            </w:r>
          </w:p>
        </w:tc>
        <w:tc>
          <w:tcPr>
            <w:tcW w:w="134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b/>
                <w:bCs/>
                <w:color w:val="000000"/>
                <w:kern w:val="0"/>
                <w:lang w:eastAsia="en-GB"/>
                <w14:ligatures w14:val="none"/>
              </w:rPr>
            </w:pPr>
            <w:r w:rsidRPr="007F0F71">
              <w:rPr>
                <w:rFonts w:ascii="Calibri" w:eastAsia="Times New Roman" w:hAnsi="Calibri" w:cs="Calibri"/>
                <w:b/>
                <w:bCs/>
                <w:color w:val="000000"/>
                <w:kern w:val="0"/>
                <w:lang w:eastAsia="en-GB"/>
                <w14:ligatures w14:val="none"/>
              </w:rPr>
              <w:t>read numbers</w:t>
            </w:r>
          </w:p>
        </w:tc>
      </w:tr>
      <w:tr w:rsidR="007F0F71" w:rsidRPr="007F0F71" w:rsidTr="007F0F71">
        <w:trPr>
          <w:trHeight w:val="300"/>
        </w:trPr>
        <w:tc>
          <w:tcPr>
            <w:tcW w:w="1300" w:type="dxa"/>
            <w:tcBorders>
              <w:top w:val="single" w:sz="4" w:space="0" w:color="auto"/>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RV01001</w:t>
            </w:r>
          </w:p>
        </w:tc>
        <w:tc>
          <w:tcPr>
            <w:tcW w:w="1300" w:type="dxa"/>
            <w:tcBorders>
              <w:top w:val="single" w:sz="4" w:space="0" w:color="auto"/>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single" w:sz="4" w:space="0" w:color="auto"/>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Mavs-/-</w:t>
            </w:r>
          </w:p>
        </w:tc>
        <w:tc>
          <w:tcPr>
            <w:tcW w:w="1740" w:type="dxa"/>
            <w:tcBorders>
              <w:top w:val="single" w:sz="4" w:space="0" w:color="auto"/>
              <w:left w:val="nil"/>
              <w:bottom w:val="nil"/>
              <w:right w:val="nil"/>
            </w:tcBorders>
            <w:shd w:val="clear" w:color="auto" w:fill="auto"/>
            <w:noWrap/>
            <w:vAlign w:val="bottom"/>
            <w:hideMark/>
          </w:tcPr>
          <w:p w:rsidR="007F0F71" w:rsidRPr="007F0F71" w:rsidRDefault="009B1050" w:rsidP="007F0F71">
            <w:pPr>
              <w:rPr>
                <w:rFonts w:ascii="Calibri" w:eastAsia="Times New Roman" w:hAnsi="Calibri" w:cs="Calibri"/>
                <w:color w:val="000000"/>
                <w:kern w:val="0"/>
                <w:sz w:val="22"/>
                <w:szCs w:val="22"/>
                <w:lang w:eastAsia="en-GB"/>
                <w14:ligatures w14:val="none"/>
              </w:rPr>
            </w:pPr>
            <w:r>
              <w:rPr>
                <w:rFonts w:ascii="Calibri" w:eastAsia="Times New Roman" w:hAnsi="Calibri" w:cs="Calibri"/>
                <w:color w:val="000000"/>
                <w:kern w:val="0"/>
                <w:sz w:val="22"/>
                <w:szCs w:val="22"/>
                <w:lang w:eastAsia="en-GB"/>
                <w14:ligatures w14:val="none"/>
              </w:rPr>
              <w:t>MDA5</w:t>
            </w:r>
            <w:r w:rsidR="007F0F71" w:rsidRPr="007F0F71">
              <w:rPr>
                <w:rFonts w:ascii="Calibri" w:eastAsia="Times New Roman" w:hAnsi="Calibri" w:cs="Calibri"/>
                <w:color w:val="000000"/>
                <w:kern w:val="0"/>
                <w:sz w:val="22"/>
                <w:szCs w:val="22"/>
                <w:lang w:eastAsia="en-GB"/>
                <w14:ligatures w14:val="none"/>
              </w:rPr>
              <w:t xml:space="preserve"> protected</w:t>
            </w:r>
          </w:p>
        </w:tc>
        <w:tc>
          <w:tcPr>
            <w:tcW w:w="1340" w:type="dxa"/>
            <w:tcBorders>
              <w:top w:val="single" w:sz="4" w:space="0" w:color="auto"/>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17.004.948</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RV01004</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Mavs-/-</w:t>
            </w:r>
          </w:p>
        </w:tc>
        <w:tc>
          <w:tcPr>
            <w:tcW w:w="1740" w:type="dxa"/>
            <w:tcBorders>
              <w:top w:val="nil"/>
              <w:left w:val="nil"/>
              <w:bottom w:val="nil"/>
              <w:right w:val="nil"/>
            </w:tcBorders>
            <w:shd w:val="clear" w:color="auto" w:fill="auto"/>
            <w:noWrap/>
            <w:vAlign w:val="bottom"/>
            <w:hideMark/>
          </w:tcPr>
          <w:p w:rsidR="007F0F71" w:rsidRPr="007F0F71" w:rsidRDefault="009B1050" w:rsidP="007F0F71">
            <w:pPr>
              <w:rPr>
                <w:rFonts w:ascii="Calibri" w:eastAsia="Times New Roman" w:hAnsi="Calibri" w:cs="Calibri"/>
                <w:color w:val="000000"/>
                <w:kern w:val="0"/>
                <w:sz w:val="22"/>
                <w:szCs w:val="22"/>
                <w:lang w:eastAsia="en-GB"/>
                <w14:ligatures w14:val="none"/>
              </w:rPr>
            </w:pPr>
            <w:r>
              <w:rPr>
                <w:rFonts w:ascii="Calibri" w:eastAsia="Times New Roman" w:hAnsi="Calibri" w:cs="Calibri"/>
                <w:color w:val="000000"/>
                <w:kern w:val="0"/>
                <w:sz w:val="22"/>
                <w:szCs w:val="22"/>
                <w:lang w:eastAsia="en-GB"/>
                <w14:ligatures w14:val="none"/>
              </w:rPr>
              <w:t>MDA5</w:t>
            </w:r>
            <w:r w:rsidR="007F0F71" w:rsidRPr="007F0F71">
              <w:rPr>
                <w:rFonts w:ascii="Calibri" w:eastAsia="Times New Roman" w:hAnsi="Calibri" w:cs="Calibri"/>
                <w:color w:val="000000"/>
                <w:kern w:val="0"/>
                <w:sz w:val="22"/>
                <w:szCs w:val="22"/>
                <w:lang w:eastAsia="en-GB"/>
                <w14:ligatures w14:val="none"/>
              </w:rPr>
              <w:t xml:space="preserve"> protected</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17.750.618</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RV01007</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Mavs-/-</w:t>
            </w:r>
          </w:p>
        </w:tc>
        <w:tc>
          <w:tcPr>
            <w:tcW w:w="1740" w:type="dxa"/>
            <w:tcBorders>
              <w:top w:val="nil"/>
              <w:left w:val="nil"/>
              <w:bottom w:val="nil"/>
              <w:right w:val="nil"/>
            </w:tcBorders>
            <w:shd w:val="clear" w:color="auto" w:fill="auto"/>
            <w:noWrap/>
            <w:vAlign w:val="bottom"/>
            <w:hideMark/>
          </w:tcPr>
          <w:p w:rsidR="007F0F71" w:rsidRPr="007F0F71" w:rsidRDefault="009B1050" w:rsidP="007F0F71">
            <w:pPr>
              <w:rPr>
                <w:rFonts w:ascii="Calibri" w:eastAsia="Times New Roman" w:hAnsi="Calibri" w:cs="Calibri"/>
                <w:color w:val="000000"/>
                <w:kern w:val="0"/>
                <w:sz w:val="22"/>
                <w:szCs w:val="22"/>
                <w:lang w:eastAsia="en-GB"/>
                <w14:ligatures w14:val="none"/>
              </w:rPr>
            </w:pPr>
            <w:r>
              <w:rPr>
                <w:rFonts w:ascii="Calibri" w:eastAsia="Times New Roman" w:hAnsi="Calibri" w:cs="Calibri"/>
                <w:color w:val="000000"/>
                <w:kern w:val="0"/>
                <w:sz w:val="22"/>
                <w:szCs w:val="22"/>
                <w:lang w:eastAsia="en-GB"/>
                <w14:ligatures w14:val="none"/>
              </w:rPr>
              <w:t>MDA5</w:t>
            </w:r>
            <w:r w:rsidR="007F0F71" w:rsidRPr="007F0F71">
              <w:rPr>
                <w:rFonts w:ascii="Calibri" w:eastAsia="Times New Roman" w:hAnsi="Calibri" w:cs="Calibri"/>
                <w:color w:val="000000"/>
                <w:kern w:val="0"/>
                <w:sz w:val="22"/>
                <w:szCs w:val="22"/>
                <w:lang w:eastAsia="en-GB"/>
                <w14:ligatures w14:val="none"/>
              </w:rPr>
              <w:t xml:space="preserve"> protected</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18.850.273</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RV01002</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Mavs-/-</w:t>
            </w:r>
          </w:p>
        </w:tc>
        <w:tc>
          <w:tcPr>
            <w:tcW w:w="174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RNAse only</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10.283.844</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RV01005</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Mavs-/-</w:t>
            </w:r>
          </w:p>
        </w:tc>
        <w:tc>
          <w:tcPr>
            <w:tcW w:w="174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RNAse only</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9.105.496</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RV01008</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Mavs-/-</w:t>
            </w:r>
          </w:p>
        </w:tc>
        <w:tc>
          <w:tcPr>
            <w:tcW w:w="174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RNAse only</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14.786.880</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RV01003</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Mavs-/-</w:t>
            </w:r>
          </w:p>
        </w:tc>
        <w:tc>
          <w:tcPr>
            <w:tcW w:w="174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input</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28.241.330</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RV01006</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Mavs-/-</w:t>
            </w:r>
          </w:p>
        </w:tc>
        <w:tc>
          <w:tcPr>
            <w:tcW w:w="174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input</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29.169.825</w:t>
            </w:r>
          </w:p>
        </w:tc>
      </w:tr>
      <w:tr w:rsidR="007F0F71" w:rsidRPr="007F0F71" w:rsidTr="007F0F71">
        <w:trPr>
          <w:trHeight w:val="300"/>
        </w:trPr>
        <w:tc>
          <w:tcPr>
            <w:tcW w:w="1300" w:type="dxa"/>
            <w:tcBorders>
              <w:top w:val="nil"/>
              <w:left w:val="single" w:sz="4" w:space="0" w:color="auto"/>
              <w:bottom w:val="single" w:sz="4" w:space="0" w:color="auto"/>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RV01009</w:t>
            </w:r>
          </w:p>
        </w:tc>
        <w:tc>
          <w:tcPr>
            <w:tcW w:w="1300" w:type="dxa"/>
            <w:tcBorders>
              <w:top w:val="nil"/>
              <w:left w:val="nil"/>
              <w:bottom w:val="single" w:sz="4" w:space="0" w:color="auto"/>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single" w:sz="4" w:space="0" w:color="auto"/>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Mavs-/-</w:t>
            </w:r>
          </w:p>
        </w:tc>
        <w:tc>
          <w:tcPr>
            <w:tcW w:w="1740" w:type="dxa"/>
            <w:tcBorders>
              <w:top w:val="nil"/>
              <w:left w:val="nil"/>
              <w:bottom w:val="single" w:sz="4" w:space="0" w:color="auto"/>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input</w:t>
            </w:r>
          </w:p>
        </w:tc>
        <w:tc>
          <w:tcPr>
            <w:tcW w:w="1340" w:type="dxa"/>
            <w:tcBorders>
              <w:top w:val="nil"/>
              <w:left w:val="nil"/>
              <w:bottom w:val="single" w:sz="4" w:space="0" w:color="auto"/>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30.849.504</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RV01010</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Adar-/-; Mavs-/-</w:t>
            </w:r>
          </w:p>
        </w:tc>
        <w:tc>
          <w:tcPr>
            <w:tcW w:w="1740" w:type="dxa"/>
            <w:tcBorders>
              <w:top w:val="nil"/>
              <w:left w:val="nil"/>
              <w:bottom w:val="nil"/>
              <w:right w:val="nil"/>
            </w:tcBorders>
            <w:shd w:val="clear" w:color="auto" w:fill="auto"/>
            <w:noWrap/>
            <w:vAlign w:val="bottom"/>
            <w:hideMark/>
          </w:tcPr>
          <w:p w:rsidR="007F0F71" w:rsidRPr="007F0F71" w:rsidRDefault="009B1050" w:rsidP="007F0F71">
            <w:pPr>
              <w:rPr>
                <w:rFonts w:ascii="Calibri" w:eastAsia="Times New Roman" w:hAnsi="Calibri" w:cs="Calibri"/>
                <w:color w:val="000000"/>
                <w:kern w:val="0"/>
                <w:sz w:val="22"/>
                <w:szCs w:val="22"/>
                <w:lang w:eastAsia="en-GB"/>
                <w14:ligatures w14:val="none"/>
              </w:rPr>
            </w:pPr>
            <w:r>
              <w:rPr>
                <w:rFonts w:ascii="Calibri" w:eastAsia="Times New Roman" w:hAnsi="Calibri" w:cs="Calibri"/>
                <w:color w:val="000000"/>
                <w:kern w:val="0"/>
                <w:sz w:val="22"/>
                <w:szCs w:val="22"/>
                <w:lang w:eastAsia="en-GB"/>
                <w14:ligatures w14:val="none"/>
              </w:rPr>
              <w:t>MDA5</w:t>
            </w:r>
            <w:r w:rsidR="007F0F71" w:rsidRPr="007F0F71">
              <w:rPr>
                <w:rFonts w:ascii="Calibri" w:eastAsia="Times New Roman" w:hAnsi="Calibri" w:cs="Calibri"/>
                <w:color w:val="000000"/>
                <w:kern w:val="0"/>
                <w:sz w:val="22"/>
                <w:szCs w:val="22"/>
                <w:lang w:eastAsia="en-GB"/>
                <w14:ligatures w14:val="none"/>
              </w:rPr>
              <w:t xml:space="preserve"> protected</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17.137.732</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RV01013</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Adar-/-; Mavs-/-</w:t>
            </w:r>
          </w:p>
        </w:tc>
        <w:tc>
          <w:tcPr>
            <w:tcW w:w="1740" w:type="dxa"/>
            <w:tcBorders>
              <w:top w:val="nil"/>
              <w:left w:val="nil"/>
              <w:bottom w:val="nil"/>
              <w:right w:val="nil"/>
            </w:tcBorders>
            <w:shd w:val="clear" w:color="auto" w:fill="auto"/>
            <w:noWrap/>
            <w:vAlign w:val="bottom"/>
            <w:hideMark/>
          </w:tcPr>
          <w:p w:rsidR="007F0F71" w:rsidRPr="007F0F71" w:rsidRDefault="009B1050" w:rsidP="007F0F71">
            <w:pPr>
              <w:rPr>
                <w:rFonts w:ascii="Calibri" w:eastAsia="Times New Roman" w:hAnsi="Calibri" w:cs="Calibri"/>
                <w:color w:val="000000"/>
                <w:kern w:val="0"/>
                <w:sz w:val="22"/>
                <w:szCs w:val="22"/>
                <w:lang w:eastAsia="en-GB"/>
                <w14:ligatures w14:val="none"/>
              </w:rPr>
            </w:pPr>
            <w:r>
              <w:rPr>
                <w:rFonts w:ascii="Calibri" w:eastAsia="Times New Roman" w:hAnsi="Calibri" w:cs="Calibri"/>
                <w:color w:val="000000"/>
                <w:kern w:val="0"/>
                <w:sz w:val="22"/>
                <w:szCs w:val="22"/>
                <w:lang w:eastAsia="en-GB"/>
                <w14:ligatures w14:val="none"/>
              </w:rPr>
              <w:t>MDA5</w:t>
            </w:r>
            <w:r w:rsidR="007F0F71" w:rsidRPr="007F0F71">
              <w:rPr>
                <w:rFonts w:ascii="Calibri" w:eastAsia="Times New Roman" w:hAnsi="Calibri" w:cs="Calibri"/>
                <w:color w:val="000000"/>
                <w:kern w:val="0"/>
                <w:sz w:val="22"/>
                <w:szCs w:val="22"/>
                <w:lang w:eastAsia="en-GB"/>
                <w14:ligatures w14:val="none"/>
              </w:rPr>
              <w:t xml:space="preserve"> protected</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17.662.011</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RV01016</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Adar-/-; Mavs-/-</w:t>
            </w:r>
          </w:p>
        </w:tc>
        <w:tc>
          <w:tcPr>
            <w:tcW w:w="1740" w:type="dxa"/>
            <w:tcBorders>
              <w:top w:val="nil"/>
              <w:left w:val="nil"/>
              <w:bottom w:val="nil"/>
              <w:right w:val="nil"/>
            </w:tcBorders>
            <w:shd w:val="clear" w:color="auto" w:fill="auto"/>
            <w:noWrap/>
            <w:vAlign w:val="bottom"/>
            <w:hideMark/>
          </w:tcPr>
          <w:p w:rsidR="007F0F71" w:rsidRPr="007F0F71" w:rsidRDefault="009B1050" w:rsidP="007F0F71">
            <w:pPr>
              <w:rPr>
                <w:rFonts w:ascii="Calibri" w:eastAsia="Times New Roman" w:hAnsi="Calibri" w:cs="Calibri"/>
                <w:color w:val="000000"/>
                <w:kern w:val="0"/>
                <w:sz w:val="22"/>
                <w:szCs w:val="22"/>
                <w:lang w:eastAsia="en-GB"/>
                <w14:ligatures w14:val="none"/>
              </w:rPr>
            </w:pPr>
            <w:r>
              <w:rPr>
                <w:rFonts w:ascii="Calibri" w:eastAsia="Times New Roman" w:hAnsi="Calibri" w:cs="Calibri"/>
                <w:color w:val="000000"/>
                <w:kern w:val="0"/>
                <w:sz w:val="22"/>
                <w:szCs w:val="22"/>
                <w:lang w:eastAsia="en-GB"/>
                <w14:ligatures w14:val="none"/>
              </w:rPr>
              <w:t>MDA5</w:t>
            </w:r>
            <w:r w:rsidR="007F0F71" w:rsidRPr="007F0F71">
              <w:rPr>
                <w:rFonts w:ascii="Calibri" w:eastAsia="Times New Roman" w:hAnsi="Calibri" w:cs="Calibri"/>
                <w:color w:val="000000"/>
                <w:kern w:val="0"/>
                <w:sz w:val="22"/>
                <w:szCs w:val="22"/>
                <w:lang w:eastAsia="en-GB"/>
                <w14:ligatures w14:val="none"/>
              </w:rPr>
              <w:t xml:space="preserve"> protected</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18.872.072</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RV01011</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Adar-/-; Mavs-/-</w:t>
            </w:r>
          </w:p>
        </w:tc>
        <w:tc>
          <w:tcPr>
            <w:tcW w:w="174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RNAse only</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12.369.156</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RV01014</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Adar-/-; Mavs-/-</w:t>
            </w:r>
          </w:p>
        </w:tc>
        <w:tc>
          <w:tcPr>
            <w:tcW w:w="174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RNAse only</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10.022.532</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RV01017</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Adar-/-; Mavs-/-</w:t>
            </w:r>
          </w:p>
        </w:tc>
        <w:tc>
          <w:tcPr>
            <w:tcW w:w="174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RNAse only</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9.301.382</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RV01012</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Adar-/-; Mavs-/-</w:t>
            </w:r>
          </w:p>
        </w:tc>
        <w:tc>
          <w:tcPr>
            <w:tcW w:w="174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input</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131.278.150</w:t>
            </w:r>
          </w:p>
        </w:tc>
      </w:tr>
      <w:tr w:rsidR="007F0F71" w:rsidRPr="007F0F71" w:rsidTr="007F0F71">
        <w:trPr>
          <w:trHeight w:val="300"/>
        </w:trPr>
        <w:tc>
          <w:tcPr>
            <w:tcW w:w="1300" w:type="dxa"/>
            <w:tcBorders>
              <w:top w:val="nil"/>
              <w:left w:val="single" w:sz="4" w:space="0" w:color="auto"/>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RV01015</w:t>
            </w:r>
          </w:p>
        </w:tc>
        <w:tc>
          <w:tcPr>
            <w:tcW w:w="130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Adar-/-; Mavs-/-</w:t>
            </w:r>
          </w:p>
        </w:tc>
        <w:tc>
          <w:tcPr>
            <w:tcW w:w="1740" w:type="dxa"/>
            <w:tcBorders>
              <w:top w:val="nil"/>
              <w:left w:val="nil"/>
              <w:bottom w:val="nil"/>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input</w:t>
            </w:r>
          </w:p>
        </w:tc>
        <w:tc>
          <w:tcPr>
            <w:tcW w:w="1340" w:type="dxa"/>
            <w:tcBorders>
              <w:top w:val="nil"/>
              <w:left w:val="nil"/>
              <w:bottom w:val="nil"/>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31.623.717</w:t>
            </w:r>
          </w:p>
        </w:tc>
      </w:tr>
      <w:tr w:rsidR="007F0F71" w:rsidRPr="007F0F71" w:rsidTr="007F0F71">
        <w:trPr>
          <w:trHeight w:val="300"/>
        </w:trPr>
        <w:tc>
          <w:tcPr>
            <w:tcW w:w="1300" w:type="dxa"/>
            <w:tcBorders>
              <w:top w:val="nil"/>
              <w:left w:val="single" w:sz="4" w:space="0" w:color="auto"/>
              <w:bottom w:val="single" w:sz="4" w:space="0" w:color="auto"/>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RV01018</w:t>
            </w:r>
          </w:p>
        </w:tc>
        <w:tc>
          <w:tcPr>
            <w:tcW w:w="1300" w:type="dxa"/>
            <w:tcBorders>
              <w:top w:val="nil"/>
              <w:left w:val="nil"/>
              <w:bottom w:val="single" w:sz="4" w:space="0" w:color="auto"/>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liver</w:t>
            </w:r>
          </w:p>
        </w:tc>
        <w:tc>
          <w:tcPr>
            <w:tcW w:w="1720" w:type="dxa"/>
            <w:tcBorders>
              <w:top w:val="nil"/>
              <w:left w:val="nil"/>
              <w:bottom w:val="single" w:sz="4" w:space="0" w:color="auto"/>
              <w:right w:val="nil"/>
            </w:tcBorders>
            <w:shd w:val="clear" w:color="auto" w:fill="auto"/>
            <w:noWrap/>
            <w:vAlign w:val="bottom"/>
            <w:hideMark/>
          </w:tcPr>
          <w:p w:rsidR="007F0F71" w:rsidRPr="007F0F71" w:rsidRDefault="007F0F71" w:rsidP="007F0F71">
            <w:pPr>
              <w:rPr>
                <w:rFonts w:ascii="Calibri" w:eastAsia="Times New Roman" w:hAnsi="Calibri" w:cs="Calibri"/>
                <w:i/>
                <w:iCs/>
                <w:color w:val="000000"/>
                <w:kern w:val="0"/>
                <w:sz w:val="22"/>
                <w:szCs w:val="22"/>
                <w:lang w:eastAsia="en-GB"/>
                <w14:ligatures w14:val="none"/>
              </w:rPr>
            </w:pPr>
            <w:r w:rsidRPr="007F0F71">
              <w:rPr>
                <w:rFonts w:ascii="Calibri" w:eastAsia="Times New Roman" w:hAnsi="Calibri" w:cs="Calibri"/>
                <w:i/>
                <w:iCs/>
                <w:color w:val="000000"/>
                <w:kern w:val="0"/>
                <w:sz w:val="22"/>
                <w:szCs w:val="22"/>
                <w:lang w:eastAsia="en-GB"/>
                <w14:ligatures w14:val="none"/>
              </w:rPr>
              <w:t>Adar-/-; Mavs-/-</w:t>
            </w:r>
          </w:p>
        </w:tc>
        <w:tc>
          <w:tcPr>
            <w:tcW w:w="1740" w:type="dxa"/>
            <w:tcBorders>
              <w:top w:val="nil"/>
              <w:left w:val="nil"/>
              <w:bottom w:val="single" w:sz="4" w:space="0" w:color="auto"/>
              <w:right w:val="nil"/>
            </w:tcBorders>
            <w:shd w:val="clear" w:color="auto" w:fill="auto"/>
            <w:noWrap/>
            <w:vAlign w:val="bottom"/>
            <w:hideMark/>
          </w:tcPr>
          <w:p w:rsidR="007F0F71" w:rsidRPr="007F0F71" w:rsidRDefault="007F0F71" w:rsidP="007F0F71">
            <w:pPr>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input</w:t>
            </w:r>
          </w:p>
        </w:tc>
        <w:tc>
          <w:tcPr>
            <w:tcW w:w="1340" w:type="dxa"/>
            <w:tcBorders>
              <w:top w:val="nil"/>
              <w:left w:val="nil"/>
              <w:bottom w:val="single" w:sz="4" w:space="0" w:color="auto"/>
              <w:right w:val="single" w:sz="4" w:space="0" w:color="auto"/>
            </w:tcBorders>
            <w:shd w:val="clear" w:color="auto" w:fill="auto"/>
            <w:noWrap/>
            <w:vAlign w:val="bottom"/>
            <w:hideMark/>
          </w:tcPr>
          <w:p w:rsidR="007F0F71" w:rsidRPr="007F0F71" w:rsidRDefault="007F0F71" w:rsidP="007F0F71">
            <w:pPr>
              <w:jc w:val="right"/>
              <w:rPr>
                <w:rFonts w:ascii="Calibri" w:eastAsia="Times New Roman" w:hAnsi="Calibri" w:cs="Calibri"/>
                <w:color w:val="000000"/>
                <w:kern w:val="0"/>
                <w:sz w:val="22"/>
                <w:szCs w:val="22"/>
                <w:lang w:eastAsia="en-GB"/>
                <w14:ligatures w14:val="none"/>
              </w:rPr>
            </w:pPr>
            <w:r w:rsidRPr="007F0F71">
              <w:rPr>
                <w:rFonts w:ascii="Calibri" w:eastAsia="Times New Roman" w:hAnsi="Calibri" w:cs="Calibri"/>
                <w:color w:val="000000"/>
                <w:kern w:val="0"/>
                <w:sz w:val="22"/>
                <w:szCs w:val="22"/>
                <w:lang w:eastAsia="en-GB"/>
                <w14:ligatures w14:val="none"/>
              </w:rPr>
              <w:t>32.712.242</w:t>
            </w:r>
          </w:p>
        </w:tc>
      </w:tr>
    </w:tbl>
    <w:p w:rsidR="00843376" w:rsidRDefault="00843376"/>
    <w:p w:rsidR="00843376" w:rsidRDefault="00843376">
      <w:r>
        <w:br w:type="page"/>
      </w:r>
    </w:p>
    <w:p w:rsidR="002A67F5" w:rsidRDefault="002A67F5"/>
    <w:p w:rsidR="00801011" w:rsidRDefault="00D958C3">
      <w:r>
        <w:rPr>
          <w:noProof/>
        </w:rPr>
        <w:drawing>
          <wp:inline distT="0" distB="0" distL="0" distR="0">
            <wp:extent cx="4318000" cy="5308600"/>
            <wp:effectExtent l="0" t="0" r="0" b="0"/>
            <wp:docPr id="1423124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124243" name="Picture 1423124243"/>
                    <pic:cNvPicPr/>
                  </pic:nvPicPr>
                  <pic:blipFill>
                    <a:blip r:embed="rId5" cstate="print">
                      <a:extLst>
                        <a:ext uri="{28A0092B-C50C-407E-A947-70E740481C1C}">
                          <a14:useLocalDpi xmlns:a14="http://schemas.microsoft.com/office/drawing/2010/main" val="0"/>
                        </a:ext>
                      </a:extLst>
                    </a:blip>
                    <a:stretch>
                      <a:fillRect/>
                    </a:stretch>
                  </pic:blipFill>
                  <pic:spPr>
                    <a:xfrm>
                      <a:off x="0" y="0"/>
                      <a:ext cx="4318000" cy="5308600"/>
                    </a:xfrm>
                    <a:prstGeom prst="rect">
                      <a:avLst/>
                    </a:prstGeom>
                  </pic:spPr>
                </pic:pic>
              </a:graphicData>
            </a:graphic>
          </wp:inline>
        </w:drawing>
      </w:r>
    </w:p>
    <w:p w:rsidR="002A67F5" w:rsidRDefault="002A67F5"/>
    <w:p w:rsidR="00E276DA" w:rsidRDefault="002A67F5" w:rsidP="009B1050">
      <w:pPr>
        <w:jc w:val="both"/>
      </w:pPr>
      <w:r w:rsidRPr="002A67F5">
        <w:rPr>
          <w:b/>
          <w:bCs/>
        </w:rPr>
        <w:t>Supplementary figure 2:</w:t>
      </w:r>
      <w:r>
        <w:t xml:space="preserve"> </w:t>
      </w:r>
    </w:p>
    <w:p w:rsidR="00033145" w:rsidRDefault="002A67F5" w:rsidP="009B1050">
      <w:pPr>
        <w:jc w:val="both"/>
      </w:pPr>
      <w:r>
        <w:t xml:space="preserve">Principle component analysis demonstrates a clear separation of input </w:t>
      </w:r>
      <w:r w:rsidR="00D958C3">
        <w:t xml:space="preserve">(top) and </w:t>
      </w:r>
      <w:r w:rsidR="009B1050">
        <w:t>MDA5</w:t>
      </w:r>
      <w:r w:rsidR="00D958C3">
        <w:t xml:space="preserve">-protected (bottom) </w:t>
      </w:r>
      <w:r>
        <w:t xml:space="preserve">RNAs isolated from livers of </w:t>
      </w:r>
      <w:r w:rsidRPr="002A67F5">
        <w:rPr>
          <w:i/>
          <w:iCs/>
        </w:rPr>
        <w:t>Adar1</w:t>
      </w:r>
      <w:r w:rsidRPr="002A67F5">
        <w:rPr>
          <w:i/>
          <w:iCs/>
          <w:vertAlign w:val="superscript"/>
        </w:rPr>
        <w:t>-/-</w:t>
      </w:r>
      <w:r w:rsidRPr="002A67F5">
        <w:rPr>
          <w:i/>
          <w:iCs/>
        </w:rPr>
        <w:t>; Mavs</w:t>
      </w:r>
      <w:r w:rsidRPr="002A67F5">
        <w:rPr>
          <w:i/>
          <w:iCs/>
          <w:vertAlign w:val="superscript"/>
        </w:rPr>
        <w:t xml:space="preserve"> -/-</w:t>
      </w:r>
      <w:r>
        <w:t xml:space="preserve"> double-knock </w:t>
      </w:r>
      <w:r w:rsidR="00D958C3">
        <w:t xml:space="preserve">(red dots) </w:t>
      </w:r>
      <w:r>
        <w:t xml:space="preserve">out mice or </w:t>
      </w:r>
      <w:r w:rsidRPr="002A67F5">
        <w:rPr>
          <w:i/>
          <w:iCs/>
        </w:rPr>
        <w:t>Mavs</w:t>
      </w:r>
      <w:r w:rsidRPr="002A67F5">
        <w:rPr>
          <w:i/>
          <w:iCs/>
          <w:vertAlign w:val="superscript"/>
        </w:rPr>
        <w:t>-/-</w:t>
      </w:r>
      <w:r>
        <w:t xml:space="preserve"> </w:t>
      </w:r>
      <w:r w:rsidR="00D958C3">
        <w:t xml:space="preserve">(turquoise dots) </w:t>
      </w:r>
      <w:r>
        <w:t>control mice.</w:t>
      </w:r>
    </w:p>
    <w:p w:rsidR="00033145" w:rsidRDefault="00033145">
      <w:r>
        <w:br w:type="page"/>
      </w:r>
    </w:p>
    <w:p w:rsidR="002A67F5" w:rsidRDefault="00033145">
      <w:r>
        <w:rPr>
          <w:noProof/>
        </w:rPr>
        <w:lastRenderedPageBreak/>
        <w:drawing>
          <wp:inline distT="0" distB="0" distL="0" distR="0">
            <wp:extent cx="5731510" cy="5652770"/>
            <wp:effectExtent l="0" t="0" r="0" b="0"/>
            <wp:docPr id="805369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369267" name="Picture 805369267"/>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5652770"/>
                    </a:xfrm>
                    <a:prstGeom prst="rect">
                      <a:avLst/>
                    </a:prstGeom>
                  </pic:spPr>
                </pic:pic>
              </a:graphicData>
            </a:graphic>
          </wp:inline>
        </w:drawing>
      </w:r>
    </w:p>
    <w:p w:rsidR="00033145" w:rsidRDefault="00033145"/>
    <w:p w:rsidR="00033145" w:rsidRDefault="00033145"/>
    <w:p w:rsidR="007C011A" w:rsidRDefault="00033145" w:rsidP="009B1050">
      <w:pPr>
        <w:jc w:val="both"/>
      </w:pPr>
      <w:r w:rsidRPr="00033145">
        <w:rPr>
          <w:b/>
          <w:bCs/>
        </w:rPr>
        <w:t>Supplementary figure 3: Fraction of repeat-derived reads</w:t>
      </w:r>
      <w:r>
        <w:t xml:space="preserve"> in input and </w:t>
      </w:r>
      <w:r w:rsidR="009B1050">
        <w:t>MDA5</w:t>
      </w:r>
      <w:r>
        <w:t>-protected samples as found in wildtype (</w:t>
      </w:r>
      <w:r w:rsidR="009B1050">
        <w:rPr>
          <w:i/>
          <w:iCs/>
        </w:rPr>
        <w:t>M</w:t>
      </w:r>
      <w:proofErr w:type="spellStart"/>
      <w:r w:rsidR="001743B5" w:rsidRPr="001743B5">
        <w:rPr>
          <w:i/>
          <w:iCs/>
          <w:lang w:val="en-US"/>
        </w:rPr>
        <w:t>avs</w:t>
      </w:r>
      <w:proofErr w:type="spellEnd"/>
      <w:r w:rsidRPr="00033145">
        <w:rPr>
          <w:i/>
          <w:iCs/>
          <w:vertAlign w:val="superscript"/>
        </w:rPr>
        <w:t>-/-</w:t>
      </w:r>
      <w:r>
        <w:t>) ADAR1 knockout (</w:t>
      </w:r>
      <w:r w:rsidRPr="00033145">
        <w:rPr>
          <w:i/>
          <w:iCs/>
        </w:rPr>
        <w:t>Adar</w:t>
      </w:r>
      <w:r w:rsidRPr="00033145">
        <w:rPr>
          <w:i/>
          <w:iCs/>
          <w:vertAlign w:val="superscript"/>
        </w:rPr>
        <w:t>-/-</w:t>
      </w:r>
      <w:r w:rsidRPr="00033145">
        <w:rPr>
          <w:i/>
          <w:iCs/>
        </w:rPr>
        <w:t xml:space="preserve">, </w:t>
      </w:r>
      <w:r w:rsidR="009B1050">
        <w:rPr>
          <w:i/>
          <w:iCs/>
        </w:rPr>
        <w:t>M</w:t>
      </w:r>
      <w:proofErr w:type="spellStart"/>
      <w:r w:rsidR="001743B5" w:rsidRPr="001743B5">
        <w:rPr>
          <w:i/>
          <w:iCs/>
          <w:lang w:val="en-US"/>
        </w:rPr>
        <w:t>a</w:t>
      </w:r>
      <w:r w:rsidR="001743B5">
        <w:rPr>
          <w:i/>
          <w:iCs/>
          <w:lang w:val="en-US"/>
        </w:rPr>
        <w:t>vs</w:t>
      </w:r>
      <w:proofErr w:type="spellEnd"/>
      <w:r w:rsidRPr="00033145">
        <w:rPr>
          <w:i/>
          <w:iCs/>
          <w:vertAlign w:val="superscript"/>
        </w:rPr>
        <w:t>-/-</w:t>
      </w:r>
      <w:r>
        <w:t xml:space="preserve">) or in reads of both genotypes. In the </w:t>
      </w:r>
      <w:r w:rsidR="009B1050">
        <w:t>MDA5</w:t>
      </w:r>
      <w:r>
        <w:t>-protected samples, the largest proportion of repeats is found in introns,, 3’UTRs and intergenic regions.</w:t>
      </w:r>
    </w:p>
    <w:p w:rsidR="00033145" w:rsidRDefault="007C011A">
      <w:r>
        <w:rPr>
          <w:noProof/>
        </w:rPr>
        <w:lastRenderedPageBreak/>
        <w:drawing>
          <wp:inline distT="0" distB="0" distL="0" distR="0">
            <wp:extent cx="5731510" cy="4429125"/>
            <wp:effectExtent l="0" t="0" r="0" b="3175"/>
            <wp:docPr id="1134030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030281" name="Picture 113403028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4429125"/>
                    </a:xfrm>
                    <a:prstGeom prst="rect">
                      <a:avLst/>
                    </a:prstGeom>
                  </pic:spPr>
                </pic:pic>
              </a:graphicData>
            </a:graphic>
          </wp:inline>
        </w:drawing>
      </w:r>
    </w:p>
    <w:p w:rsidR="007C011A" w:rsidRDefault="007C011A"/>
    <w:p w:rsidR="00F03429" w:rsidRDefault="007C011A">
      <w:r w:rsidRPr="007C011A">
        <w:rPr>
          <w:b/>
          <w:bCs/>
        </w:rPr>
        <w:t>Supplementary figure 4:</w:t>
      </w:r>
      <w:r>
        <w:t xml:space="preserve"> Secondary structure prediction of </w:t>
      </w:r>
      <w:r w:rsidR="009B1050">
        <w:t>MDA5</w:t>
      </w:r>
      <w:r>
        <w:t>-protected RNA fragments</w:t>
      </w:r>
    </w:p>
    <w:p w:rsidR="00F03429" w:rsidRDefault="00F03429">
      <w:r>
        <w:br w:type="page"/>
      </w:r>
    </w:p>
    <w:p w:rsidR="007C011A" w:rsidRDefault="009168BD">
      <w:r>
        <w:rPr>
          <w:noProof/>
        </w:rPr>
        <w:lastRenderedPageBreak/>
        <w:drawing>
          <wp:inline distT="0" distB="0" distL="0" distR="0">
            <wp:extent cx="5731510" cy="5160645"/>
            <wp:effectExtent l="0" t="0" r="0" b="0"/>
            <wp:docPr id="7568110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811003" name="Picture 756811003"/>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5160645"/>
                    </a:xfrm>
                    <a:prstGeom prst="rect">
                      <a:avLst/>
                    </a:prstGeom>
                  </pic:spPr>
                </pic:pic>
              </a:graphicData>
            </a:graphic>
          </wp:inline>
        </w:drawing>
      </w:r>
    </w:p>
    <w:p w:rsidR="00154A7E" w:rsidRDefault="00D73BD1" w:rsidP="009B1050">
      <w:pPr>
        <w:jc w:val="both"/>
      </w:pPr>
      <w:r w:rsidRPr="00D73BD1">
        <w:rPr>
          <w:b/>
          <w:bCs/>
        </w:rPr>
        <w:t>Supplementary figure 5:</w:t>
      </w:r>
      <w:r>
        <w:rPr>
          <w:b/>
          <w:bCs/>
        </w:rPr>
        <w:t xml:space="preserve"> Structured, </w:t>
      </w:r>
      <w:r w:rsidR="009B1050">
        <w:rPr>
          <w:b/>
          <w:bCs/>
        </w:rPr>
        <w:t>MDA5</w:t>
      </w:r>
      <w:r>
        <w:rPr>
          <w:b/>
          <w:bCs/>
        </w:rPr>
        <w:t xml:space="preserve">-protected RNAs support </w:t>
      </w:r>
      <w:r w:rsidR="009B1050">
        <w:rPr>
          <w:b/>
          <w:bCs/>
        </w:rPr>
        <w:t>MDA5</w:t>
      </w:r>
      <w:r>
        <w:rPr>
          <w:b/>
          <w:bCs/>
        </w:rPr>
        <w:t xml:space="preserve"> polymerization.</w:t>
      </w:r>
      <w:r>
        <w:t xml:space="preserve"> A) In vitro transcribed RNAs harboring two inverted SINEs from the </w:t>
      </w:r>
      <w:r w:rsidR="00A56038">
        <w:t>3</w:t>
      </w:r>
      <w:r>
        <w:t xml:space="preserve">’ UTRs of </w:t>
      </w:r>
      <w:r w:rsidRPr="001743B5">
        <w:rPr>
          <w:i/>
          <w:iCs/>
        </w:rPr>
        <w:t>Rnf168</w:t>
      </w:r>
      <w:r>
        <w:t xml:space="preserve"> and </w:t>
      </w:r>
      <w:r w:rsidRPr="001743B5">
        <w:rPr>
          <w:i/>
          <w:iCs/>
        </w:rPr>
        <w:t>Knl1</w:t>
      </w:r>
      <w:r>
        <w:t>, a LTR element (</w:t>
      </w:r>
      <w:r w:rsidRPr="001743B5">
        <w:rPr>
          <w:i/>
          <w:iCs/>
        </w:rPr>
        <w:t>Zkscan</w:t>
      </w:r>
      <w:r w:rsidR="001743B5" w:rsidRPr="001743B5">
        <w:rPr>
          <w:i/>
          <w:iCs/>
          <w:lang w:val="en-US"/>
        </w:rPr>
        <w:t>3</w:t>
      </w:r>
      <w:r>
        <w:t xml:space="preserve">), a single SINE (1/2 element) or a LINE-b element were tested for their ability to support ATP hydrolysis of </w:t>
      </w:r>
      <w:r w:rsidR="009B1050">
        <w:t>MDA5</w:t>
      </w:r>
      <w:r>
        <w:t xml:space="preserve">. The 3’ UTR of </w:t>
      </w:r>
      <w:r w:rsidR="00A56038">
        <w:t xml:space="preserve">the human </w:t>
      </w:r>
      <w:r w:rsidRPr="001743B5">
        <w:rPr>
          <w:i/>
          <w:iCs/>
        </w:rPr>
        <w:t>Z</w:t>
      </w:r>
      <w:r w:rsidR="001743B5" w:rsidRPr="001743B5">
        <w:rPr>
          <w:i/>
          <w:iCs/>
          <w:lang w:val="en-US"/>
        </w:rPr>
        <w:t>NF</w:t>
      </w:r>
      <w:r w:rsidR="00A56038" w:rsidRPr="001743B5">
        <w:rPr>
          <w:i/>
          <w:iCs/>
        </w:rPr>
        <w:t>-</w:t>
      </w:r>
      <w:r w:rsidRPr="001743B5">
        <w:rPr>
          <w:i/>
          <w:iCs/>
        </w:rPr>
        <w:t>708</w:t>
      </w:r>
      <w:r w:rsidR="00A56038" w:rsidRPr="001743B5">
        <w:rPr>
          <w:i/>
          <w:iCs/>
        </w:rPr>
        <w:t xml:space="preserve"> </w:t>
      </w:r>
      <w:r w:rsidR="00A56038">
        <w:t>transcript</w:t>
      </w:r>
      <w:r>
        <w:t>, harboring t</w:t>
      </w:r>
      <w:r w:rsidR="001743B5" w:rsidRPr="001743B5">
        <w:rPr>
          <w:lang w:val="en-US"/>
        </w:rPr>
        <w:t>w</w:t>
      </w:r>
      <w:r>
        <w:t>o inverted Alu elements and poly I:C were used as controls. Indeed</w:t>
      </w:r>
      <w:r w:rsidR="00A56038">
        <w:t xml:space="preserve">, </w:t>
      </w:r>
      <w:r>
        <w:t>the inverted SINEs and the LTR element do efficiently support ATP hydrolysis</w:t>
      </w:r>
      <w:r w:rsidR="00AA19E6">
        <w:t>, while a single SINE (1/2 element) and a LINE-b element fail to support ATP h</w:t>
      </w:r>
      <w:r w:rsidR="001743B5" w:rsidRPr="001743B5">
        <w:rPr>
          <w:lang w:val="en-US"/>
        </w:rPr>
        <w:t>y</w:t>
      </w:r>
      <w:r w:rsidR="00AA19E6">
        <w:t>drolysis</w:t>
      </w:r>
      <w:r>
        <w:t xml:space="preserve">. B) In the presence of non-hydrolysable AMP-PNP </w:t>
      </w:r>
      <w:r w:rsidR="009B1050">
        <w:t>MDA5</w:t>
      </w:r>
      <w:r>
        <w:t xml:space="preserve"> forms filaments along the structured 3’ UTRs of Rnf168, Knl1 and the </w:t>
      </w:r>
      <w:r w:rsidR="00C50904">
        <w:t>LTR</w:t>
      </w:r>
      <w:r w:rsidR="00A56038">
        <w:t>-element in</w:t>
      </w:r>
      <w:r w:rsidR="00C50904">
        <w:t xml:space="preserve"> </w:t>
      </w:r>
      <w:r w:rsidR="00C50904" w:rsidRPr="001743B5">
        <w:rPr>
          <w:i/>
          <w:iCs/>
        </w:rPr>
        <w:t>Zkscan3</w:t>
      </w:r>
      <w:r w:rsidR="00C50904">
        <w:t xml:space="preserve">, similar to </w:t>
      </w:r>
      <w:r w:rsidR="00C50904" w:rsidRPr="001743B5">
        <w:rPr>
          <w:i/>
          <w:iCs/>
        </w:rPr>
        <w:t>Z</w:t>
      </w:r>
      <w:r w:rsidR="001743B5" w:rsidRPr="001743B5">
        <w:rPr>
          <w:i/>
          <w:iCs/>
          <w:lang w:val="en-US"/>
        </w:rPr>
        <w:t>NF-</w:t>
      </w:r>
      <w:r w:rsidR="00C50904" w:rsidRPr="001743B5">
        <w:rPr>
          <w:i/>
          <w:iCs/>
        </w:rPr>
        <w:t>708</w:t>
      </w:r>
      <w:r w:rsidR="00C50904">
        <w:t xml:space="preserve"> and poly I:C</w:t>
      </w:r>
      <w:r w:rsidR="00613E00">
        <w:t>.</w:t>
      </w:r>
      <w:r w:rsidR="00AA19E6">
        <w:t xml:space="preserve"> Again, the sin</w:t>
      </w:r>
      <w:r w:rsidR="001743B5" w:rsidRPr="001743B5">
        <w:rPr>
          <w:lang w:val="en-US"/>
        </w:rPr>
        <w:t>g</w:t>
      </w:r>
      <w:r w:rsidR="00AA19E6">
        <w:t xml:space="preserve">le SINE and the LINE-b element fail to support filament formation. C) Electron micrographs showing the formation of filaments on the inverted SINEs found in the 3’ UTRs of </w:t>
      </w:r>
      <w:r w:rsidR="00AA19E6" w:rsidRPr="001743B5">
        <w:rPr>
          <w:i/>
          <w:iCs/>
        </w:rPr>
        <w:t>R</w:t>
      </w:r>
      <w:proofErr w:type="spellStart"/>
      <w:r w:rsidR="001743B5" w:rsidRPr="001743B5">
        <w:rPr>
          <w:i/>
          <w:iCs/>
          <w:lang w:val="en-US"/>
        </w:rPr>
        <w:t>nf</w:t>
      </w:r>
      <w:proofErr w:type="spellEnd"/>
      <w:r w:rsidR="00AA19E6" w:rsidRPr="001743B5">
        <w:rPr>
          <w:i/>
          <w:iCs/>
        </w:rPr>
        <w:t>168, Knl1</w:t>
      </w:r>
      <w:r w:rsidR="00AA19E6">
        <w:t xml:space="preserve">, or the LTR element </w:t>
      </w:r>
      <w:r w:rsidR="00AA19E6" w:rsidRPr="001743B5">
        <w:rPr>
          <w:i/>
          <w:iCs/>
        </w:rPr>
        <w:t>Zkscan</w:t>
      </w:r>
      <w:r w:rsidR="001743B5" w:rsidRPr="001743B5">
        <w:rPr>
          <w:i/>
          <w:iCs/>
          <w:lang w:val="en-US"/>
        </w:rPr>
        <w:t>3</w:t>
      </w:r>
      <w:r w:rsidR="00AA19E6">
        <w:t xml:space="preserve">. Human </w:t>
      </w:r>
      <w:r w:rsidR="00AA19E6" w:rsidRPr="001743B5">
        <w:rPr>
          <w:i/>
          <w:iCs/>
        </w:rPr>
        <w:t>Z</w:t>
      </w:r>
      <w:r w:rsidR="001743B5" w:rsidRPr="001743B5">
        <w:rPr>
          <w:i/>
          <w:iCs/>
          <w:lang w:val="en-US"/>
        </w:rPr>
        <w:t>NF</w:t>
      </w:r>
      <w:r w:rsidR="00AA19E6" w:rsidRPr="001743B5">
        <w:rPr>
          <w:i/>
          <w:iCs/>
        </w:rPr>
        <w:t>-708</w:t>
      </w:r>
      <w:r w:rsidR="00AA19E6">
        <w:t xml:space="preserve"> harboring two inverted Alu elements and poly I:C RNA serve as positive controls. Bar=100nm.</w:t>
      </w:r>
    </w:p>
    <w:p w:rsidR="00154A7E" w:rsidRDefault="00154A7E">
      <w:r>
        <w:br w:type="page"/>
      </w:r>
    </w:p>
    <w:p w:rsidR="00D73BD1" w:rsidRDefault="00215930">
      <w:r>
        <w:rPr>
          <w:noProof/>
        </w:rPr>
        <w:lastRenderedPageBreak/>
        <w:drawing>
          <wp:inline distT="0" distB="0" distL="0" distR="0">
            <wp:extent cx="5731510" cy="4123055"/>
            <wp:effectExtent l="0" t="0" r="0" b="4445"/>
            <wp:docPr id="556738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38933" name="Picture 55673893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4123055"/>
                    </a:xfrm>
                    <a:prstGeom prst="rect">
                      <a:avLst/>
                    </a:prstGeom>
                  </pic:spPr>
                </pic:pic>
              </a:graphicData>
            </a:graphic>
          </wp:inline>
        </w:drawing>
      </w:r>
    </w:p>
    <w:p w:rsidR="00F712CA" w:rsidRDefault="00F712CA"/>
    <w:p w:rsidR="00F712CA" w:rsidRDefault="00F712CA" w:rsidP="009B1050">
      <w:pPr>
        <w:jc w:val="both"/>
        <w:rPr>
          <w:b/>
          <w:bCs/>
        </w:rPr>
      </w:pPr>
      <w:r w:rsidRPr="00F712CA">
        <w:rPr>
          <w:b/>
          <w:bCs/>
        </w:rPr>
        <w:t>Supplementary figure 6:Inosine incorporation by T7 polymerase</w:t>
      </w:r>
    </w:p>
    <w:p w:rsidR="00F712CA" w:rsidRDefault="00F712CA" w:rsidP="009B1050">
      <w:pPr>
        <w:jc w:val="both"/>
      </w:pPr>
      <w:r>
        <w:t xml:space="preserve">In vitro transcriptions were set up with 500µM rNTPs where GTP was substitutes with 10, 20, and 50% ITP. Concentrations higher than 50% ITP inhibited transcription. The concentration of incorporated ITP was determined by HPLC of hydrolyzed RNAs </w:t>
      </w:r>
      <w:r w:rsidR="00765713" w:rsidRPr="00765713">
        <w:rPr>
          <w:b/>
          <w:bCs/>
        </w:rPr>
        <w:t>A</w:t>
      </w:r>
      <w:r w:rsidRPr="00765713">
        <w:rPr>
          <w:b/>
          <w:bCs/>
        </w:rPr>
        <w:t>)</w:t>
      </w:r>
      <w:r>
        <w:t xml:space="preserve"> </w:t>
      </w:r>
      <w:r w:rsidRPr="001743B5">
        <w:rPr>
          <w:i/>
          <w:iCs/>
        </w:rPr>
        <w:t>Rnf168</w:t>
      </w:r>
      <w:r>
        <w:t xml:space="preserve">, </w:t>
      </w:r>
      <w:r w:rsidRPr="00765713">
        <w:rPr>
          <w:b/>
          <w:bCs/>
        </w:rPr>
        <w:t>B)</w:t>
      </w:r>
      <w:r>
        <w:t xml:space="preserve"> </w:t>
      </w:r>
      <w:r w:rsidRPr="001743B5">
        <w:rPr>
          <w:i/>
          <w:iCs/>
        </w:rPr>
        <w:t>Knl1</w:t>
      </w:r>
      <w:r>
        <w:t xml:space="preserve">. </w:t>
      </w:r>
      <w:r w:rsidRPr="00765713">
        <w:rPr>
          <w:b/>
          <w:bCs/>
        </w:rPr>
        <w:t>C)</w:t>
      </w:r>
      <w:r>
        <w:t xml:space="preserve"> shows levels of input inosine and ratios of </w:t>
      </w:r>
      <w:r w:rsidR="00765713">
        <w:t>inosines over the sum of</w:t>
      </w:r>
      <w:r>
        <w:t xml:space="preserve"> I</w:t>
      </w:r>
      <w:r w:rsidR="00765713">
        <w:t xml:space="preserve"> </w:t>
      </w:r>
      <w:r>
        <w:t>&amp; G.</w:t>
      </w:r>
      <w:r w:rsidR="00765713">
        <w:t xml:space="preserve"> </w:t>
      </w:r>
      <w:r w:rsidR="00765713" w:rsidRPr="00765713">
        <w:rPr>
          <w:b/>
          <w:bCs/>
        </w:rPr>
        <w:t>D)</w:t>
      </w:r>
      <w:r w:rsidR="00765713">
        <w:rPr>
          <w:b/>
          <w:bCs/>
        </w:rPr>
        <w:t xml:space="preserve"> </w:t>
      </w:r>
      <w:r w:rsidR="00765713">
        <w:t xml:space="preserve">Amount of editing measured for </w:t>
      </w:r>
      <w:r w:rsidR="00765713" w:rsidRPr="001743B5">
        <w:rPr>
          <w:i/>
          <w:iCs/>
        </w:rPr>
        <w:t>Zkscan</w:t>
      </w:r>
      <w:r w:rsidR="001743B5" w:rsidRPr="001743B5">
        <w:rPr>
          <w:i/>
          <w:iCs/>
          <w:lang w:val="en-US"/>
        </w:rPr>
        <w:t>3</w:t>
      </w:r>
      <w:r w:rsidR="00765713">
        <w:t xml:space="preserve"> (LTR), </w:t>
      </w:r>
      <w:r w:rsidR="00765713" w:rsidRPr="001743B5">
        <w:rPr>
          <w:i/>
          <w:iCs/>
        </w:rPr>
        <w:t>Rnf168, Knl1</w:t>
      </w:r>
      <w:r w:rsidR="00765713">
        <w:t xml:space="preserve"> (both SINEs) and </w:t>
      </w:r>
      <w:r w:rsidR="00765713" w:rsidRPr="001743B5">
        <w:rPr>
          <w:i/>
          <w:iCs/>
        </w:rPr>
        <w:t>ZNF</w:t>
      </w:r>
      <w:r w:rsidR="001743B5" w:rsidRPr="001743B5">
        <w:rPr>
          <w:i/>
          <w:iCs/>
          <w:lang w:val="en-US"/>
        </w:rPr>
        <w:t>-</w:t>
      </w:r>
      <w:r w:rsidR="00765713" w:rsidRPr="001743B5">
        <w:rPr>
          <w:i/>
          <w:iCs/>
        </w:rPr>
        <w:t>708</w:t>
      </w:r>
      <w:r w:rsidR="00765713">
        <w:t xml:space="preserve"> (human Alu). Editing levels were measured by Sanger sequencing of RT-PCR products where the hight of the G peak was divided by the sum of the heights of the A and G peaks, for all adenosines present in the double-stranded structure.</w:t>
      </w:r>
    </w:p>
    <w:p w:rsidR="00B1654D" w:rsidRDefault="00B1654D">
      <w:r>
        <w:br w:type="page"/>
      </w:r>
    </w:p>
    <w:p w:rsidR="00B1654D" w:rsidRDefault="00B1654D"/>
    <w:p w:rsidR="00B1654D" w:rsidRDefault="00FE2565">
      <w:r>
        <w:rPr>
          <w:noProof/>
        </w:rPr>
        <w:drawing>
          <wp:inline distT="0" distB="0" distL="0" distR="0">
            <wp:extent cx="3467100" cy="5765800"/>
            <wp:effectExtent l="0" t="0" r="0" b="0"/>
            <wp:docPr id="11483608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360802" name="Picture 114836080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67100" cy="5765800"/>
                    </a:xfrm>
                    <a:prstGeom prst="rect">
                      <a:avLst/>
                    </a:prstGeom>
                  </pic:spPr>
                </pic:pic>
              </a:graphicData>
            </a:graphic>
          </wp:inline>
        </w:drawing>
      </w:r>
    </w:p>
    <w:p w:rsidR="00B1654D" w:rsidRDefault="00B1654D" w:rsidP="009B1050">
      <w:pPr>
        <w:jc w:val="both"/>
        <w:rPr>
          <w:lang w:val="en-US"/>
        </w:rPr>
      </w:pPr>
      <w:r w:rsidRPr="00B1654D">
        <w:rPr>
          <w:b/>
          <w:bCs/>
          <w:lang w:val="en-US"/>
        </w:rPr>
        <w:t xml:space="preserve">Supplementary figure 7: </w:t>
      </w:r>
      <w:r>
        <w:rPr>
          <w:b/>
          <w:bCs/>
          <w:lang w:val="en-US"/>
        </w:rPr>
        <w:t xml:space="preserve">Only inosines incorporated by in vitro editing can suppress </w:t>
      </w:r>
      <w:r w:rsidR="009B1050">
        <w:rPr>
          <w:b/>
          <w:bCs/>
          <w:lang w:val="en-US"/>
        </w:rPr>
        <w:t>MDA5</w:t>
      </w:r>
      <w:r>
        <w:rPr>
          <w:b/>
          <w:bCs/>
          <w:lang w:val="en-US"/>
        </w:rPr>
        <w:t xml:space="preserve"> filament formation.</w:t>
      </w:r>
    </w:p>
    <w:p w:rsidR="00B1654D" w:rsidRDefault="00B1654D" w:rsidP="009B1050">
      <w:pPr>
        <w:jc w:val="both"/>
        <w:rPr>
          <w:lang w:val="en-US"/>
        </w:rPr>
      </w:pPr>
      <w:r w:rsidRPr="00F348A1">
        <w:rPr>
          <w:b/>
          <w:bCs/>
          <w:lang w:val="en-US"/>
        </w:rPr>
        <w:t>A)</w:t>
      </w:r>
      <w:r>
        <w:rPr>
          <w:lang w:val="en-US"/>
        </w:rPr>
        <w:t xml:space="preserve"> The 3' UTR of mouse </w:t>
      </w:r>
      <w:r w:rsidRPr="001743B5">
        <w:rPr>
          <w:i/>
          <w:iCs/>
          <w:lang w:val="en-US"/>
        </w:rPr>
        <w:t>Knl1</w:t>
      </w:r>
      <w:r>
        <w:rPr>
          <w:lang w:val="en-US"/>
        </w:rPr>
        <w:t xml:space="preserve"> carrying two inverted SINEs was i</w:t>
      </w:r>
      <w:r w:rsidRPr="00FE2565">
        <w:rPr>
          <w:i/>
          <w:iCs/>
          <w:lang w:val="en-US"/>
        </w:rPr>
        <w:t>n vitro</w:t>
      </w:r>
      <w:r>
        <w:rPr>
          <w:lang w:val="en-US"/>
        </w:rPr>
        <w:t xml:space="preserve"> transcribed in the presence or absence of 10, 20, or 50% inosine triphosphate or in-vitro edited by recombinant ADAR1p110, ADAR1p150 or ADAR2 and incubated with recombinant </w:t>
      </w:r>
      <w:r w:rsidR="009B1050">
        <w:rPr>
          <w:lang w:val="en-US"/>
        </w:rPr>
        <w:t>MDA5</w:t>
      </w:r>
      <w:r>
        <w:rPr>
          <w:lang w:val="en-US"/>
        </w:rPr>
        <w:t xml:space="preserve"> lacking the CARD domains in the presence of non-</w:t>
      </w:r>
      <w:proofErr w:type="spellStart"/>
      <w:r>
        <w:rPr>
          <w:lang w:val="en-US"/>
        </w:rPr>
        <w:t>hydrolyzable</w:t>
      </w:r>
      <w:proofErr w:type="spellEnd"/>
      <w:r>
        <w:rPr>
          <w:lang w:val="en-US"/>
        </w:rPr>
        <w:t xml:space="preserve"> ATP. Unedited RNA and RNA with inosines incorporated during in vitro transcription support </w:t>
      </w:r>
      <w:r w:rsidR="009B1050">
        <w:rPr>
          <w:lang w:val="en-US"/>
        </w:rPr>
        <w:t>MDA5</w:t>
      </w:r>
      <w:r>
        <w:rPr>
          <w:lang w:val="en-US"/>
        </w:rPr>
        <w:t xml:space="preserve"> filament formation. In contrast, RNAs </w:t>
      </w:r>
      <w:r w:rsidR="00F348A1">
        <w:rPr>
          <w:lang w:val="en-US"/>
        </w:rPr>
        <w:t xml:space="preserve">that were edited </w:t>
      </w:r>
      <w:r w:rsidR="00F348A1" w:rsidRPr="00FE2565">
        <w:rPr>
          <w:i/>
          <w:iCs/>
          <w:lang w:val="en-US"/>
        </w:rPr>
        <w:t>in vitro</w:t>
      </w:r>
      <w:r w:rsidR="00F348A1">
        <w:rPr>
          <w:lang w:val="en-US"/>
        </w:rPr>
        <w:t xml:space="preserve"> by any ADAR enzyme no longer support filament formation.</w:t>
      </w:r>
      <w:r w:rsidR="00F348A1">
        <w:rPr>
          <w:lang w:val="en-US"/>
        </w:rPr>
        <w:br/>
      </w:r>
      <w:r w:rsidR="00F348A1" w:rsidRPr="00F348A1">
        <w:rPr>
          <w:b/>
          <w:bCs/>
          <w:lang w:val="en-US"/>
        </w:rPr>
        <w:t>B)</w:t>
      </w:r>
      <w:r w:rsidR="00F348A1">
        <w:rPr>
          <w:lang w:val="en-US"/>
        </w:rPr>
        <w:t xml:space="preserve"> The experiment described in A) was performed with </w:t>
      </w:r>
      <w:r w:rsidR="00F348A1" w:rsidRPr="00FE2565">
        <w:rPr>
          <w:i/>
          <w:iCs/>
          <w:lang w:val="en-US"/>
        </w:rPr>
        <w:t>in vitro</w:t>
      </w:r>
      <w:r w:rsidR="00F348A1">
        <w:rPr>
          <w:lang w:val="en-US"/>
        </w:rPr>
        <w:t xml:space="preserve"> transcribed 3' UTR of </w:t>
      </w:r>
      <w:r w:rsidR="00FE2565">
        <w:rPr>
          <w:lang w:val="en-US"/>
        </w:rPr>
        <w:t xml:space="preserve">human </w:t>
      </w:r>
      <w:r w:rsidR="00F348A1">
        <w:rPr>
          <w:lang w:val="en-US"/>
        </w:rPr>
        <w:t xml:space="preserve">Znf708 which carries two inverted Alu elements. Again, only unedited RNA or RNAs carrying inosines incorporated by in-vitro transcription support </w:t>
      </w:r>
      <w:r w:rsidR="009B1050">
        <w:rPr>
          <w:lang w:val="en-US"/>
        </w:rPr>
        <w:t>MDA5</w:t>
      </w:r>
      <w:r w:rsidR="00F348A1">
        <w:rPr>
          <w:lang w:val="en-US"/>
        </w:rPr>
        <w:t xml:space="preserve"> filament formation, while in vitro edited RNAs fail to support </w:t>
      </w:r>
      <w:r w:rsidR="009B1050">
        <w:rPr>
          <w:lang w:val="en-US"/>
        </w:rPr>
        <w:t>MDA5</w:t>
      </w:r>
      <w:r w:rsidR="00F348A1">
        <w:rPr>
          <w:lang w:val="en-US"/>
        </w:rPr>
        <w:t xml:space="preserve"> filaments.</w:t>
      </w:r>
    </w:p>
    <w:p w:rsidR="00682A22" w:rsidRDefault="00F348A1" w:rsidP="009B1050">
      <w:pPr>
        <w:jc w:val="both"/>
        <w:rPr>
          <w:lang w:val="en-US"/>
        </w:rPr>
      </w:pPr>
      <w:r w:rsidRPr="00F348A1">
        <w:rPr>
          <w:b/>
          <w:bCs/>
          <w:lang w:val="en-US"/>
        </w:rPr>
        <w:t xml:space="preserve">C &amp; D </w:t>
      </w:r>
      <w:r>
        <w:rPr>
          <w:lang w:val="en-US"/>
        </w:rPr>
        <w:t xml:space="preserve">quantitation of 10 ROIs of the data shown in </w:t>
      </w:r>
      <w:r w:rsidRPr="00F348A1">
        <w:rPr>
          <w:b/>
          <w:bCs/>
          <w:lang w:val="en-US"/>
        </w:rPr>
        <w:t>A</w:t>
      </w:r>
      <w:r>
        <w:rPr>
          <w:lang w:val="en-US"/>
        </w:rPr>
        <w:t xml:space="preserve"> and </w:t>
      </w:r>
      <w:r w:rsidRPr="00F348A1">
        <w:rPr>
          <w:b/>
          <w:bCs/>
          <w:lang w:val="en-US"/>
        </w:rPr>
        <w:t>B</w:t>
      </w:r>
      <w:r>
        <w:rPr>
          <w:lang w:val="en-US"/>
        </w:rPr>
        <w:t>, respectively.</w:t>
      </w:r>
    </w:p>
    <w:p w:rsidR="00682A22" w:rsidRDefault="00682A22">
      <w:pPr>
        <w:rPr>
          <w:lang w:val="en-US"/>
        </w:rPr>
      </w:pPr>
      <w:r>
        <w:rPr>
          <w:lang w:val="en-US"/>
        </w:rPr>
        <w:br w:type="page"/>
      </w:r>
    </w:p>
    <w:p w:rsidR="00682A22" w:rsidRDefault="000C1E18" w:rsidP="009B1050">
      <w:pPr>
        <w:jc w:val="both"/>
        <w:rPr>
          <w:lang w:val="en-US"/>
        </w:rPr>
      </w:pPr>
      <w:r>
        <w:rPr>
          <w:noProof/>
          <w:lang w:val="en-US"/>
        </w:rPr>
        <w:lastRenderedPageBreak/>
        <mc:AlternateContent>
          <mc:Choice Requires="wps">
            <w:drawing>
              <wp:anchor distT="0" distB="0" distL="114300" distR="114300" simplePos="0" relativeHeight="251659264" behindDoc="0" locked="0" layoutInCell="1" allowOverlap="1">
                <wp:simplePos x="0" y="0"/>
                <wp:positionH relativeFrom="column">
                  <wp:posOffset>-14990</wp:posOffset>
                </wp:positionH>
                <wp:positionV relativeFrom="paragraph">
                  <wp:posOffset>2510852</wp:posOffset>
                </wp:positionV>
                <wp:extent cx="6056026" cy="2998033"/>
                <wp:effectExtent l="0" t="0" r="1905" b="0"/>
                <wp:wrapTopAndBottom/>
                <wp:docPr id="1814434268" name="Text Box 2"/>
                <wp:cNvGraphicFramePr/>
                <a:graphic xmlns:a="http://schemas.openxmlformats.org/drawingml/2006/main">
                  <a:graphicData uri="http://schemas.microsoft.com/office/word/2010/wordprocessingShape">
                    <wps:wsp>
                      <wps:cNvSpPr txBox="1"/>
                      <wps:spPr>
                        <a:xfrm>
                          <a:off x="0" y="0"/>
                          <a:ext cx="6056026" cy="2998033"/>
                        </a:xfrm>
                        <a:prstGeom prst="rect">
                          <a:avLst/>
                        </a:prstGeom>
                        <a:solidFill>
                          <a:schemeClr val="lt1"/>
                        </a:solidFill>
                        <a:ln w="6350">
                          <a:noFill/>
                        </a:ln>
                      </wps:spPr>
                      <wps:txbx>
                        <w:txbxContent>
                          <w:p w:rsidR="000C1E18" w:rsidRPr="002638D8" w:rsidRDefault="000C1E18" w:rsidP="009B1050">
                            <w:pPr>
                              <w:jc w:val="both"/>
                              <w:rPr>
                                <w:b/>
                                <w:bCs/>
                                <w:lang w:val="en-US"/>
                              </w:rPr>
                            </w:pPr>
                            <w:r w:rsidRPr="002638D8">
                              <w:rPr>
                                <w:b/>
                                <w:bCs/>
                                <w:lang w:val="en-US"/>
                              </w:rPr>
                              <w:t xml:space="preserve">Supplementary figure </w:t>
                            </w:r>
                            <w:r w:rsidR="00EE74D3">
                              <w:rPr>
                                <w:b/>
                                <w:bCs/>
                                <w:lang w:val="en-US"/>
                              </w:rPr>
                              <w:t>8</w:t>
                            </w:r>
                            <w:r w:rsidRPr="002638D8">
                              <w:rPr>
                                <w:b/>
                                <w:bCs/>
                                <w:lang w:val="en-US"/>
                              </w:rPr>
                              <w:t xml:space="preserve">: </w:t>
                            </w:r>
                            <w:r w:rsidR="001A1397">
                              <w:rPr>
                                <w:b/>
                                <w:bCs/>
                                <w:lang w:val="en-US"/>
                              </w:rPr>
                              <w:t>T</w:t>
                            </w:r>
                            <w:r w:rsidRPr="002638D8">
                              <w:rPr>
                                <w:b/>
                                <w:bCs/>
                                <w:lang w:val="en-US"/>
                              </w:rPr>
                              <w:t xml:space="preserve">he double-stranded </w:t>
                            </w:r>
                            <w:r w:rsidR="001A1397">
                              <w:rPr>
                                <w:b/>
                                <w:bCs/>
                                <w:lang w:val="en-US"/>
                              </w:rPr>
                              <w:t xml:space="preserve">UTRs of </w:t>
                            </w:r>
                            <w:r w:rsidR="001A1397" w:rsidRPr="001743B5">
                              <w:rPr>
                                <w:b/>
                                <w:bCs/>
                                <w:i/>
                                <w:iCs/>
                                <w:lang w:val="en-US"/>
                              </w:rPr>
                              <w:t xml:space="preserve">Rnf168, </w:t>
                            </w:r>
                            <w:r w:rsidRPr="001743B5">
                              <w:rPr>
                                <w:b/>
                                <w:bCs/>
                                <w:i/>
                                <w:iCs/>
                                <w:lang w:val="en-US"/>
                              </w:rPr>
                              <w:t>Knl1</w:t>
                            </w:r>
                            <w:r w:rsidRPr="002638D8">
                              <w:rPr>
                                <w:b/>
                                <w:bCs/>
                                <w:lang w:val="en-US"/>
                              </w:rPr>
                              <w:t xml:space="preserve"> </w:t>
                            </w:r>
                            <w:r w:rsidR="001A1397">
                              <w:rPr>
                                <w:b/>
                                <w:bCs/>
                                <w:lang w:val="en-US"/>
                              </w:rPr>
                              <w:t>and the LTR element</w:t>
                            </w:r>
                            <w:r w:rsidR="001A1397" w:rsidRPr="001A1397">
                              <w:rPr>
                                <w:b/>
                                <w:bCs/>
                                <w:lang w:val="en-US"/>
                              </w:rPr>
                              <w:t xml:space="preserve"> </w:t>
                            </w:r>
                            <w:r w:rsidR="001A1397" w:rsidRPr="001743B5">
                              <w:rPr>
                                <w:b/>
                                <w:bCs/>
                                <w:i/>
                                <w:iCs/>
                                <w:lang w:val="en-US"/>
                              </w:rPr>
                              <w:t>Zkscan3</w:t>
                            </w:r>
                            <w:r w:rsidR="001A1397">
                              <w:rPr>
                                <w:b/>
                                <w:bCs/>
                                <w:lang w:val="en-US"/>
                              </w:rPr>
                              <w:t xml:space="preserve"> induce an interferon response stimulating Irf7 expression that is antagonized by in vitro editing but not by inosines introduced by in vitro transcription</w:t>
                            </w:r>
                            <w:r w:rsidRPr="002638D8">
                              <w:rPr>
                                <w:b/>
                                <w:bCs/>
                                <w:lang w:val="en-US"/>
                              </w:rPr>
                              <w:t>.</w:t>
                            </w:r>
                          </w:p>
                          <w:p w:rsidR="000C1E18" w:rsidRPr="000C1E18" w:rsidRDefault="00AF6AA3" w:rsidP="009B1050">
                            <w:pPr>
                              <w:jc w:val="both"/>
                              <w:rPr>
                                <w:lang w:val="en-US"/>
                              </w:rPr>
                            </w:pPr>
                            <w:r>
                              <w:rPr>
                                <w:lang w:val="en-US"/>
                              </w:rPr>
                              <w:t>Immortalized mouse embryonic fibroblasts</w:t>
                            </w:r>
                            <w:r w:rsidR="000C1E18">
                              <w:rPr>
                                <w:lang w:val="en-US"/>
                              </w:rPr>
                              <w:t xml:space="preserve"> were transfected with 300ng of in vitro transcribed and dephosphorylated RNA originating from the 3' UTR</w:t>
                            </w:r>
                            <w:r w:rsidR="001A1397">
                              <w:rPr>
                                <w:lang w:val="en-US"/>
                              </w:rPr>
                              <w:t>s</w:t>
                            </w:r>
                            <w:r w:rsidR="000C1E18">
                              <w:rPr>
                                <w:lang w:val="en-US"/>
                              </w:rPr>
                              <w:t xml:space="preserve"> of </w:t>
                            </w:r>
                            <w:r>
                              <w:rPr>
                                <w:lang w:val="en-US"/>
                              </w:rPr>
                              <w:t xml:space="preserve">the mouse </w:t>
                            </w:r>
                            <w:r w:rsidR="001A1397" w:rsidRPr="001A1397">
                              <w:rPr>
                                <w:i/>
                                <w:iCs/>
                                <w:lang w:val="en-US"/>
                              </w:rPr>
                              <w:t>Rnf168</w:t>
                            </w:r>
                            <w:r w:rsidR="001A1397">
                              <w:rPr>
                                <w:lang w:val="en-US"/>
                              </w:rPr>
                              <w:t xml:space="preserve"> or </w:t>
                            </w:r>
                            <w:r w:rsidR="000C1E18" w:rsidRPr="002638D8">
                              <w:rPr>
                                <w:i/>
                                <w:iCs/>
                                <w:lang w:val="en-US"/>
                              </w:rPr>
                              <w:t>Knl1</w:t>
                            </w:r>
                            <w:r w:rsidR="000C1E18">
                              <w:rPr>
                                <w:lang w:val="en-US"/>
                              </w:rPr>
                              <w:t xml:space="preserve"> </w:t>
                            </w:r>
                            <w:r>
                              <w:rPr>
                                <w:lang w:val="en-US"/>
                              </w:rPr>
                              <w:t>gene</w:t>
                            </w:r>
                            <w:r w:rsidR="001A1397">
                              <w:rPr>
                                <w:lang w:val="en-US"/>
                              </w:rPr>
                              <w:t>s</w:t>
                            </w:r>
                            <w:r>
                              <w:rPr>
                                <w:lang w:val="en-US"/>
                              </w:rPr>
                              <w:t xml:space="preserve"> </w:t>
                            </w:r>
                            <w:r w:rsidR="001A1397">
                              <w:rPr>
                                <w:lang w:val="en-US"/>
                              </w:rPr>
                              <w:t>harboring</w:t>
                            </w:r>
                            <w:r w:rsidR="000C1E18">
                              <w:rPr>
                                <w:lang w:val="en-US"/>
                              </w:rPr>
                              <w:t xml:space="preserve"> two inverted SINEs. </w:t>
                            </w:r>
                            <w:r w:rsidR="001A1397">
                              <w:rPr>
                                <w:lang w:val="en-US"/>
                              </w:rPr>
                              <w:t xml:space="preserve">Also the </w:t>
                            </w:r>
                            <w:r w:rsidR="001A1397" w:rsidRPr="009B1050">
                              <w:rPr>
                                <w:i/>
                                <w:iCs/>
                                <w:lang w:val="en-US"/>
                              </w:rPr>
                              <w:t>in vitro</w:t>
                            </w:r>
                            <w:r w:rsidR="001A1397">
                              <w:rPr>
                                <w:lang w:val="en-US"/>
                              </w:rPr>
                              <w:t xml:space="preserve"> transcribed LTR element located at the Zkscan3 gene was transcribed. </w:t>
                            </w:r>
                            <w:r w:rsidR="000C1E18">
                              <w:rPr>
                                <w:lang w:val="en-US"/>
                              </w:rPr>
                              <w:t xml:space="preserve">The RNA was either transfected as is, or was treated with recombinant ADAR2, ADAR1p110 or ADAR1p150. Alternatively, GTP was substituted by ITP during in vitro transcription to 10%, 20% or 50%, as indicated. 24 hrs post transfection total RNA was extracted, cDNA was synthesized from 200ng RNA and the cDNA was used for qPCR to determine expression levels of </w:t>
                            </w:r>
                            <w:r w:rsidR="000C1E18" w:rsidRPr="000C1E18">
                              <w:rPr>
                                <w:i/>
                                <w:iCs/>
                                <w:lang w:val="en-US"/>
                              </w:rPr>
                              <w:t>Irf7</w:t>
                            </w:r>
                            <w:r w:rsidR="000C1E18">
                              <w:rPr>
                                <w:lang w:val="en-US"/>
                              </w:rPr>
                              <w:t xml:space="preserve">. </w:t>
                            </w:r>
                            <w:r w:rsidR="000C1E18" w:rsidRPr="000C1E18">
                              <w:rPr>
                                <w:i/>
                                <w:iCs/>
                                <w:lang w:val="en-US"/>
                              </w:rPr>
                              <w:t>Gapdh</w:t>
                            </w:r>
                            <w:r w:rsidR="000C1E18">
                              <w:rPr>
                                <w:lang w:val="en-US"/>
                              </w:rPr>
                              <w:t xml:space="preserve"> was used as a reference. the fold change induction over Mock transfected (transfection reagent only) was calculated and is plotted on the Y-axes.</w:t>
                            </w:r>
                            <w:r w:rsidR="001A1397">
                              <w:rPr>
                                <w:lang w:val="en-US"/>
                              </w:rPr>
                              <w:t xml:space="preserve"> In vitro transcribed RNAs or RNAs in which inosines were substituting guanosines during in vitro transcription can boostIRF7 expression, comparable to rI:rC RNA. In contrast, RNAs edited by ADAR2, ADAR1p110 or ADAR1p150 fail to cause an IFN response.</w:t>
                            </w:r>
                          </w:p>
                          <w:p w:rsidR="009B1050" w:rsidRDefault="009B10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2pt;margin-top:197.7pt;width:476.85pt;height:236.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" fillcolor="white [3201]" stroked="f" strokeweight=".5pt">
                <v:textbox>
                  <w:txbxContent>
                    <w:p w:rsidR="000C1E18" w:rsidRPr="002638D8" w:rsidRDefault="000C1E18" w:rsidP="009B1050">
                      <w:pPr>
                        <w:jc w:val="both"/>
                        <w:rPr>
                          <w:b/>
                          <w:bCs/>
                          <w:lang w:val="en-US"/>
                        </w:rPr>
                      </w:pPr>
                      <w:r w:rsidRPr="002638D8">
                        <w:rPr>
                          <w:b/>
                          <w:bCs/>
                          <w:lang w:val="en-US"/>
                        </w:rPr>
                        <w:t xml:space="preserve">Supplementary figure </w:t>
                      </w:r>
                      <w:r w:rsidR="00EE74D3">
                        <w:rPr>
                          <w:b/>
                          <w:bCs/>
                          <w:lang w:val="en-US"/>
                        </w:rPr>
                        <w:t>8</w:t>
                      </w:r>
                      <w:r w:rsidRPr="002638D8">
                        <w:rPr>
                          <w:b/>
                          <w:bCs/>
                          <w:lang w:val="en-US"/>
                        </w:rPr>
                        <w:t xml:space="preserve">: </w:t>
                      </w:r>
                      <w:r w:rsidR="001A1397">
                        <w:rPr>
                          <w:b/>
                          <w:bCs/>
                          <w:lang w:val="en-US"/>
                        </w:rPr>
                        <w:t>T</w:t>
                      </w:r>
                      <w:r w:rsidRPr="002638D8">
                        <w:rPr>
                          <w:b/>
                          <w:bCs/>
                          <w:lang w:val="en-US"/>
                        </w:rPr>
                        <w:t xml:space="preserve">he double-stranded </w:t>
                      </w:r>
                      <w:r w:rsidR="001A1397">
                        <w:rPr>
                          <w:b/>
                          <w:bCs/>
                          <w:lang w:val="en-US"/>
                        </w:rPr>
                        <w:t xml:space="preserve">UTRs of </w:t>
                      </w:r>
                      <w:r w:rsidR="001A1397" w:rsidRPr="001743B5">
                        <w:rPr>
                          <w:b/>
                          <w:bCs/>
                          <w:i/>
                          <w:iCs/>
                          <w:lang w:val="en-US"/>
                        </w:rPr>
                        <w:t xml:space="preserve">Rnf168, </w:t>
                      </w:r>
                      <w:r w:rsidRPr="001743B5">
                        <w:rPr>
                          <w:b/>
                          <w:bCs/>
                          <w:i/>
                          <w:iCs/>
                          <w:lang w:val="en-US"/>
                        </w:rPr>
                        <w:t>Knl1</w:t>
                      </w:r>
                      <w:r w:rsidRPr="002638D8">
                        <w:rPr>
                          <w:b/>
                          <w:bCs/>
                          <w:lang w:val="en-US"/>
                        </w:rPr>
                        <w:t xml:space="preserve"> </w:t>
                      </w:r>
                      <w:r w:rsidR="001A1397">
                        <w:rPr>
                          <w:b/>
                          <w:bCs/>
                          <w:lang w:val="en-US"/>
                        </w:rPr>
                        <w:t>and the LTR element</w:t>
                      </w:r>
                      <w:r w:rsidR="001A1397" w:rsidRPr="001A1397">
                        <w:rPr>
                          <w:b/>
                          <w:bCs/>
                          <w:lang w:val="en-US"/>
                        </w:rPr>
                        <w:t xml:space="preserve"> </w:t>
                      </w:r>
                      <w:r w:rsidR="001A1397" w:rsidRPr="001743B5">
                        <w:rPr>
                          <w:b/>
                          <w:bCs/>
                          <w:i/>
                          <w:iCs/>
                          <w:lang w:val="en-US"/>
                        </w:rPr>
                        <w:t>Zkscan3</w:t>
                      </w:r>
                      <w:r w:rsidR="001A1397">
                        <w:rPr>
                          <w:b/>
                          <w:bCs/>
                          <w:lang w:val="en-US"/>
                        </w:rPr>
                        <w:t xml:space="preserve"> induce an interferon response stimulating Irf7 expression that is antagonized by in vitro editing but not by inosines introduced by in vitro transcription</w:t>
                      </w:r>
                      <w:r w:rsidRPr="002638D8">
                        <w:rPr>
                          <w:b/>
                          <w:bCs/>
                          <w:lang w:val="en-US"/>
                        </w:rPr>
                        <w:t>.</w:t>
                      </w:r>
                    </w:p>
                    <w:p w:rsidR="000C1E18" w:rsidRPr="000C1E18" w:rsidRDefault="00AF6AA3" w:rsidP="009B1050">
                      <w:pPr>
                        <w:jc w:val="both"/>
                        <w:rPr>
                          <w:lang w:val="en-US"/>
                        </w:rPr>
                      </w:pPr>
                      <w:r>
                        <w:rPr>
                          <w:lang w:val="en-US"/>
                        </w:rPr>
                        <w:t>Immortalized mouse embryonic fibroblasts</w:t>
                      </w:r>
                      <w:r w:rsidR="000C1E18">
                        <w:rPr>
                          <w:lang w:val="en-US"/>
                        </w:rPr>
                        <w:t xml:space="preserve"> were transfected with 300ng of in vitro transcribed and dephosphorylated RNA originating from the 3' UTR</w:t>
                      </w:r>
                      <w:r w:rsidR="001A1397">
                        <w:rPr>
                          <w:lang w:val="en-US"/>
                        </w:rPr>
                        <w:t>s</w:t>
                      </w:r>
                      <w:r w:rsidR="000C1E18">
                        <w:rPr>
                          <w:lang w:val="en-US"/>
                        </w:rPr>
                        <w:t xml:space="preserve"> of </w:t>
                      </w:r>
                      <w:r>
                        <w:rPr>
                          <w:lang w:val="en-US"/>
                        </w:rPr>
                        <w:t xml:space="preserve">the mouse </w:t>
                      </w:r>
                      <w:r w:rsidR="001A1397" w:rsidRPr="001A1397">
                        <w:rPr>
                          <w:i/>
                          <w:iCs/>
                          <w:lang w:val="en-US"/>
                        </w:rPr>
                        <w:t>Rnf168</w:t>
                      </w:r>
                      <w:r w:rsidR="001A1397">
                        <w:rPr>
                          <w:lang w:val="en-US"/>
                        </w:rPr>
                        <w:t xml:space="preserve"> or </w:t>
                      </w:r>
                      <w:r w:rsidR="000C1E18" w:rsidRPr="002638D8">
                        <w:rPr>
                          <w:i/>
                          <w:iCs/>
                          <w:lang w:val="en-US"/>
                        </w:rPr>
                        <w:t>Knl1</w:t>
                      </w:r>
                      <w:r w:rsidR="000C1E18">
                        <w:rPr>
                          <w:lang w:val="en-US"/>
                        </w:rPr>
                        <w:t xml:space="preserve"> </w:t>
                      </w:r>
                      <w:r>
                        <w:rPr>
                          <w:lang w:val="en-US"/>
                        </w:rPr>
                        <w:t>gene</w:t>
                      </w:r>
                      <w:r w:rsidR="001A1397">
                        <w:rPr>
                          <w:lang w:val="en-US"/>
                        </w:rPr>
                        <w:t>s</w:t>
                      </w:r>
                      <w:r>
                        <w:rPr>
                          <w:lang w:val="en-US"/>
                        </w:rPr>
                        <w:t xml:space="preserve"> </w:t>
                      </w:r>
                      <w:r w:rsidR="001A1397">
                        <w:rPr>
                          <w:lang w:val="en-US"/>
                        </w:rPr>
                        <w:t>harboring</w:t>
                      </w:r>
                      <w:r w:rsidR="000C1E18">
                        <w:rPr>
                          <w:lang w:val="en-US"/>
                        </w:rPr>
                        <w:t xml:space="preserve"> two inverted SINEs. </w:t>
                      </w:r>
                      <w:r w:rsidR="001A1397">
                        <w:rPr>
                          <w:lang w:val="en-US"/>
                        </w:rPr>
                        <w:t xml:space="preserve">Also the </w:t>
                      </w:r>
                      <w:r w:rsidR="001A1397" w:rsidRPr="009B1050">
                        <w:rPr>
                          <w:i/>
                          <w:iCs/>
                          <w:lang w:val="en-US"/>
                        </w:rPr>
                        <w:t>in vitro</w:t>
                      </w:r>
                      <w:r w:rsidR="001A1397">
                        <w:rPr>
                          <w:lang w:val="en-US"/>
                        </w:rPr>
                        <w:t xml:space="preserve"> transcribed LTR element located at the Zkscan3 gene was transcribed. </w:t>
                      </w:r>
                      <w:r w:rsidR="000C1E18">
                        <w:rPr>
                          <w:lang w:val="en-US"/>
                        </w:rPr>
                        <w:t xml:space="preserve">The RNA was either transfected as is, or was treated with recombinant ADAR2, ADAR1p110 or ADAR1p150. Alternatively, GTP was substituted by ITP during in vitro transcription to 10%, 20% or 50%, as indicated. 24 hrs post transfection total RNA was extracted, cDNA was synthesized from 200ng RNA and the cDNA was used for qPCR to determine expression levels of </w:t>
                      </w:r>
                      <w:r w:rsidR="000C1E18" w:rsidRPr="000C1E18">
                        <w:rPr>
                          <w:i/>
                          <w:iCs/>
                          <w:lang w:val="en-US"/>
                        </w:rPr>
                        <w:t>Irf7</w:t>
                      </w:r>
                      <w:r w:rsidR="000C1E18">
                        <w:rPr>
                          <w:lang w:val="en-US"/>
                        </w:rPr>
                        <w:t xml:space="preserve">. </w:t>
                      </w:r>
                      <w:r w:rsidR="000C1E18" w:rsidRPr="000C1E18">
                        <w:rPr>
                          <w:i/>
                          <w:iCs/>
                          <w:lang w:val="en-US"/>
                        </w:rPr>
                        <w:t>Gapdh</w:t>
                      </w:r>
                      <w:r w:rsidR="000C1E18">
                        <w:rPr>
                          <w:lang w:val="en-US"/>
                        </w:rPr>
                        <w:t xml:space="preserve"> was used as a reference. the fold change induction over Mock transfected (transfection reagent only) was calculated and is plotted on the Y-axes.</w:t>
                      </w:r>
                      <w:r w:rsidR="001A1397">
                        <w:rPr>
                          <w:lang w:val="en-US"/>
                        </w:rPr>
                        <w:t xml:space="preserve"> In vitro transcribed RNAs or RNAs in which inosines were substituting guanosines during in vitro transcription can boostIRF7 expression, comparable to rI:rC RNA. In contrast, RNAs edited by ADAR2, ADAR1p110 or ADAR1p150 fail to cause an IFN response.</w:t>
                      </w:r>
                    </w:p>
                    <w:p w:rsidR="009B1050" w:rsidRDefault="009B1050"/>
                  </w:txbxContent>
                </v:textbox>
                <w10:wrap type="topAndBottom"/>
              </v:shape>
            </w:pict>
          </mc:Fallback>
        </mc:AlternateContent>
      </w:r>
      <w:r w:rsidR="001A1397">
        <w:rPr>
          <w:noProof/>
          <w:lang w:val="en-US"/>
        </w:rPr>
        <w:drawing>
          <wp:inline distT="0" distB="0" distL="0" distR="0">
            <wp:extent cx="5731510" cy="2351405"/>
            <wp:effectExtent l="0" t="0" r="0" b="0"/>
            <wp:docPr id="12971405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140518" name="Picture 129714051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2351405"/>
                    </a:xfrm>
                    <a:prstGeom prst="rect">
                      <a:avLst/>
                    </a:prstGeom>
                  </pic:spPr>
                </pic:pic>
              </a:graphicData>
            </a:graphic>
          </wp:inline>
        </w:drawing>
      </w:r>
    </w:p>
    <w:p w:rsidR="002A575C" w:rsidRDefault="002A575C">
      <w:pPr>
        <w:rPr>
          <w:lang w:val="en-US"/>
        </w:rPr>
      </w:pPr>
    </w:p>
    <w:p w:rsidR="002A575C" w:rsidRDefault="002A575C">
      <w:pPr>
        <w:rPr>
          <w:lang w:val="en-US"/>
        </w:rPr>
      </w:pPr>
    </w:p>
    <w:p w:rsidR="002A575C" w:rsidRDefault="002A575C">
      <w:pPr>
        <w:rPr>
          <w:lang w:val="en-US"/>
        </w:rPr>
      </w:pPr>
    </w:p>
    <w:p w:rsidR="002A575C" w:rsidRDefault="002A575C">
      <w:pPr>
        <w:rPr>
          <w:lang w:val="en-US"/>
        </w:rPr>
      </w:pPr>
    </w:p>
    <w:p w:rsidR="002A575C" w:rsidRDefault="002A575C">
      <w:pPr>
        <w:rPr>
          <w:lang w:val="en-US"/>
        </w:rPr>
      </w:pPr>
    </w:p>
    <w:p w:rsidR="002A575C" w:rsidRDefault="002A575C">
      <w:pPr>
        <w:rPr>
          <w:lang w:val="en-US"/>
        </w:rPr>
      </w:pPr>
    </w:p>
    <w:p w:rsidR="002A575C" w:rsidRDefault="002A575C">
      <w:pPr>
        <w:rPr>
          <w:lang w:val="en-US"/>
        </w:rPr>
      </w:pPr>
    </w:p>
    <w:p w:rsidR="002A575C" w:rsidRDefault="002A575C">
      <w:pPr>
        <w:rPr>
          <w:lang w:val="en-US"/>
        </w:rPr>
      </w:pPr>
    </w:p>
    <w:p w:rsidR="002A575C" w:rsidRDefault="002A575C">
      <w:pPr>
        <w:rPr>
          <w:lang w:val="en-US"/>
        </w:rPr>
      </w:pPr>
    </w:p>
    <w:p w:rsidR="002A575C" w:rsidRDefault="002A575C">
      <w:pPr>
        <w:rPr>
          <w:lang w:val="en-US"/>
        </w:rPr>
      </w:pPr>
    </w:p>
    <w:p w:rsidR="002A575C" w:rsidRDefault="002A575C">
      <w:pPr>
        <w:rPr>
          <w:lang w:val="en-US"/>
        </w:rPr>
      </w:pPr>
    </w:p>
    <w:p w:rsidR="002A575C" w:rsidRDefault="002A575C">
      <w:pPr>
        <w:rPr>
          <w:lang w:val="en-US"/>
        </w:rPr>
      </w:pPr>
    </w:p>
    <w:p w:rsidR="002A575C" w:rsidRDefault="002A575C">
      <w:pPr>
        <w:rPr>
          <w:lang w:val="en-US"/>
        </w:rPr>
      </w:pPr>
    </w:p>
    <w:p w:rsidR="002A575C" w:rsidRDefault="002A575C">
      <w:pPr>
        <w:rPr>
          <w:lang w:val="en-US"/>
        </w:rPr>
      </w:pPr>
    </w:p>
    <w:p w:rsidR="002A575C" w:rsidRDefault="002A575C">
      <w:pPr>
        <w:rPr>
          <w:lang w:val="en-US"/>
        </w:rPr>
      </w:pPr>
      <w:r>
        <w:rPr>
          <w:lang w:val="en-US"/>
        </w:rPr>
        <w:br w:type="page"/>
      </w:r>
    </w:p>
    <w:p w:rsidR="002A575C" w:rsidRDefault="002A575C">
      <w:pPr>
        <w:rPr>
          <w:lang w:val="en-US"/>
        </w:rPr>
      </w:pPr>
      <w:r>
        <w:rPr>
          <w:noProof/>
          <w:lang w:val="en-US"/>
        </w:rPr>
        <w:lastRenderedPageBreak/>
        <w:drawing>
          <wp:inline distT="0" distB="0" distL="0" distR="0">
            <wp:extent cx="4317167" cy="4317167"/>
            <wp:effectExtent l="0" t="0" r="1270" b="1270"/>
            <wp:docPr id="16257629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762965" name="Picture 162576296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46494" cy="4346494"/>
                    </a:xfrm>
                    <a:prstGeom prst="rect">
                      <a:avLst/>
                    </a:prstGeom>
                  </pic:spPr>
                </pic:pic>
              </a:graphicData>
            </a:graphic>
          </wp:inline>
        </w:drawing>
      </w:r>
    </w:p>
    <w:p w:rsidR="002A575C" w:rsidRDefault="002A575C">
      <w:pPr>
        <w:rPr>
          <w:lang w:val="en-US"/>
        </w:rPr>
      </w:pPr>
    </w:p>
    <w:p w:rsidR="002A575C" w:rsidRDefault="002A575C" w:rsidP="009B1050">
      <w:pPr>
        <w:jc w:val="both"/>
        <w:rPr>
          <w:b/>
          <w:bCs/>
          <w:lang w:val="en-US"/>
        </w:rPr>
      </w:pPr>
      <w:r w:rsidRPr="002A575C">
        <w:rPr>
          <w:b/>
          <w:bCs/>
          <w:lang w:val="en-US"/>
        </w:rPr>
        <w:t xml:space="preserve">Supplementary Figure 9: </w:t>
      </w:r>
      <w:r w:rsidRPr="009B1050">
        <w:rPr>
          <w:b/>
          <w:bCs/>
          <w:i/>
          <w:iCs/>
          <w:lang w:val="en-US"/>
        </w:rPr>
        <w:t>In vitro</w:t>
      </w:r>
      <w:r w:rsidRPr="002A575C">
        <w:rPr>
          <w:b/>
          <w:bCs/>
          <w:lang w:val="en-US"/>
        </w:rPr>
        <w:t xml:space="preserve"> editing patterns by ADAR2, ADAR1p110, ADAR1p150.</w:t>
      </w:r>
    </w:p>
    <w:p w:rsidR="002A575C" w:rsidRPr="002A575C" w:rsidRDefault="002A575C" w:rsidP="009B1050">
      <w:pPr>
        <w:jc w:val="both"/>
        <w:rPr>
          <w:lang w:val="en-US"/>
        </w:rPr>
      </w:pPr>
      <w:r w:rsidRPr="002A575C">
        <w:rPr>
          <w:lang w:val="en-US"/>
        </w:rPr>
        <w:t xml:space="preserve">In vitro transcribed RNA from </w:t>
      </w:r>
      <w:r w:rsidRPr="001743B5">
        <w:rPr>
          <w:i/>
          <w:iCs/>
          <w:lang w:val="en-US"/>
        </w:rPr>
        <w:t xml:space="preserve">Rnf168, </w:t>
      </w:r>
      <w:proofErr w:type="spellStart"/>
      <w:r w:rsidRPr="001743B5">
        <w:rPr>
          <w:i/>
          <w:iCs/>
          <w:lang w:val="en-US"/>
        </w:rPr>
        <w:t>Knl</w:t>
      </w:r>
      <w:proofErr w:type="spellEnd"/>
      <w:r w:rsidRPr="001743B5">
        <w:rPr>
          <w:i/>
          <w:iCs/>
          <w:lang w:val="en-US"/>
        </w:rPr>
        <w:t>,</w:t>
      </w:r>
      <w:r w:rsidRPr="002A575C">
        <w:rPr>
          <w:lang w:val="en-US"/>
        </w:rPr>
        <w:t xml:space="preserve"> and </w:t>
      </w:r>
      <w:r w:rsidRPr="001743B5">
        <w:rPr>
          <w:i/>
          <w:iCs/>
          <w:lang w:val="en-US"/>
        </w:rPr>
        <w:t>Zkscan3</w:t>
      </w:r>
      <w:r w:rsidRPr="002A575C">
        <w:rPr>
          <w:lang w:val="en-US"/>
        </w:rPr>
        <w:t xml:space="preserve"> were refolded and </w:t>
      </w:r>
      <w:r w:rsidRPr="009B1050">
        <w:rPr>
          <w:i/>
          <w:iCs/>
          <w:lang w:val="en-US"/>
        </w:rPr>
        <w:t>in vitro</w:t>
      </w:r>
      <w:r w:rsidRPr="002A575C">
        <w:rPr>
          <w:lang w:val="en-US"/>
        </w:rPr>
        <w:t xml:space="preserve"> edited with recombinant ADAR2, ADAR1p110, ADAR1p150. To determine A to I conversions, the RNA was reverse transcribed, overlapping fragments of the RNA were amplified using specific primers and PCR products were sequenced. G peaks were determined over A peaks. ADAR2 edits are highlighted in shades of green, ADAR1p110 edits in amber, and ADAR1p150 edits in lilac. Shadings indicate 25-50% editing (light), 50-75% editing (medium), and &gt; 75% editing dark. On average ADAR2 edits more sites than either isoform of ADAR1. Only few editing events occur opposite unpaired cytosines (red dots). Red asterisks in the sequence highlight adenosines.</w:t>
      </w:r>
    </w:p>
    <w:p w:rsidR="002A575C" w:rsidRDefault="002A575C">
      <w:pPr>
        <w:rPr>
          <w:lang w:val="en-US"/>
        </w:rPr>
      </w:pPr>
    </w:p>
    <w:p w:rsidR="00962974" w:rsidRDefault="00962974">
      <w:pPr>
        <w:rPr>
          <w:lang w:val="en-US"/>
        </w:rPr>
      </w:pPr>
      <w:r>
        <w:rPr>
          <w:lang w:val="en-US"/>
        </w:rPr>
        <w:br w:type="page"/>
      </w:r>
    </w:p>
    <w:p w:rsidR="00962974" w:rsidRDefault="00962974">
      <w:pPr>
        <w:rPr>
          <w:lang w:val="en-US"/>
        </w:rPr>
      </w:pPr>
      <w:r>
        <w:rPr>
          <w:noProof/>
          <w:lang w:val="en-US"/>
        </w:rPr>
        <w:lastRenderedPageBreak/>
        <w:drawing>
          <wp:inline distT="0" distB="0" distL="0" distR="0">
            <wp:extent cx="5731510" cy="1535430"/>
            <wp:effectExtent l="0" t="0" r="0" b="1270"/>
            <wp:docPr id="14863936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93653" name="Picture 148639365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1535430"/>
                    </a:xfrm>
                    <a:prstGeom prst="rect">
                      <a:avLst/>
                    </a:prstGeom>
                  </pic:spPr>
                </pic:pic>
              </a:graphicData>
            </a:graphic>
          </wp:inline>
        </w:drawing>
      </w:r>
    </w:p>
    <w:p w:rsidR="00962974" w:rsidRPr="009B1050" w:rsidRDefault="00962974" w:rsidP="009B1050">
      <w:pPr>
        <w:jc w:val="both"/>
        <w:rPr>
          <w:lang w:val="en-US"/>
        </w:rPr>
      </w:pPr>
      <w:r w:rsidRPr="009B1050">
        <w:rPr>
          <w:b/>
          <w:bCs/>
          <w:lang w:val="en-US"/>
        </w:rPr>
        <w:t>Supplementary Figure 10: Mountain plot of in silico folded RNAs with and without in vitro editing.</w:t>
      </w:r>
      <w:r w:rsidRPr="009B1050">
        <w:rPr>
          <w:lang w:val="en-US"/>
        </w:rPr>
        <w:t xml:space="preserve"> Black line: folding of RNAs without inosines. RNAs with inosines introduced by ADAR2 (red line),</w:t>
      </w:r>
      <w:r w:rsidR="009B1050">
        <w:rPr>
          <w:lang w:val="en-US"/>
        </w:rPr>
        <w:t xml:space="preserve"> </w:t>
      </w:r>
      <w:r w:rsidRPr="009B1050">
        <w:rPr>
          <w:lang w:val="en-US"/>
        </w:rPr>
        <w:t xml:space="preserve">ADAR1p110 (green line) or ADAR1p150 (blue line). The number of </w:t>
      </w:r>
      <w:proofErr w:type="spellStart"/>
      <w:r w:rsidRPr="009B1050">
        <w:rPr>
          <w:lang w:val="en-US"/>
        </w:rPr>
        <w:t>basepairs</w:t>
      </w:r>
      <w:proofErr w:type="spellEnd"/>
      <w:r w:rsidRPr="009B1050">
        <w:rPr>
          <w:lang w:val="en-US"/>
        </w:rPr>
        <w:t xml:space="preserve"> is indicated by the increase on the y-axes. As can be seen, the black (unedited) line is always leading to more </w:t>
      </w:r>
      <w:proofErr w:type="spellStart"/>
      <w:r w:rsidRPr="009B1050">
        <w:rPr>
          <w:lang w:val="en-US"/>
        </w:rPr>
        <w:t>basepairs</w:t>
      </w:r>
      <w:proofErr w:type="spellEnd"/>
      <w:r w:rsidRPr="009B1050">
        <w:rPr>
          <w:lang w:val="en-US"/>
        </w:rPr>
        <w:t xml:space="preserve"> than the edited (red, green, blue) RNAs.</w:t>
      </w:r>
    </w:p>
    <w:p w:rsidR="00962974" w:rsidRPr="009B1050" w:rsidRDefault="00962974" w:rsidP="009B1050">
      <w:pPr>
        <w:jc w:val="both"/>
        <w:rPr>
          <w:lang w:val="en-US"/>
        </w:rPr>
      </w:pPr>
    </w:p>
    <w:p w:rsidR="004942C0" w:rsidRDefault="004942C0" w:rsidP="009B1050">
      <w:pPr>
        <w:jc w:val="both"/>
        <w:rPr>
          <w:lang w:val="en-US"/>
        </w:rPr>
      </w:pPr>
      <w:r>
        <w:rPr>
          <w:lang w:val="en-US"/>
        </w:rPr>
        <w:br w:type="page"/>
      </w:r>
    </w:p>
    <w:p w:rsidR="002A575C" w:rsidRDefault="0097397D">
      <w:pPr>
        <w:rPr>
          <w:lang w:val="en-US"/>
        </w:rPr>
      </w:pPr>
      <w:r>
        <w:rPr>
          <w:noProof/>
          <w:lang w:val="en-US"/>
        </w:rPr>
        <w:lastRenderedPageBreak/>
        <w:drawing>
          <wp:inline distT="0" distB="0" distL="0" distR="0">
            <wp:extent cx="5731510" cy="6252845"/>
            <wp:effectExtent l="0" t="0" r="0" b="0"/>
            <wp:docPr id="19567640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64031" name="Picture 195676403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6252845"/>
                    </a:xfrm>
                    <a:prstGeom prst="rect">
                      <a:avLst/>
                    </a:prstGeom>
                  </pic:spPr>
                </pic:pic>
              </a:graphicData>
            </a:graphic>
          </wp:inline>
        </w:drawing>
      </w:r>
    </w:p>
    <w:p w:rsidR="004942C0" w:rsidRDefault="004942C0" w:rsidP="009B1050">
      <w:pPr>
        <w:jc w:val="both"/>
        <w:rPr>
          <w:b/>
          <w:bCs/>
          <w:lang w:val="en-US"/>
        </w:rPr>
      </w:pPr>
      <w:r w:rsidRPr="002A575C">
        <w:rPr>
          <w:b/>
          <w:bCs/>
          <w:lang w:val="en-US"/>
        </w:rPr>
        <w:t>Supplementary Figure</w:t>
      </w:r>
      <w:r>
        <w:rPr>
          <w:b/>
          <w:bCs/>
          <w:lang w:val="en-US"/>
        </w:rPr>
        <w:t xml:space="preserve"> 1</w:t>
      </w:r>
      <w:r w:rsidR="00962974">
        <w:rPr>
          <w:b/>
          <w:bCs/>
          <w:lang w:val="en-US"/>
        </w:rPr>
        <w:t>1</w:t>
      </w:r>
      <w:r w:rsidRPr="002A575C">
        <w:rPr>
          <w:b/>
          <w:bCs/>
          <w:lang w:val="en-US"/>
        </w:rPr>
        <w:t xml:space="preserve">: </w:t>
      </w:r>
      <w:r w:rsidRPr="009B1050">
        <w:rPr>
          <w:b/>
          <w:bCs/>
          <w:i/>
          <w:iCs/>
          <w:lang w:val="en-US"/>
        </w:rPr>
        <w:t>In vivo</w:t>
      </w:r>
      <w:r w:rsidRPr="002A575C">
        <w:rPr>
          <w:b/>
          <w:bCs/>
          <w:lang w:val="en-US"/>
        </w:rPr>
        <w:t xml:space="preserve"> editing patterns by ADAR2, ADAR1p110, ADAR1p150.</w:t>
      </w:r>
    </w:p>
    <w:p w:rsidR="004942C0" w:rsidRPr="002A575C" w:rsidRDefault="009B1050" w:rsidP="009B1050">
      <w:pPr>
        <w:jc w:val="both"/>
        <w:rPr>
          <w:lang w:val="en-US"/>
        </w:rPr>
      </w:pPr>
      <w:r>
        <w:rPr>
          <w:lang w:val="en-US"/>
        </w:rPr>
        <w:t xml:space="preserve">ADAR-less MEF cells were transfected or transduced with vectors expressing ADAR2, ADAR1p110 or ADAR1p150, respectively. </w:t>
      </w:r>
      <w:r w:rsidR="004942C0">
        <w:rPr>
          <w:lang w:val="en-US"/>
        </w:rPr>
        <w:t xml:space="preserve">24 </w:t>
      </w:r>
      <w:proofErr w:type="spellStart"/>
      <w:r w:rsidR="004942C0">
        <w:rPr>
          <w:lang w:val="en-US"/>
        </w:rPr>
        <w:t>hrs</w:t>
      </w:r>
      <w:proofErr w:type="spellEnd"/>
      <w:r w:rsidR="004942C0">
        <w:rPr>
          <w:lang w:val="en-US"/>
        </w:rPr>
        <w:t xml:space="preserve"> post ADAR induction RNA was isolated, reverse transcribed and the </w:t>
      </w:r>
      <w:r>
        <w:rPr>
          <w:lang w:val="en-US"/>
        </w:rPr>
        <w:t xml:space="preserve">3’ UTRs of endogenous </w:t>
      </w:r>
      <w:r w:rsidR="004942C0" w:rsidRPr="001743B5">
        <w:rPr>
          <w:i/>
          <w:iCs/>
          <w:lang w:val="en-US"/>
        </w:rPr>
        <w:t>Rnf168, Knl1,</w:t>
      </w:r>
      <w:r w:rsidR="004942C0">
        <w:rPr>
          <w:lang w:val="en-US"/>
        </w:rPr>
        <w:t xml:space="preserve"> and </w:t>
      </w:r>
      <w:r w:rsidR="004942C0" w:rsidRPr="001743B5">
        <w:rPr>
          <w:i/>
          <w:iCs/>
          <w:lang w:val="en-US"/>
        </w:rPr>
        <w:t>Zkscan</w:t>
      </w:r>
      <w:r w:rsidRPr="001743B5">
        <w:rPr>
          <w:i/>
          <w:iCs/>
          <w:lang w:val="en-US"/>
        </w:rPr>
        <w:t>3</w:t>
      </w:r>
      <w:r w:rsidR="004942C0">
        <w:rPr>
          <w:lang w:val="en-US"/>
        </w:rPr>
        <w:t xml:space="preserve"> sequences were amplified and sequenced.</w:t>
      </w:r>
      <w:r w:rsidR="004942C0" w:rsidRPr="002A575C">
        <w:rPr>
          <w:lang w:val="en-US"/>
        </w:rPr>
        <w:t xml:space="preserve"> G peaks were determined over A peaks. ADAR2 edits are highlighted in shades of green, ADAR1p110 edits in amber, and ADAR1p150 edits in lilac. Shadings indicate 25-50% editing (light), 50-75% editing (medium), and &gt; 75% editing dark. On average ADAR2 edits more sites than either isoform of ADAR1. Only few editing events occur opposite unpaired cytosines (red dots). Red asterisks in the sequence highlight adenosines.</w:t>
      </w:r>
    </w:p>
    <w:p w:rsidR="0075379A" w:rsidRDefault="0075379A">
      <w:pPr>
        <w:rPr>
          <w:lang w:val="en-US"/>
        </w:rPr>
      </w:pPr>
      <w:r>
        <w:rPr>
          <w:lang w:val="en-US"/>
        </w:rPr>
        <w:br w:type="page"/>
      </w:r>
    </w:p>
    <w:p w:rsidR="004942C0" w:rsidRDefault="0075379A">
      <w:pPr>
        <w:rPr>
          <w:lang w:val="en-US"/>
        </w:rPr>
      </w:pPr>
      <w:r>
        <w:rPr>
          <w:noProof/>
          <w:lang w:val="en-US"/>
        </w:rPr>
        <w:lastRenderedPageBreak/>
        <w:drawing>
          <wp:inline distT="0" distB="0" distL="0" distR="0">
            <wp:extent cx="5731510" cy="3886200"/>
            <wp:effectExtent l="0" t="0" r="0" b="0"/>
            <wp:docPr id="963442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42827" name="Picture 96344282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3886200"/>
                    </a:xfrm>
                    <a:prstGeom prst="rect">
                      <a:avLst/>
                    </a:prstGeom>
                  </pic:spPr>
                </pic:pic>
              </a:graphicData>
            </a:graphic>
          </wp:inline>
        </w:drawing>
      </w:r>
    </w:p>
    <w:p w:rsidR="0075379A" w:rsidRDefault="0075379A">
      <w:pPr>
        <w:rPr>
          <w:lang w:val="en-US"/>
        </w:rPr>
      </w:pPr>
    </w:p>
    <w:p w:rsidR="0075379A" w:rsidRPr="00682A22" w:rsidRDefault="0075379A" w:rsidP="00034C69">
      <w:pPr>
        <w:jc w:val="both"/>
        <w:rPr>
          <w:lang w:val="en-US"/>
        </w:rPr>
      </w:pPr>
      <w:r w:rsidRPr="0075379A">
        <w:rPr>
          <w:b/>
          <w:bCs/>
          <w:lang w:val="en-US"/>
        </w:rPr>
        <w:t>Supplementary figure 12: Comparison of editing patterns introduced by ADAR1p150</w:t>
      </w:r>
      <w:r>
        <w:rPr>
          <w:b/>
          <w:bCs/>
          <w:lang w:val="en-US"/>
        </w:rPr>
        <w:t>.</w:t>
      </w:r>
      <w:r w:rsidRPr="0075379A">
        <w:rPr>
          <w:b/>
          <w:bCs/>
          <w:lang w:val="en-US"/>
        </w:rPr>
        <w:t xml:space="preserve"> </w:t>
      </w:r>
      <w:r>
        <w:rPr>
          <w:lang w:val="en-US"/>
        </w:rPr>
        <w:t xml:space="preserve">In vitro transcribed RNA of </w:t>
      </w:r>
      <w:r w:rsidRPr="001743B5">
        <w:rPr>
          <w:i/>
          <w:iCs/>
          <w:lang w:val="en-US"/>
        </w:rPr>
        <w:t>Knl1</w:t>
      </w:r>
      <w:r>
        <w:rPr>
          <w:lang w:val="en-US"/>
        </w:rPr>
        <w:t xml:space="preserve"> and </w:t>
      </w:r>
      <w:r w:rsidRPr="001743B5">
        <w:rPr>
          <w:i/>
          <w:iCs/>
          <w:lang w:val="en-US"/>
        </w:rPr>
        <w:t>Zkscan3</w:t>
      </w:r>
      <w:r>
        <w:rPr>
          <w:lang w:val="en-US"/>
        </w:rPr>
        <w:t xml:space="preserve"> were edited with ADAR1p150 vitro. The same RNA fragments were </w:t>
      </w:r>
      <w:r w:rsidR="00034C69">
        <w:rPr>
          <w:lang w:val="en-US"/>
        </w:rPr>
        <w:t xml:space="preserve">amplified from cDNA generated from ADAR-less MEFs transduced with </w:t>
      </w:r>
      <w:r>
        <w:rPr>
          <w:lang w:val="en-US"/>
        </w:rPr>
        <w:t xml:space="preserve">ADAR1p150 </w:t>
      </w:r>
      <w:r w:rsidR="00034C69">
        <w:rPr>
          <w:lang w:val="en-US"/>
        </w:rPr>
        <w:t xml:space="preserve">expressing lentivirus </w:t>
      </w:r>
      <w:r>
        <w:rPr>
          <w:lang w:val="en-US"/>
        </w:rPr>
        <w:t>(rhomboids). Sites that are edited by ADAR1 in the liver of mice as previously reported and deposited in UCSC genome browser are highlighted by black arrows.</w:t>
      </w:r>
    </w:p>
    <w:sectPr w:rsidR="0075379A" w:rsidRPr="00682A2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0F71"/>
    <w:rsid w:val="00002CDA"/>
    <w:rsid w:val="000220B3"/>
    <w:rsid w:val="0002415C"/>
    <w:rsid w:val="0003110F"/>
    <w:rsid w:val="00033145"/>
    <w:rsid w:val="00034C69"/>
    <w:rsid w:val="00041563"/>
    <w:rsid w:val="000469D3"/>
    <w:rsid w:val="000708D6"/>
    <w:rsid w:val="00072176"/>
    <w:rsid w:val="000730A8"/>
    <w:rsid w:val="000A050C"/>
    <w:rsid w:val="000A59EE"/>
    <w:rsid w:val="000B29D9"/>
    <w:rsid w:val="000C1E18"/>
    <w:rsid w:val="000D377F"/>
    <w:rsid w:val="000E3EBC"/>
    <w:rsid w:val="00102E8C"/>
    <w:rsid w:val="00112C1C"/>
    <w:rsid w:val="00137C6F"/>
    <w:rsid w:val="001452BC"/>
    <w:rsid w:val="00152825"/>
    <w:rsid w:val="00154A7E"/>
    <w:rsid w:val="00162ADD"/>
    <w:rsid w:val="00163EB5"/>
    <w:rsid w:val="00173E1A"/>
    <w:rsid w:val="001743B5"/>
    <w:rsid w:val="001A1397"/>
    <w:rsid w:val="001D6D4C"/>
    <w:rsid w:val="001F7D3C"/>
    <w:rsid w:val="00215930"/>
    <w:rsid w:val="002244E6"/>
    <w:rsid w:val="002638D8"/>
    <w:rsid w:val="002772C5"/>
    <w:rsid w:val="002A575C"/>
    <w:rsid w:val="002A67F5"/>
    <w:rsid w:val="002B644A"/>
    <w:rsid w:val="002C0D65"/>
    <w:rsid w:val="002D52E7"/>
    <w:rsid w:val="002E4743"/>
    <w:rsid w:val="002F34C3"/>
    <w:rsid w:val="002F44CC"/>
    <w:rsid w:val="00327EC3"/>
    <w:rsid w:val="00377DBF"/>
    <w:rsid w:val="00381C25"/>
    <w:rsid w:val="003C769B"/>
    <w:rsid w:val="003E17C7"/>
    <w:rsid w:val="00421284"/>
    <w:rsid w:val="00463F8C"/>
    <w:rsid w:val="004942C0"/>
    <w:rsid w:val="004A6836"/>
    <w:rsid w:val="004C0370"/>
    <w:rsid w:val="004C4C67"/>
    <w:rsid w:val="004D6CB8"/>
    <w:rsid w:val="004F36A2"/>
    <w:rsid w:val="005124E5"/>
    <w:rsid w:val="00513AF8"/>
    <w:rsid w:val="00514027"/>
    <w:rsid w:val="005157CF"/>
    <w:rsid w:val="00554024"/>
    <w:rsid w:val="005664F6"/>
    <w:rsid w:val="005849F9"/>
    <w:rsid w:val="0059469E"/>
    <w:rsid w:val="005C0D54"/>
    <w:rsid w:val="005C726C"/>
    <w:rsid w:val="005E6422"/>
    <w:rsid w:val="005F1A6C"/>
    <w:rsid w:val="005F6047"/>
    <w:rsid w:val="005F682D"/>
    <w:rsid w:val="00606018"/>
    <w:rsid w:val="00613E00"/>
    <w:rsid w:val="00653823"/>
    <w:rsid w:val="00682A22"/>
    <w:rsid w:val="00687902"/>
    <w:rsid w:val="00690A82"/>
    <w:rsid w:val="006956FE"/>
    <w:rsid w:val="006A3987"/>
    <w:rsid w:val="006C05D7"/>
    <w:rsid w:val="006D22A3"/>
    <w:rsid w:val="006D7C45"/>
    <w:rsid w:val="006F539A"/>
    <w:rsid w:val="00726C58"/>
    <w:rsid w:val="0075379A"/>
    <w:rsid w:val="00765713"/>
    <w:rsid w:val="007722DC"/>
    <w:rsid w:val="00780AFD"/>
    <w:rsid w:val="0078119F"/>
    <w:rsid w:val="007A180D"/>
    <w:rsid w:val="007C011A"/>
    <w:rsid w:val="007D5375"/>
    <w:rsid w:val="007E0B57"/>
    <w:rsid w:val="007E0DF0"/>
    <w:rsid w:val="007F0F71"/>
    <w:rsid w:val="007F5921"/>
    <w:rsid w:val="007F5FFD"/>
    <w:rsid w:val="00801011"/>
    <w:rsid w:val="00801C49"/>
    <w:rsid w:val="0081386C"/>
    <w:rsid w:val="0082484D"/>
    <w:rsid w:val="00831C5A"/>
    <w:rsid w:val="00843376"/>
    <w:rsid w:val="00857E22"/>
    <w:rsid w:val="008804F6"/>
    <w:rsid w:val="008A28FE"/>
    <w:rsid w:val="008B691D"/>
    <w:rsid w:val="008E630F"/>
    <w:rsid w:val="008F72DC"/>
    <w:rsid w:val="009168BD"/>
    <w:rsid w:val="009478A1"/>
    <w:rsid w:val="0095542A"/>
    <w:rsid w:val="00961D63"/>
    <w:rsid w:val="00962974"/>
    <w:rsid w:val="0097397D"/>
    <w:rsid w:val="009A1A80"/>
    <w:rsid w:val="009B1050"/>
    <w:rsid w:val="009D2DFE"/>
    <w:rsid w:val="00A02229"/>
    <w:rsid w:val="00A20C10"/>
    <w:rsid w:val="00A453C5"/>
    <w:rsid w:val="00A56038"/>
    <w:rsid w:val="00A914E0"/>
    <w:rsid w:val="00AA19E6"/>
    <w:rsid w:val="00AB3F34"/>
    <w:rsid w:val="00AB50C2"/>
    <w:rsid w:val="00AB74D7"/>
    <w:rsid w:val="00AE05A5"/>
    <w:rsid w:val="00AF6AA3"/>
    <w:rsid w:val="00B044FC"/>
    <w:rsid w:val="00B07D26"/>
    <w:rsid w:val="00B13330"/>
    <w:rsid w:val="00B1654D"/>
    <w:rsid w:val="00B50078"/>
    <w:rsid w:val="00B5043C"/>
    <w:rsid w:val="00B676BA"/>
    <w:rsid w:val="00B718AA"/>
    <w:rsid w:val="00B7341A"/>
    <w:rsid w:val="00BF17FB"/>
    <w:rsid w:val="00BF3EEF"/>
    <w:rsid w:val="00C061D0"/>
    <w:rsid w:val="00C47F51"/>
    <w:rsid w:val="00C50904"/>
    <w:rsid w:val="00C86EA8"/>
    <w:rsid w:val="00CA794E"/>
    <w:rsid w:val="00D03FFB"/>
    <w:rsid w:val="00D12D8B"/>
    <w:rsid w:val="00D20C7F"/>
    <w:rsid w:val="00D25D86"/>
    <w:rsid w:val="00D459CC"/>
    <w:rsid w:val="00D73BD1"/>
    <w:rsid w:val="00D8417D"/>
    <w:rsid w:val="00D958C3"/>
    <w:rsid w:val="00DC4C2E"/>
    <w:rsid w:val="00DF180F"/>
    <w:rsid w:val="00E276DA"/>
    <w:rsid w:val="00E77DD1"/>
    <w:rsid w:val="00EA4B91"/>
    <w:rsid w:val="00EE74D3"/>
    <w:rsid w:val="00F03429"/>
    <w:rsid w:val="00F03C44"/>
    <w:rsid w:val="00F32DE8"/>
    <w:rsid w:val="00F348A1"/>
    <w:rsid w:val="00F712CA"/>
    <w:rsid w:val="00F76ABA"/>
    <w:rsid w:val="00FA1840"/>
    <w:rsid w:val="00FE2565"/>
  </w:rsids>
  <m:mathPr>
    <m:mathFont m:val="Cambria Math"/>
    <m:brkBin m:val="before"/>
    <m:brkBinSub m:val="--"/>
    <m:smallFrac m:val="0"/>
    <m:dispDef/>
    <m:lMargin m:val="0"/>
    <m:rMargin m:val="0"/>
    <m:defJc m:val="centerGroup"/>
    <m:wrapIndent m:val="1440"/>
    <m:intLim m:val="subSup"/>
    <m:naryLim m:val="undOvr"/>
  </m:mathPr>
  <w:themeFontLang w:val="en-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6D1D8F"/>
  <w15:chartTrackingRefBased/>
  <w15:docId w15:val="{358ACB38-1E48-1945-98C8-70CDA4DFC1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AT"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629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f"/><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tiff"/><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5" Type="http://schemas.openxmlformats.org/officeDocument/2006/relationships/image" Target="media/image12.tiff"/><Relationship Id="rId10" Type="http://schemas.openxmlformats.org/officeDocument/2006/relationships/image" Target="media/image7.tiff"/><Relationship Id="rId4" Type="http://schemas.openxmlformats.org/officeDocument/2006/relationships/image" Target="media/image1.png"/><Relationship Id="rId9" Type="http://schemas.openxmlformats.org/officeDocument/2006/relationships/image" Target="media/image6.tiff"/><Relationship Id="rId14" Type="http://schemas.openxmlformats.org/officeDocument/2006/relationships/image" Target="media/image1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14</Pages>
  <Words>1157</Words>
  <Characters>6601</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2025-03-29T14:52:00Z</dcterms:created>
  <dcterms:modified xsi:type="dcterms:W3CDTF">2025-03-29T14:52:00Z</dcterms:modified>
</cp:coreProperties>
</file>