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A177B" w14:textId="77777777" w:rsidR="00740405" w:rsidRPr="0003590D" w:rsidRDefault="00740405" w:rsidP="00740405">
      <w:pPr>
        <w:spacing w:before="41" w:line="249" w:lineRule="auto"/>
        <w:ind w:left="126" w:right="782" w:firstLine="56"/>
        <w:jc w:val="center"/>
        <w:rPr>
          <w:b/>
          <w:bCs/>
          <w:sz w:val="24"/>
          <w:szCs w:val="24"/>
        </w:rPr>
      </w:pPr>
      <w:r w:rsidRPr="0003590D">
        <w:rPr>
          <w:b/>
          <w:bCs/>
          <w:sz w:val="24"/>
          <w:szCs w:val="24"/>
        </w:rPr>
        <w:t>Table A1</w:t>
      </w:r>
    </w:p>
    <w:p w14:paraId="4CB37E82" w14:textId="77777777" w:rsidR="00740405" w:rsidRDefault="00740405" w:rsidP="00740405">
      <w:pPr>
        <w:spacing w:before="41" w:line="249" w:lineRule="auto"/>
        <w:ind w:left="126" w:right="782" w:firstLine="56"/>
        <w:jc w:val="center"/>
        <w:rPr>
          <w:b/>
          <w:bCs/>
          <w:sz w:val="24"/>
          <w:szCs w:val="24"/>
        </w:rPr>
      </w:pPr>
      <w:r w:rsidRPr="0003590D">
        <w:rPr>
          <w:b/>
          <w:bCs/>
          <w:sz w:val="24"/>
          <w:szCs w:val="24"/>
        </w:rPr>
        <w:t>Description of Variables</w:t>
      </w:r>
    </w:p>
    <w:p w14:paraId="1D091D3E" w14:textId="77777777" w:rsidR="00740405" w:rsidRDefault="00740405" w:rsidP="00740405">
      <w:pPr>
        <w:spacing w:before="41" w:line="249" w:lineRule="auto"/>
        <w:ind w:left="126" w:right="782" w:firstLine="56"/>
        <w:jc w:val="center"/>
        <w:rPr>
          <w:b/>
          <w:bCs/>
          <w:sz w:val="24"/>
          <w:szCs w:val="24"/>
        </w:rPr>
      </w:pPr>
    </w:p>
    <w:tbl>
      <w:tblPr>
        <w:tblStyle w:val="GridTable1Light"/>
        <w:tblW w:w="0" w:type="auto"/>
        <w:tblLook w:val="04A0" w:firstRow="1" w:lastRow="0" w:firstColumn="1" w:lastColumn="0" w:noHBand="0" w:noVBand="1"/>
      </w:tblPr>
      <w:tblGrid>
        <w:gridCol w:w="2134"/>
        <w:gridCol w:w="7216"/>
      </w:tblGrid>
      <w:tr w:rsidR="00740405" w:rsidRPr="008A3175" w14:paraId="673D6A16" w14:textId="77777777" w:rsidTr="004B59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01B39491" w14:textId="77777777" w:rsidR="00740405" w:rsidRPr="008A3175" w:rsidRDefault="00740405" w:rsidP="004B5915">
            <w:pPr>
              <w:jc w:val="center"/>
              <w:rPr>
                <w:rFonts w:cs="Times New Roman (Body CS)"/>
                <w:b w:val="0"/>
              </w:rPr>
            </w:pPr>
            <w:r>
              <w:rPr>
                <w:rFonts w:cs="Times New Roman (Body CS)"/>
                <w:b w:val="0"/>
              </w:rPr>
              <w:t>Variable</w:t>
            </w:r>
          </w:p>
        </w:tc>
        <w:tc>
          <w:tcPr>
            <w:tcW w:w="7380" w:type="dxa"/>
          </w:tcPr>
          <w:p w14:paraId="61572543" w14:textId="77777777" w:rsidR="00740405" w:rsidRPr="008A3175" w:rsidRDefault="00740405" w:rsidP="004B5915">
            <w:pPr>
              <w:jc w:val="center"/>
              <w:cnfStyle w:val="100000000000" w:firstRow="1" w:lastRow="0" w:firstColumn="0" w:lastColumn="0" w:oddVBand="0" w:evenVBand="0" w:oddHBand="0" w:evenHBand="0" w:firstRowFirstColumn="0" w:firstRowLastColumn="0" w:lastRowFirstColumn="0" w:lastRowLastColumn="0"/>
              <w:rPr>
                <w:rFonts w:cs="Times New Roman (Body CS)"/>
                <w:b w:val="0"/>
              </w:rPr>
            </w:pPr>
            <w:r>
              <w:rPr>
                <w:rFonts w:cs="Times New Roman (Body CS)"/>
                <w:b w:val="0"/>
              </w:rPr>
              <w:t>Description</w:t>
            </w:r>
          </w:p>
        </w:tc>
      </w:tr>
      <w:tr w:rsidR="00740405" w:rsidRPr="008A3175" w14:paraId="78723A80"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3A1BAA4E" w14:textId="77777777" w:rsidR="00740405" w:rsidRPr="008A3175" w:rsidRDefault="00740405" w:rsidP="004B5915">
            <w:pPr>
              <w:rPr>
                <w:rFonts w:cs="Times New Roman (Body CS)"/>
                <w:b w:val="0"/>
              </w:rPr>
            </w:pPr>
            <w:r>
              <w:rPr>
                <w:rFonts w:cs="Times New Roman (Body CS)"/>
                <w:b w:val="0"/>
              </w:rPr>
              <w:t>CO</w:t>
            </w:r>
            <w:r>
              <w:rPr>
                <w:rFonts w:cs="Times New Roman (Body CS)"/>
                <w:b w:val="0"/>
                <w:vertAlign w:val="subscript"/>
              </w:rPr>
              <w:t>2</w:t>
            </w:r>
            <w:r>
              <w:rPr>
                <w:rFonts w:cs="Times New Roman (Body CS)"/>
                <w:b w:val="0"/>
              </w:rPr>
              <w:t xml:space="preserve"> per capita</w:t>
            </w:r>
          </w:p>
        </w:tc>
        <w:tc>
          <w:tcPr>
            <w:tcW w:w="7380" w:type="dxa"/>
          </w:tcPr>
          <w:p w14:paraId="526143C8"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sidRPr="008A3175">
              <w:rPr>
                <w:rFonts w:cs="Times New Roman (Body CS)"/>
              </w:rPr>
              <w:t>Carbon dioxide emissions per capita, including emissions from fossil fuels</w:t>
            </w:r>
            <w:r>
              <w:rPr>
                <w:rFonts w:cs="Times New Roman (Body CS)"/>
              </w:rPr>
              <w:t xml:space="preserve"> burning, cement manufacturing, fuel consumption and gas flaring. </w:t>
            </w:r>
          </w:p>
        </w:tc>
      </w:tr>
      <w:tr w:rsidR="00740405" w:rsidRPr="008A3175" w14:paraId="752E40FA"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513B4173" w14:textId="77777777" w:rsidR="00740405" w:rsidRPr="008A3175" w:rsidRDefault="00740405" w:rsidP="004B5915">
            <w:pPr>
              <w:rPr>
                <w:rFonts w:cs="Times New Roman (Body CS)"/>
                <w:b w:val="0"/>
              </w:rPr>
            </w:pPr>
            <w:r>
              <w:rPr>
                <w:rFonts w:cs="Times New Roman (Body CS)"/>
                <w:b w:val="0"/>
              </w:rPr>
              <w:t>Tax Treaty</w:t>
            </w:r>
          </w:p>
        </w:tc>
        <w:tc>
          <w:tcPr>
            <w:tcW w:w="7380" w:type="dxa"/>
          </w:tcPr>
          <w:p w14:paraId="694AC9D8"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Double taxation bilateral tax treaty between the United States and emerging or developing country. It takes the value of one if the effective date of the tax treaty and years post the effective date.</w:t>
            </w:r>
          </w:p>
        </w:tc>
      </w:tr>
      <w:tr w:rsidR="00740405" w:rsidRPr="008A3175" w14:paraId="1DB55FF4"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0A7FAB0A" w14:textId="77777777" w:rsidR="00740405" w:rsidRPr="008A3175" w:rsidRDefault="00740405" w:rsidP="004B5915">
            <w:pPr>
              <w:rPr>
                <w:rFonts w:cs="Times New Roman (Body CS)"/>
                <w:b w:val="0"/>
              </w:rPr>
            </w:pPr>
            <w:r>
              <w:rPr>
                <w:rFonts w:cs="Times New Roman (Body CS)"/>
                <w:b w:val="0"/>
              </w:rPr>
              <w:t>GDP per capita</w:t>
            </w:r>
          </w:p>
        </w:tc>
        <w:tc>
          <w:tcPr>
            <w:tcW w:w="7380" w:type="dxa"/>
          </w:tcPr>
          <w:p w14:paraId="5ED1479E"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Gross Domestic Product divided by midyear population in constant 2010 US dollars.</w:t>
            </w:r>
          </w:p>
        </w:tc>
      </w:tr>
      <w:tr w:rsidR="00740405" w:rsidRPr="008A3175" w14:paraId="12CBD3E7"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522EC82A" w14:textId="77777777" w:rsidR="00740405" w:rsidRPr="008A3175" w:rsidRDefault="00740405" w:rsidP="004B5915">
            <w:pPr>
              <w:rPr>
                <w:rFonts w:cs="Times New Roman (Body CS)"/>
                <w:b w:val="0"/>
              </w:rPr>
            </w:pPr>
            <w:r>
              <w:rPr>
                <w:rFonts w:cs="Times New Roman (Body CS)"/>
                <w:b w:val="0"/>
              </w:rPr>
              <w:t>GDP per Energy</w:t>
            </w:r>
          </w:p>
        </w:tc>
        <w:tc>
          <w:tcPr>
            <w:tcW w:w="7380" w:type="dxa"/>
          </w:tcPr>
          <w:p w14:paraId="67C1D9C2"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Gross Domestic Product in 2017 constant international dollars using purchasing power parity rates per kilogram of oil equivalent of energy use.</w:t>
            </w:r>
          </w:p>
        </w:tc>
      </w:tr>
      <w:tr w:rsidR="00740405" w:rsidRPr="008A3175" w14:paraId="36DFFC78"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308CF207" w14:textId="77777777" w:rsidR="00740405" w:rsidRPr="008A3175" w:rsidRDefault="00740405" w:rsidP="004B5915">
            <w:pPr>
              <w:rPr>
                <w:rFonts w:cs="Times New Roman (Body CS)"/>
                <w:b w:val="0"/>
              </w:rPr>
            </w:pPr>
            <w:r>
              <w:rPr>
                <w:rFonts w:cs="Times New Roman (Body CS)"/>
                <w:b w:val="0"/>
              </w:rPr>
              <w:t>Fossil Fuel Energy Consumption</w:t>
            </w:r>
          </w:p>
        </w:tc>
        <w:tc>
          <w:tcPr>
            <w:tcW w:w="7380" w:type="dxa"/>
          </w:tcPr>
          <w:p w14:paraId="2A2DB75C"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Fossil fuel energy consumption comprises coal, oil, petroleum, and natural gas products (percent of total).</w:t>
            </w:r>
          </w:p>
        </w:tc>
      </w:tr>
      <w:tr w:rsidR="00740405" w:rsidRPr="008A3175" w14:paraId="45F9DF76"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49E55C56" w14:textId="77777777" w:rsidR="00740405" w:rsidRPr="009D31DF" w:rsidRDefault="00740405" w:rsidP="004B5915">
            <w:pPr>
              <w:rPr>
                <w:rFonts w:cs="Times New Roman (Body CS)"/>
                <w:b w:val="0"/>
              </w:rPr>
            </w:pPr>
            <w:r w:rsidRPr="009D31DF">
              <w:rPr>
                <w:rFonts w:cs="Times New Roman (Body CS)"/>
                <w:b w:val="0"/>
              </w:rPr>
              <w:t>Population Density</w:t>
            </w:r>
          </w:p>
        </w:tc>
        <w:tc>
          <w:tcPr>
            <w:tcW w:w="7380" w:type="dxa"/>
          </w:tcPr>
          <w:p w14:paraId="7F1439C9"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Midyear population counting all residents regardless of legal status or citizenship, except for refugees, divided by land area in square kilometers (people per square kilometer of land area).</w:t>
            </w:r>
          </w:p>
        </w:tc>
      </w:tr>
      <w:tr w:rsidR="00740405" w:rsidRPr="008A3175" w14:paraId="55D35105"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1DFE8D0F" w14:textId="77777777" w:rsidR="00740405" w:rsidRPr="009D31DF" w:rsidRDefault="00740405" w:rsidP="004B5915">
            <w:pPr>
              <w:rPr>
                <w:rFonts w:cs="Times New Roman (Body CS)"/>
                <w:b w:val="0"/>
              </w:rPr>
            </w:pPr>
            <w:r w:rsidRPr="009D31DF">
              <w:rPr>
                <w:rFonts w:cs="Times New Roman (Body CS)"/>
                <w:b w:val="0"/>
              </w:rPr>
              <w:t xml:space="preserve">GDP Growth </w:t>
            </w:r>
          </w:p>
        </w:tc>
        <w:tc>
          <w:tcPr>
            <w:tcW w:w="7380" w:type="dxa"/>
          </w:tcPr>
          <w:p w14:paraId="49762E19"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Annual percentage growth rate of GDP at market prices based on constant local currency.</w:t>
            </w:r>
          </w:p>
        </w:tc>
      </w:tr>
      <w:tr w:rsidR="00740405" w:rsidRPr="008A3175" w14:paraId="11D2EBE4"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26D801C9" w14:textId="77777777" w:rsidR="00740405" w:rsidRPr="009D31DF" w:rsidRDefault="00740405" w:rsidP="004B5915">
            <w:pPr>
              <w:rPr>
                <w:rFonts w:cs="Times New Roman (Body CS)"/>
                <w:b w:val="0"/>
              </w:rPr>
            </w:pPr>
            <w:r w:rsidRPr="009D31DF">
              <w:rPr>
                <w:rFonts w:cs="Times New Roman (Body CS)"/>
                <w:b w:val="0"/>
              </w:rPr>
              <w:t>Education</w:t>
            </w:r>
          </w:p>
        </w:tc>
        <w:tc>
          <w:tcPr>
            <w:tcW w:w="7380" w:type="dxa"/>
          </w:tcPr>
          <w:p w14:paraId="47C9551C"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Average number of years of education received by people aged 25 and older, converted from educational attainment levels using official duration for each level.</w:t>
            </w:r>
          </w:p>
        </w:tc>
      </w:tr>
      <w:tr w:rsidR="00740405" w:rsidRPr="008A3175" w14:paraId="4476819E"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63B03FB3" w14:textId="77777777" w:rsidR="00740405" w:rsidRPr="009D31DF" w:rsidRDefault="00740405" w:rsidP="004B5915">
            <w:pPr>
              <w:rPr>
                <w:rFonts w:cs="Times New Roman (Body CS)"/>
                <w:b w:val="0"/>
              </w:rPr>
            </w:pPr>
            <w:r w:rsidRPr="009D31DF">
              <w:rPr>
                <w:rFonts w:cs="Times New Roman (Body CS)"/>
                <w:b w:val="0"/>
              </w:rPr>
              <w:t>Industries</w:t>
            </w:r>
            <w:r>
              <w:rPr>
                <w:rFonts w:cs="Times New Roman (Body CS)"/>
                <w:b w:val="0"/>
              </w:rPr>
              <w:t xml:space="preserve"> Value Added</w:t>
            </w:r>
          </w:p>
        </w:tc>
        <w:tc>
          <w:tcPr>
            <w:tcW w:w="7380" w:type="dxa"/>
          </w:tcPr>
          <w:p w14:paraId="7B88A6DE"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Industry (including construction) corresponding to ISIC divisions 05-43 and including manufacturing (ISIC divisions 10-33) as value added (percent of GDP)</w:t>
            </w:r>
          </w:p>
        </w:tc>
      </w:tr>
      <w:tr w:rsidR="00740405" w:rsidRPr="008A3175" w14:paraId="089CC51E"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115764B1" w14:textId="77777777" w:rsidR="00740405" w:rsidRPr="009D31DF" w:rsidRDefault="00740405" w:rsidP="004B5915">
            <w:pPr>
              <w:rPr>
                <w:rFonts w:cs="Times New Roman (Body CS)"/>
                <w:b w:val="0"/>
              </w:rPr>
            </w:pPr>
            <w:r w:rsidRPr="009D31DF">
              <w:rPr>
                <w:rFonts w:cs="Times New Roman (Body CS)"/>
                <w:b w:val="0"/>
              </w:rPr>
              <w:t>Gross Capital</w:t>
            </w:r>
            <w:r>
              <w:rPr>
                <w:rFonts w:cs="Times New Roman (Body CS)"/>
                <w:b w:val="0"/>
              </w:rPr>
              <w:t xml:space="preserve"> Formation</w:t>
            </w:r>
          </w:p>
        </w:tc>
        <w:tc>
          <w:tcPr>
            <w:tcW w:w="7380" w:type="dxa"/>
          </w:tcPr>
          <w:p w14:paraId="60BE890E"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Gross fixed capital formation, outlays on additions to the fixed assets of the economy plus net changes in the level of inventories, as a share of GDP.</w:t>
            </w:r>
          </w:p>
        </w:tc>
      </w:tr>
      <w:tr w:rsidR="00740405" w:rsidRPr="008A3175" w14:paraId="69BC1EEA" w14:textId="77777777" w:rsidTr="004B5915">
        <w:tc>
          <w:tcPr>
            <w:cnfStyle w:val="001000000000" w:firstRow="0" w:lastRow="0" w:firstColumn="1" w:lastColumn="0" w:oddVBand="0" w:evenVBand="0" w:oddHBand="0" w:evenHBand="0" w:firstRowFirstColumn="0" w:firstRowLastColumn="0" w:lastRowFirstColumn="0" w:lastRowLastColumn="0"/>
            <w:tcW w:w="2155" w:type="dxa"/>
          </w:tcPr>
          <w:p w14:paraId="0142BA03" w14:textId="77777777" w:rsidR="00740405" w:rsidRPr="009D31DF" w:rsidRDefault="00740405" w:rsidP="004B5915">
            <w:pPr>
              <w:rPr>
                <w:rFonts w:cs="Times New Roman (Body CS)"/>
                <w:b w:val="0"/>
              </w:rPr>
            </w:pPr>
            <w:r w:rsidRPr="009D31DF">
              <w:rPr>
                <w:rFonts w:cs="Times New Roman (Body CS)"/>
                <w:b w:val="0"/>
              </w:rPr>
              <w:t xml:space="preserve">Trade Openness </w:t>
            </w:r>
          </w:p>
        </w:tc>
        <w:tc>
          <w:tcPr>
            <w:tcW w:w="7380" w:type="dxa"/>
          </w:tcPr>
          <w:p w14:paraId="77E6BBB6" w14:textId="77777777" w:rsidR="00740405" w:rsidRPr="008A3175" w:rsidRDefault="00740405" w:rsidP="004B5915">
            <w:pPr>
              <w:cnfStyle w:val="000000000000" w:firstRow="0" w:lastRow="0" w:firstColumn="0" w:lastColumn="0" w:oddVBand="0" w:evenVBand="0" w:oddHBand="0" w:evenHBand="0" w:firstRowFirstColumn="0" w:firstRowLastColumn="0" w:lastRowFirstColumn="0" w:lastRowLastColumn="0"/>
              <w:rPr>
                <w:rFonts w:cs="Times New Roman (Body CS)"/>
              </w:rPr>
            </w:pPr>
            <w:r>
              <w:rPr>
                <w:rFonts w:cs="Times New Roman (Body CS)"/>
              </w:rPr>
              <w:t>Sum of exports and imports of goods and services measured as a share of GDP.</w:t>
            </w:r>
          </w:p>
        </w:tc>
      </w:tr>
    </w:tbl>
    <w:p w14:paraId="70FAEEAA" w14:textId="77777777" w:rsidR="00740405" w:rsidRPr="00CA3C20" w:rsidRDefault="00740405" w:rsidP="00740405">
      <w:pPr>
        <w:jc w:val="both"/>
        <w:rPr>
          <w:sz w:val="20"/>
          <w:szCs w:val="20"/>
        </w:rPr>
      </w:pPr>
      <w:r w:rsidRPr="00CA3C20">
        <w:rPr>
          <w:sz w:val="20"/>
          <w:szCs w:val="20"/>
        </w:rPr>
        <w:t xml:space="preserve">Sources: </w:t>
      </w:r>
      <w:r>
        <w:rPr>
          <w:sz w:val="20"/>
          <w:szCs w:val="20"/>
        </w:rPr>
        <w:t xml:space="preserve"> (i) </w:t>
      </w:r>
      <w:r w:rsidRPr="00CA3C20">
        <w:rPr>
          <w:rFonts w:cs="Times New Roman (Body CS)"/>
          <w:sz w:val="20"/>
          <w:szCs w:val="20"/>
        </w:rPr>
        <w:t>CO</w:t>
      </w:r>
      <w:r w:rsidRPr="00CA3C20">
        <w:rPr>
          <w:rFonts w:cs="Times New Roman (Body CS)"/>
          <w:sz w:val="20"/>
          <w:szCs w:val="20"/>
          <w:vertAlign w:val="subscript"/>
        </w:rPr>
        <w:t>2</w:t>
      </w:r>
      <w:r w:rsidRPr="00CA3C20">
        <w:rPr>
          <w:rFonts w:cs="Times New Roman (Body CS)"/>
          <w:sz w:val="20"/>
          <w:szCs w:val="20"/>
        </w:rPr>
        <w:t xml:space="preserve"> per capita, GDP per capita, GDP per Energy, Fossil Fuel Energy Consumption, Population Density, </w:t>
      </w:r>
      <w:r w:rsidRPr="00CA3C20">
        <w:rPr>
          <w:sz w:val="20"/>
          <w:szCs w:val="20"/>
        </w:rPr>
        <w:t xml:space="preserve">GDP Growth,  Industries Value Added, Gross Capital Formation, Trade Openness are from the World Development Indicators, World Bank: </w:t>
      </w:r>
      <w:hyperlink r:id="rId4" w:history="1">
        <w:r w:rsidRPr="00CA3C20">
          <w:rPr>
            <w:rStyle w:val="Hyperlink"/>
            <w:rFonts w:eastAsiaTheme="majorEastAsia"/>
            <w:sz w:val="20"/>
            <w:szCs w:val="20"/>
          </w:rPr>
          <w:t>https://databank.worldbank.org/source/world-development-indicators</w:t>
        </w:r>
      </w:hyperlink>
      <w:r w:rsidRPr="00CA3C20">
        <w:rPr>
          <w:sz w:val="20"/>
          <w:szCs w:val="20"/>
        </w:rPr>
        <w:t xml:space="preserve"> ; (ii) Tax treaty is from the US Internal Revenue Service: </w:t>
      </w:r>
      <w:hyperlink r:id="rId5" w:history="1">
        <w:r w:rsidRPr="00CA3C20">
          <w:rPr>
            <w:rStyle w:val="Hyperlink"/>
            <w:rFonts w:eastAsiaTheme="majorEastAsia"/>
            <w:sz w:val="20"/>
            <w:szCs w:val="20"/>
          </w:rPr>
          <w:t>https://www.irs.gov/individuals/</w:t>
        </w:r>
      </w:hyperlink>
      <w:r w:rsidRPr="00CA3C20">
        <w:rPr>
          <w:sz w:val="20"/>
          <w:szCs w:val="20"/>
        </w:rPr>
        <w:t xml:space="preserve">; (iii) </w:t>
      </w:r>
      <w:r w:rsidRPr="00CA3C20">
        <w:rPr>
          <w:w w:val="105"/>
          <w:sz w:val="20"/>
          <w:szCs w:val="20"/>
        </w:rPr>
        <w:t xml:space="preserve">Education data come from World Development Indicators and UNESCO Institute for Statistics (2020), Barro and Lee (2018), ICF Macro Demographic and Health Surveys, UNICEF Multiple Indicator Cluster Surveys and OECD </w:t>
      </w:r>
      <w:r w:rsidRPr="00CA3C20">
        <w:rPr>
          <w:spacing w:val="-2"/>
          <w:w w:val="105"/>
          <w:sz w:val="20"/>
          <w:szCs w:val="20"/>
        </w:rPr>
        <w:t>(2019b).</w:t>
      </w:r>
    </w:p>
    <w:p w14:paraId="65A2F308" w14:textId="77777777" w:rsidR="00740405" w:rsidRDefault="00740405" w:rsidP="00740405">
      <w:pPr>
        <w:pStyle w:val="Heading1"/>
        <w:rPr>
          <w:spacing w:val="-2"/>
          <w:w w:val="115"/>
          <w:sz w:val="24"/>
          <w:szCs w:val="24"/>
        </w:rPr>
      </w:pPr>
    </w:p>
    <w:p w14:paraId="37525CBD" w14:textId="77777777" w:rsidR="00740405" w:rsidRDefault="00740405" w:rsidP="00740405">
      <w:pPr>
        <w:rPr>
          <w:b/>
          <w:bCs/>
          <w:spacing w:val="-2"/>
          <w:w w:val="115"/>
          <w:sz w:val="24"/>
          <w:szCs w:val="24"/>
        </w:rPr>
      </w:pPr>
      <w:r>
        <w:rPr>
          <w:spacing w:val="-2"/>
          <w:w w:val="115"/>
          <w:sz w:val="24"/>
          <w:szCs w:val="24"/>
        </w:rPr>
        <w:br w:type="page"/>
      </w:r>
    </w:p>
    <w:p w14:paraId="5384D318"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Body CS)">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405"/>
    <w:rsid w:val="002A5090"/>
    <w:rsid w:val="003F36CB"/>
    <w:rsid w:val="005C6F5D"/>
    <w:rsid w:val="00740405"/>
    <w:rsid w:val="007620B2"/>
    <w:rsid w:val="008C374B"/>
    <w:rsid w:val="008F0D8B"/>
    <w:rsid w:val="00954821"/>
    <w:rsid w:val="00A800EA"/>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E35C8"/>
  <w15:chartTrackingRefBased/>
  <w15:docId w15:val="{638A0DB1-6EF3-4780-8BA0-26A4A8261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405"/>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740405"/>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40405"/>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40405"/>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40405"/>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40405"/>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40405"/>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40405"/>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40405"/>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40405"/>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04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04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04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04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04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04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04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04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0405"/>
    <w:rPr>
      <w:rFonts w:eastAsiaTheme="majorEastAsia" w:cstheme="majorBidi"/>
      <w:color w:val="272727" w:themeColor="text1" w:themeTint="D8"/>
    </w:rPr>
  </w:style>
  <w:style w:type="paragraph" w:styleId="Title">
    <w:name w:val="Title"/>
    <w:basedOn w:val="Normal"/>
    <w:next w:val="Normal"/>
    <w:link w:val="TitleChar"/>
    <w:uiPriority w:val="10"/>
    <w:qFormat/>
    <w:rsid w:val="00740405"/>
    <w:pPr>
      <w:widowControl/>
      <w:autoSpaceDE/>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404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0405"/>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404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0405"/>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40405"/>
    <w:rPr>
      <w:i/>
      <w:iCs/>
      <w:color w:val="404040" w:themeColor="text1" w:themeTint="BF"/>
    </w:rPr>
  </w:style>
  <w:style w:type="paragraph" w:styleId="ListParagraph">
    <w:name w:val="List Paragraph"/>
    <w:basedOn w:val="Normal"/>
    <w:uiPriority w:val="34"/>
    <w:qFormat/>
    <w:rsid w:val="00740405"/>
    <w:pPr>
      <w:widowControl/>
      <w:autoSpaceDE/>
      <w:autoSpaceDN/>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40405"/>
    <w:rPr>
      <w:i/>
      <w:iCs/>
      <w:color w:val="0F4761" w:themeColor="accent1" w:themeShade="BF"/>
    </w:rPr>
  </w:style>
  <w:style w:type="paragraph" w:styleId="IntenseQuote">
    <w:name w:val="Intense Quote"/>
    <w:basedOn w:val="Normal"/>
    <w:next w:val="Normal"/>
    <w:link w:val="IntenseQuoteChar"/>
    <w:uiPriority w:val="30"/>
    <w:qFormat/>
    <w:rsid w:val="00740405"/>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40405"/>
    <w:rPr>
      <w:i/>
      <w:iCs/>
      <w:color w:val="0F4761" w:themeColor="accent1" w:themeShade="BF"/>
    </w:rPr>
  </w:style>
  <w:style w:type="character" w:styleId="IntenseReference">
    <w:name w:val="Intense Reference"/>
    <w:basedOn w:val="DefaultParagraphFont"/>
    <w:uiPriority w:val="32"/>
    <w:qFormat/>
    <w:rsid w:val="00740405"/>
    <w:rPr>
      <w:b/>
      <w:bCs/>
      <w:smallCaps/>
      <w:color w:val="0F4761" w:themeColor="accent1" w:themeShade="BF"/>
      <w:spacing w:val="5"/>
    </w:rPr>
  </w:style>
  <w:style w:type="character" w:styleId="Hyperlink">
    <w:name w:val="Hyperlink"/>
    <w:basedOn w:val="DefaultParagraphFont"/>
    <w:uiPriority w:val="99"/>
    <w:unhideWhenUsed/>
    <w:rsid w:val="00740405"/>
    <w:rPr>
      <w:color w:val="467886" w:themeColor="hyperlink"/>
      <w:u w:val="single"/>
    </w:rPr>
  </w:style>
  <w:style w:type="table" w:styleId="GridTable1Light">
    <w:name w:val="Grid Table 1 Light"/>
    <w:basedOn w:val="TableNormal"/>
    <w:uiPriority w:val="46"/>
    <w:rsid w:val="0074040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rs.gov/individuals/" TargetMode="External"/><Relationship Id="rId4" Type="http://schemas.openxmlformats.org/officeDocument/2006/relationships/hyperlink" Target="https://databank.worldbank.org/source/world-development-indic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377</Words>
  <Characters>2149</Characters>
  <Application>Microsoft Office Word</Application>
  <DocSecurity>0</DocSecurity>
  <Lines>17</Lines>
  <Paragraphs>5</Paragraphs>
  <ScaleCrop>false</ScaleCrop>
  <Company>Springer Nature</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2025-05-13T05:22:00Z</dcterms:created>
  <dcterms:modified xsi:type="dcterms:W3CDTF">2025-05-13T05:22:00Z</dcterms:modified>
</cp:coreProperties>
</file>