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DB6FBA" w14:textId="77777777" w:rsidR="00AC1457" w:rsidRDefault="006357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F18E99F" wp14:editId="39C753BA">
            <wp:extent cx="5274310" cy="4491355"/>
            <wp:effectExtent l="0" t="0" r="2540" b="4445"/>
            <wp:docPr id="9834695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469587" name="图片 98346958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A2BE1" w14:textId="77777777" w:rsidR="0063575C" w:rsidRPr="000A7C55" w:rsidRDefault="0063575C" w:rsidP="0063575C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Supplementary Fig. </w:t>
      </w:r>
      <w:r>
        <w:rPr>
          <w:rFonts w:ascii="Times New Roman" w:eastAsia="宋体" w:hAnsi="Times New Roman" w:cs="Times New Roman"/>
          <w:b/>
          <w:sz w:val="24"/>
        </w:rPr>
        <w:t>1</w:t>
      </w:r>
      <w:r>
        <w:rPr>
          <w:rFonts w:ascii="Times New Roman" w:eastAsia="宋体" w:hAnsi="Times New Roman" w:cs="Times New Roman" w:hint="eastAsia"/>
          <w:b/>
          <w:sz w:val="24"/>
        </w:rPr>
        <w:t xml:space="preserve"> </w:t>
      </w:r>
      <w:r w:rsidRPr="000A7C55">
        <w:rPr>
          <w:rFonts w:ascii="Times New Roman" w:eastAsia="Times New Roman" w:hAnsi="Times New Roman" w:cs="Times New Roman"/>
          <w:b/>
          <w:sz w:val="24"/>
        </w:rPr>
        <w:t xml:space="preserve">Metabolomic analyses reveal distinct retinal metabolic profiles between rd10 and </w:t>
      </w:r>
      <w:r w:rsidRPr="000A7C55">
        <w:rPr>
          <w:rFonts w:ascii="Times New Roman" w:eastAsia="宋体" w:hAnsi="Times New Roman" w:cs="Times New Roman"/>
          <w:b/>
          <w:sz w:val="24"/>
        </w:rPr>
        <w:t>C57 mice at P18, P25, and P45.</w:t>
      </w:r>
    </w:p>
    <w:p w14:paraId="75523392" w14:textId="77777777" w:rsidR="0063575C" w:rsidRPr="000A7C55" w:rsidRDefault="0063575C" w:rsidP="0063575C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i/>
          <w:iCs/>
          <w:sz w:val="24"/>
        </w:rPr>
      </w:pPr>
      <w:r w:rsidRPr="000A7C55">
        <w:rPr>
          <w:rFonts w:ascii="Times New Roman" w:eastAsia="Times New Roman" w:hAnsi="Times New Roman" w:cs="Times New Roman"/>
          <w:sz w:val="24"/>
        </w:rPr>
        <w:t>PLS-DA score plots for</w:t>
      </w:r>
      <w:r w:rsidRPr="000A7C55">
        <w:rPr>
          <w:rFonts w:ascii="Times New Roman" w:eastAsia="宋体" w:hAnsi="Times New Roman" w:cs="Times New Roman"/>
          <w:sz w:val="24"/>
        </w:rPr>
        <w:t xml:space="preserve"> rd10 and C57 groups </w:t>
      </w:r>
      <w:r w:rsidRPr="000A7C55">
        <w:rPr>
          <w:rFonts w:ascii="Times New Roman" w:eastAsia="Times New Roman" w:hAnsi="Times New Roman" w:cs="Times New Roman"/>
          <w:sz w:val="24"/>
        </w:rPr>
        <w:t>at P18</w:t>
      </w:r>
      <w:r w:rsidRPr="000A7C55">
        <w:rPr>
          <w:rFonts w:ascii="Times New Roman" w:eastAsia="宋体" w:hAnsi="Times New Roman" w:cs="Times New Roman"/>
          <w:sz w:val="24"/>
        </w:rPr>
        <w:t xml:space="preserve"> (left)</w:t>
      </w:r>
      <w:r w:rsidRPr="000A7C55">
        <w:rPr>
          <w:rFonts w:ascii="Times New Roman" w:eastAsia="Times New Roman" w:hAnsi="Times New Roman" w:cs="Times New Roman"/>
          <w:sz w:val="24"/>
        </w:rPr>
        <w:t>, P25</w:t>
      </w:r>
      <w:r w:rsidRPr="000A7C55">
        <w:rPr>
          <w:rFonts w:ascii="Times New Roman" w:eastAsia="宋体" w:hAnsi="Times New Roman" w:cs="Times New Roman"/>
          <w:sz w:val="24"/>
        </w:rPr>
        <w:t xml:space="preserve"> (center),</w:t>
      </w:r>
      <w:r w:rsidRPr="000A7C55">
        <w:rPr>
          <w:rFonts w:ascii="Times New Roman" w:eastAsia="Times New Roman" w:hAnsi="Times New Roman" w:cs="Times New Roman"/>
          <w:sz w:val="24"/>
        </w:rPr>
        <w:t xml:space="preserve"> and P45</w:t>
      </w:r>
      <w:r w:rsidRPr="000A7C55">
        <w:rPr>
          <w:rFonts w:ascii="Times New Roman" w:eastAsia="宋体" w:hAnsi="Times New Roman" w:cs="Times New Roman"/>
          <w:sz w:val="24"/>
        </w:rPr>
        <w:t xml:space="preserve"> (right). </w:t>
      </w:r>
    </w:p>
    <w:p w14:paraId="6D916A43" w14:textId="77777777" w:rsidR="0063575C" w:rsidRPr="000A7C55" w:rsidRDefault="0063575C" w:rsidP="0063575C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i/>
          <w:iCs/>
          <w:sz w:val="24"/>
        </w:rPr>
      </w:pPr>
      <w:r w:rsidRPr="000A7C55">
        <w:rPr>
          <w:rFonts w:ascii="Times New Roman" w:eastAsia="宋体" w:hAnsi="Times New Roman" w:cs="Times New Roman"/>
          <w:sz w:val="24"/>
        </w:rPr>
        <w:t>Statistical validation of the PLS-DA model by permutation testing (n = 200) (P18 [left], R2Y = 0.094 and Q2 = 0.868; P25 [center], R2Y = 0.999 and Q2 = 0.974; P45 [right], R2Y = 0.996 and Q2 = 0.97).</w:t>
      </w:r>
    </w:p>
    <w:p w14:paraId="7EA680DA" w14:textId="77777777" w:rsidR="0063575C" w:rsidRPr="000A7C55" w:rsidRDefault="0063575C" w:rsidP="0063575C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i/>
          <w:iCs/>
          <w:sz w:val="24"/>
        </w:rPr>
      </w:pPr>
      <w:r w:rsidRPr="000A7C55">
        <w:rPr>
          <w:rFonts w:ascii="Times New Roman" w:eastAsia="宋体" w:hAnsi="Times New Roman" w:cs="Times New Roman"/>
          <w:sz w:val="24"/>
        </w:rPr>
        <w:t xml:space="preserve">Volcano plots of differential metabolites screened by VIP, P-value, and FC </w:t>
      </w:r>
      <w:r w:rsidRPr="000A7C55">
        <w:rPr>
          <w:rFonts w:ascii="Times New Roman" w:eastAsia="Times New Roman" w:hAnsi="Times New Roman" w:cs="Times New Roman"/>
          <w:sz w:val="24"/>
        </w:rPr>
        <w:t>at P18</w:t>
      </w:r>
      <w:r w:rsidRPr="000A7C55">
        <w:rPr>
          <w:rFonts w:ascii="Times New Roman" w:eastAsia="宋体" w:hAnsi="Times New Roman" w:cs="Times New Roman"/>
          <w:sz w:val="24"/>
        </w:rPr>
        <w:t xml:space="preserve"> (left)</w:t>
      </w:r>
      <w:r w:rsidRPr="000A7C55">
        <w:rPr>
          <w:rFonts w:ascii="Times New Roman" w:eastAsia="Times New Roman" w:hAnsi="Times New Roman" w:cs="Times New Roman"/>
          <w:sz w:val="24"/>
        </w:rPr>
        <w:t>, P25</w:t>
      </w:r>
      <w:r w:rsidRPr="000A7C55">
        <w:rPr>
          <w:rFonts w:ascii="Times New Roman" w:eastAsia="宋体" w:hAnsi="Times New Roman" w:cs="Times New Roman"/>
          <w:sz w:val="24"/>
        </w:rPr>
        <w:t xml:space="preserve"> (center),</w:t>
      </w:r>
      <w:r w:rsidRPr="000A7C55">
        <w:rPr>
          <w:rFonts w:ascii="Times New Roman" w:eastAsia="Times New Roman" w:hAnsi="Times New Roman" w:cs="Times New Roman"/>
          <w:sz w:val="24"/>
        </w:rPr>
        <w:t xml:space="preserve"> and P45</w:t>
      </w:r>
      <w:r w:rsidRPr="000A7C55">
        <w:rPr>
          <w:rFonts w:ascii="Times New Roman" w:eastAsia="宋体" w:hAnsi="Times New Roman" w:cs="Times New Roman"/>
          <w:sz w:val="24"/>
        </w:rPr>
        <w:t xml:space="preserve"> (right). Each dot represents a metabolite, upregulated metabolites are shown in red, downregulated metabolites are shown in blue, </w:t>
      </w:r>
      <w:r>
        <w:rPr>
          <w:rFonts w:ascii="Times New Roman" w:eastAsia="宋体" w:hAnsi="Times New Roman" w:cs="Times New Roman"/>
          <w:sz w:val="24"/>
        </w:rPr>
        <w:t xml:space="preserve">and </w:t>
      </w:r>
      <w:r w:rsidRPr="000A7C55">
        <w:rPr>
          <w:rFonts w:ascii="Times New Roman" w:eastAsia="宋体" w:hAnsi="Times New Roman" w:cs="Times New Roman"/>
          <w:sz w:val="24"/>
        </w:rPr>
        <w:t>the metabolites with no significant difference are shown in gray. Significant changes are denoted by FC ≥ 1.5 or ≤ 0.67, P-value &lt; 0.05, and VIP &gt; 1. The size of the dot represents the VIP value.</w:t>
      </w:r>
    </w:p>
    <w:p w14:paraId="54AA166B" w14:textId="77777777" w:rsidR="0063575C" w:rsidRPr="000A7C55" w:rsidRDefault="0063575C" w:rsidP="0063575C">
      <w:pPr>
        <w:rPr>
          <w:rFonts w:ascii="Times New Roman" w:eastAsia="宋体" w:hAnsi="Times New Roman" w:cs="Times New Roman"/>
          <w:sz w:val="24"/>
        </w:rPr>
      </w:pPr>
      <w:r w:rsidRPr="000A7C55">
        <w:rPr>
          <w:rFonts w:ascii="Times New Roman" w:eastAsia="宋体" w:hAnsi="Times New Roman" w:cs="Times New Roman"/>
          <w:sz w:val="24"/>
        </w:rPr>
        <w:t>PLS-DA: Partial Least Squares-Discriminant Analysis; FC: Fold change; VIP: Variable importance in projection.</w:t>
      </w:r>
    </w:p>
    <w:p w14:paraId="1C2ADE04" w14:textId="77777777" w:rsidR="0063575C" w:rsidRPr="0063575C" w:rsidRDefault="0063575C" w:rsidP="0063575C">
      <w:pPr>
        <w:spacing w:line="360" w:lineRule="auto"/>
        <w:rPr>
          <w:rFonts w:ascii="Times New Roman" w:eastAsia="宋体" w:hAnsi="Times New Roman" w:cs="Times New Roman"/>
          <w:b/>
          <w:sz w:val="24"/>
        </w:rPr>
      </w:pPr>
    </w:p>
    <w:p w14:paraId="3393FC72" w14:textId="77777777" w:rsidR="0063575C" w:rsidRDefault="0063575C" w:rsidP="0063575C">
      <w:pPr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 w:hint="eastAsia"/>
          <w:b/>
          <w:noProof/>
          <w:sz w:val="24"/>
        </w:rPr>
        <w:lastRenderedPageBreak/>
        <w:drawing>
          <wp:inline distT="0" distB="0" distL="0" distR="0" wp14:anchorId="2EE3CDAE" wp14:editId="74564E25">
            <wp:extent cx="5274310" cy="7458075"/>
            <wp:effectExtent l="0" t="0" r="2540" b="9525"/>
            <wp:docPr id="42371517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715179" name="图片 42371517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75B5" w14:textId="77777777" w:rsidR="0063575C" w:rsidRDefault="0063575C" w:rsidP="0063575C">
      <w:pPr>
        <w:spacing w:line="360" w:lineRule="auto"/>
        <w:rPr>
          <w:rFonts w:ascii="Times New Roman" w:eastAsia="宋体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Supplementary Fig. </w:t>
      </w:r>
      <w:r>
        <w:rPr>
          <w:rFonts w:ascii="Times New Roman" w:eastAsia="宋体" w:hAnsi="Times New Roman" w:cs="Times New Roman" w:hint="eastAsia"/>
          <w:b/>
          <w:sz w:val="24"/>
        </w:rPr>
        <w:t>2</w:t>
      </w:r>
      <w:r>
        <w:rPr>
          <w:rFonts w:ascii="Times New Roman" w:eastAsia="宋体" w:hAnsi="Times New Roman" w:cs="Times New Roman"/>
          <w:b/>
          <w:sz w:val="24"/>
        </w:rPr>
        <w:t xml:space="preserve"> The relationship between differential metabolites and metabolic pathways.</w:t>
      </w:r>
    </w:p>
    <w:p w14:paraId="29D887DB" w14:textId="77777777" w:rsidR="0063575C" w:rsidRDefault="0063575C" w:rsidP="0063575C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b/>
          <w:bCs/>
          <w:sz w:val="24"/>
        </w:rPr>
        <w:t xml:space="preserve">(A-B) </w:t>
      </w:r>
      <w:r>
        <w:rPr>
          <w:rFonts w:ascii="Times New Roman" w:eastAsia="宋体" w:hAnsi="Times New Roman" w:cs="Times New Roman"/>
          <w:sz w:val="24"/>
        </w:rPr>
        <w:t xml:space="preserve">Network diagrams of metabolic pathways and metabolites at different time points. </w:t>
      </w:r>
    </w:p>
    <w:p w14:paraId="72E0B3FF" w14:textId="77777777" w:rsidR="0063575C" w:rsidRDefault="0063575C" w:rsidP="0063575C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FC: Fold change</w:t>
      </w:r>
      <w:r>
        <w:rPr>
          <w:rFonts w:ascii="Times New Roman" w:eastAsia="宋体" w:hAnsi="Times New Roman" w:cs="Times New Roman" w:hint="eastAsia"/>
          <w:sz w:val="24"/>
        </w:rPr>
        <w:t>.</w:t>
      </w:r>
    </w:p>
    <w:p w14:paraId="31663CDE" w14:textId="77777777" w:rsidR="003A0F70" w:rsidRDefault="003A0F70">
      <w:pPr>
        <w:rPr>
          <w:rFonts w:ascii="Times New Roman" w:eastAsia="宋体" w:hAnsi="Times New Roman" w:cs="Times New Roman"/>
          <w:sz w:val="24"/>
        </w:rPr>
      </w:pPr>
    </w:p>
    <w:p w14:paraId="3A39D49C" w14:textId="77777777" w:rsidR="00AC1457" w:rsidRDefault="006357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E00DBA7" wp14:editId="71F75308">
            <wp:extent cx="5274310" cy="5843905"/>
            <wp:effectExtent l="0" t="0" r="2540" b="4445"/>
            <wp:docPr id="130441150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411504" name="图片 130441150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4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E34D8" w14:textId="77777777" w:rsidR="00AC1457" w:rsidRDefault="00000000">
      <w:pPr>
        <w:spacing w:line="360" w:lineRule="auto"/>
        <w:rPr>
          <w:rFonts w:ascii="Times New Roman" w:eastAsia="宋体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Supplementary Fig. </w:t>
      </w:r>
      <w:r w:rsidR="0063575C">
        <w:rPr>
          <w:rFonts w:ascii="Times New Roman" w:eastAsia="宋体" w:hAnsi="Times New Roman" w:cs="Times New Roman" w:hint="eastAsia"/>
          <w:b/>
          <w:sz w:val="24"/>
        </w:rPr>
        <w:t>3</w:t>
      </w:r>
      <w:r>
        <w:rPr>
          <w:rFonts w:ascii="Times New Roman" w:eastAsia="宋体" w:hAnsi="Times New Roman" w:cs="Times New Roman"/>
          <w:b/>
          <w:sz w:val="24"/>
        </w:rPr>
        <w:t xml:space="preserve"> A concentration gradient experiment of uridine </w:t>
      </w:r>
      <w:r>
        <w:rPr>
          <w:rFonts w:ascii="Times New Roman" w:eastAsia="宋体" w:hAnsi="Times New Roman" w:cs="Times New Roman" w:hint="eastAsia"/>
          <w:b/>
          <w:sz w:val="24"/>
        </w:rPr>
        <w:t>is</w:t>
      </w:r>
      <w:r>
        <w:rPr>
          <w:rFonts w:ascii="Times New Roman" w:eastAsia="宋体" w:hAnsi="Times New Roman" w:cs="Times New Roman"/>
          <w:b/>
          <w:sz w:val="24"/>
        </w:rPr>
        <w:t xml:space="preserve"> carried out.</w:t>
      </w:r>
    </w:p>
    <w:p w14:paraId="6B5E29F1" w14:textId="77777777" w:rsidR="00AC1457" w:rsidRDefault="00000000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b/>
          <w:bCs/>
          <w:sz w:val="24"/>
        </w:rPr>
        <w:t>(A)</w:t>
      </w:r>
      <w:r>
        <w:rPr>
          <w:rFonts w:ascii="Times New Roman" w:eastAsia="宋体" w:hAnsi="Times New Roman" w:cs="Times New Roman"/>
          <w:sz w:val="24"/>
        </w:rPr>
        <w:t xml:space="preserve"> Representative scotopic ERG waves (Flash Intensity = 3.0 </w:t>
      </w:r>
      <w:proofErr w:type="spellStart"/>
      <w:r>
        <w:rPr>
          <w:rFonts w:ascii="Times New Roman" w:eastAsia="宋体" w:hAnsi="Times New Roman" w:cs="Times New Roman"/>
          <w:sz w:val="24"/>
        </w:rPr>
        <w:t>cd·s</w:t>
      </w:r>
      <w:proofErr w:type="spellEnd"/>
      <w:r>
        <w:rPr>
          <w:rFonts w:ascii="Times New Roman" w:eastAsia="宋体" w:hAnsi="Times New Roman" w:cs="Times New Roman"/>
          <w:sz w:val="24"/>
        </w:rPr>
        <w:t>/m</w:t>
      </w:r>
      <w:r>
        <w:rPr>
          <w:rFonts w:ascii="Times New Roman" w:eastAsia="宋体" w:hAnsi="Times New Roman" w:cs="Times New Roman"/>
          <w:sz w:val="24"/>
          <w:vertAlign w:val="superscript"/>
        </w:rPr>
        <w:t>2</w:t>
      </w:r>
      <w:r>
        <w:rPr>
          <w:rFonts w:ascii="Times New Roman" w:eastAsia="宋体" w:hAnsi="Times New Roman" w:cs="Times New Roman"/>
          <w:sz w:val="24"/>
        </w:rPr>
        <w:t xml:space="preserve">) of C57BL/6J mice were recorded 14 days after intravitreal injection of PBS or uridine. </w:t>
      </w:r>
    </w:p>
    <w:p w14:paraId="167BFCD6" w14:textId="77777777" w:rsidR="00AC1457" w:rsidRDefault="00000000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b/>
          <w:bCs/>
          <w:sz w:val="24"/>
        </w:rPr>
        <w:t>(B, C)</w:t>
      </w:r>
      <w:r>
        <w:rPr>
          <w:rFonts w:ascii="Times New Roman" w:eastAsia="宋体" w:hAnsi="Times New Roman" w:cs="Times New Roman"/>
          <w:sz w:val="24"/>
        </w:rPr>
        <w:t xml:space="preserve"> Quantification of the amplitude of a-waves and b-waves (Flash Intensity = 3.0 </w:t>
      </w:r>
      <w:proofErr w:type="spellStart"/>
      <w:r>
        <w:rPr>
          <w:rFonts w:ascii="Times New Roman" w:eastAsia="宋体" w:hAnsi="Times New Roman" w:cs="Times New Roman"/>
          <w:sz w:val="24"/>
        </w:rPr>
        <w:t>cd·s</w:t>
      </w:r>
      <w:proofErr w:type="spellEnd"/>
      <w:r>
        <w:rPr>
          <w:rFonts w:ascii="Times New Roman" w:eastAsia="宋体" w:hAnsi="Times New Roman" w:cs="Times New Roman"/>
          <w:sz w:val="24"/>
        </w:rPr>
        <w:t>/m</w:t>
      </w:r>
      <w:r>
        <w:rPr>
          <w:rFonts w:ascii="Times New Roman" w:eastAsia="宋体" w:hAnsi="Times New Roman" w:cs="Times New Roman"/>
          <w:sz w:val="24"/>
          <w:vertAlign w:val="superscript"/>
        </w:rPr>
        <w:t>2</w:t>
      </w:r>
      <w:r>
        <w:rPr>
          <w:rFonts w:ascii="Times New Roman" w:eastAsia="宋体" w:hAnsi="Times New Roman" w:cs="Times New Roman"/>
          <w:sz w:val="24"/>
        </w:rPr>
        <w:t xml:space="preserve">) on day 14 after intravitreal injection (n = 4 and 5, respectively). </w:t>
      </w:r>
    </w:p>
    <w:p w14:paraId="2D9F6201" w14:textId="77777777" w:rsidR="00AC1457" w:rsidRDefault="00000000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b/>
          <w:bCs/>
          <w:sz w:val="24"/>
        </w:rPr>
        <w:t>(D)</w:t>
      </w:r>
      <w:r>
        <w:rPr>
          <w:rFonts w:ascii="Times New Roman" w:eastAsia="宋体" w:hAnsi="Times New Roman" w:cs="Times New Roman"/>
          <w:sz w:val="24"/>
        </w:rPr>
        <w:t xml:space="preserve"> Representative images of retinal sections from control and uridine-treated eyes </w:t>
      </w:r>
      <w:proofErr w:type="spellStart"/>
      <w:r>
        <w:rPr>
          <w:rFonts w:ascii="Times New Roman" w:eastAsia="宋体" w:hAnsi="Times New Roman" w:cs="Times New Roman"/>
          <w:sz w:val="24"/>
        </w:rPr>
        <w:t>immunostained</w:t>
      </w:r>
      <w:proofErr w:type="spellEnd"/>
      <w:r>
        <w:rPr>
          <w:rFonts w:ascii="Times New Roman" w:eastAsia="宋体" w:hAnsi="Times New Roman" w:cs="Times New Roman"/>
          <w:sz w:val="24"/>
        </w:rPr>
        <w:t xml:space="preserve"> for GFAP (D1-4, red) and Iba1(D5-8, red). Nuclei were visualized with DAPI (blue). </w:t>
      </w:r>
    </w:p>
    <w:p w14:paraId="567F860C" w14:textId="77777777" w:rsidR="00AC1457" w:rsidRDefault="00000000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b/>
          <w:bCs/>
          <w:sz w:val="24"/>
        </w:rPr>
        <w:t>(E)</w:t>
      </w:r>
      <w:r>
        <w:rPr>
          <w:rFonts w:ascii="Times New Roman" w:eastAsia="宋体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宋体" w:hAnsi="Times New Roman" w:cs="Times New Roman"/>
          <w:sz w:val="24"/>
        </w:rPr>
        <w:t>Spidergrams</w:t>
      </w:r>
      <w:proofErr w:type="spellEnd"/>
      <w:r>
        <w:rPr>
          <w:rFonts w:ascii="Times New Roman" w:eastAsia="宋体" w:hAnsi="Times New Roman" w:cs="Times New Roman"/>
          <w:sz w:val="24"/>
        </w:rPr>
        <w:t xml:space="preserve"> of ONL thickness in control eyes and uridine-treated eyes were measured at 14 days after intravitreal injection (n = 3). </w:t>
      </w:r>
    </w:p>
    <w:p w14:paraId="75465159" w14:textId="77777777" w:rsidR="00AC1457" w:rsidRDefault="00000000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b/>
          <w:bCs/>
          <w:sz w:val="24"/>
        </w:rPr>
        <w:t>(F)</w:t>
      </w:r>
      <w:r>
        <w:rPr>
          <w:rFonts w:ascii="Times New Roman" w:eastAsia="宋体" w:hAnsi="Times New Roman" w:cs="Times New Roman"/>
          <w:sz w:val="24"/>
        </w:rPr>
        <w:t xml:space="preserve"> Quantitative analysis of immunofluorescence intensity of GFAP (n = 3). </w:t>
      </w:r>
    </w:p>
    <w:p w14:paraId="25ABBF1E" w14:textId="77777777" w:rsidR="00AC1457" w:rsidRDefault="00000000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b/>
          <w:bCs/>
          <w:sz w:val="24"/>
        </w:rPr>
        <w:t>(G)</w:t>
      </w:r>
      <w:r>
        <w:rPr>
          <w:rFonts w:ascii="Times New Roman" w:eastAsia="宋体" w:hAnsi="Times New Roman" w:cs="Times New Roman"/>
          <w:sz w:val="24"/>
        </w:rPr>
        <w:t xml:space="preserve"> Average Iba1-positive cell counts per image (n = 3). </w:t>
      </w:r>
    </w:p>
    <w:p w14:paraId="48CF9812" w14:textId="77777777" w:rsidR="00AC1457" w:rsidRDefault="00000000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lastRenderedPageBreak/>
        <w:t>GCL: ganglion cell layer; INL: inner nuclear layer; ONL: outer nuclear layer. Data represent mean ± SD. Statistics: Two-way ANOVA with Bonferroni’s multiple comparison test for E</w:t>
      </w:r>
      <w:r>
        <w:rPr>
          <w:rFonts w:ascii="Times New Roman" w:eastAsia="宋体" w:hAnsi="Times New Roman" w:cs="Times New Roman" w:hint="eastAsia"/>
          <w:sz w:val="24"/>
        </w:rPr>
        <w:t xml:space="preserve">; </w:t>
      </w:r>
      <w:r>
        <w:rPr>
          <w:rFonts w:ascii="Times New Roman" w:eastAsia="宋体" w:hAnsi="Times New Roman" w:cs="Times New Roman"/>
          <w:sz w:val="24"/>
        </w:rPr>
        <w:t>One</w:t>
      </w:r>
      <w:r w:rsidR="00947A12">
        <w:rPr>
          <w:rFonts w:ascii="Times New Roman" w:eastAsia="宋体" w:hAnsi="Times New Roman" w:cs="Times New Roman"/>
          <w:sz w:val="24"/>
        </w:rPr>
        <w:t>-</w:t>
      </w:r>
      <w:r>
        <w:rPr>
          <w:rFonts w:ascii="Times New Roman" w:eastAsia="宋体" w:hAnsi="Times New Roman" w:cs="Times New Roman"/>
          <w:sz w:val="24"/>
        </w:rPr>
        <w:t>way ANOVA for B, C, F</w:t>
      </w:r>
      <w:r w:rsidR="00947A12">
        <w:rPr>
          <w:rFonts w:ascii="Times New Roman" w:eastAsia="宋体" w:hAnsi="Times New Roman" w:cs="Times New Roman"/>
          <w:sz w:val="24"/>
        </w:rPr>
        <w:t>,</w:t>
      </w:r>
      <w:r>
        <w:rPr>
          <w:rFonts w:ascii="Times New Roman" w:eastAsia="宋体" w:hAnsi="Times New Roman" w:cs="Times New Roman"/>
          <w:sz w:val="24"/>
        </w:rPr>
        <w:t xml:space="preserve"> and G. *</w:t>
      </w:r>
      <w:r>
        <w:rPr>
          <w:rFonts w:ascii="Times New Roman" w:eastAsia="宋体" w:hAnsi="Times New Roman" w:cs="Times New Roman"/>
          <w:i/>
          <w:iCs/>
          <w:sz w:val="24"/>
        </w:rPr>
        <w:t>p</w:t>
      </w:r>
      <w:r>
        <w:rPr>
          <w:rFonts w:ascii="Times New Roman" w:eastAsia="宋体" w:hAnsi="Times New Roman" w:cs="Times New Roman"/>
          <w:sz w:val="24"/>
        </w:rPr>
        <w:t xml:space="preserve"> &lt; 0.05, **</w:t>
      </w:r>
      <w:r>
        <w:rPr>
          <w:rFonts w:ascii="Times New Roman" w:eastAsia="宋体" w:hAnsi="Times New Roman" w:cs="Times New Roman"/>
          <w:i/>
          <w:iCs/>
          <w:sz w:val="24"/>
        </w:rPr>
        <w:t>p</w:t>
      </w:r>
      <w:r>
        <w:rPr>
          <w:rFonts w:ascii="Times New Roman" w:eastAsia="宋体" w:hAnsi="Times New Roman" w:cs="Times New Roman"/>
          <w:sz w:val="24"/>
        </w:rPr>
        <w:t xml:space="preserve"> &lt; 0.01, ***</w:t>
      </w:r>
      <w:r>
        <w:rPr>
          <w:rFonts w:ascii="Times New Roman" w:eastAsia="宋体" w:hAnsi="Times New Roman" w:cs="Times New Roman"/>
          <w:i/>
          <w:iCs/>
          <w:sz w:val="24"/>
        </w:rPr>
        <w:t>p</w:t>
      </w:r>
      <w:r>
        <w:rPr>
          <w:rFonts w:ascii="Times New Roman" w:eastAsia="宋体" w:hAnsi="Times New Roman" w:cs="Times New Roman"/>
          <w:sz w:val="24"/>
        </w:rPr>
        <w:t xml:space="preserve"> &lt; 0.001, ****</w:t>
      </w:r>
      <w:r>
        <w:rPr>
          <w:rFonts w:ascii="Times New Roman" w:eastAsia="宋体" w:hAnsi="Times New Roman" w:cs="Times New Roman"/>
          <w:i/>
          <w:iCs/>
          <w:sz w:val="24"/>
        </w:rPr>
        <w:t>p</w:t>
      </w:r>
      <w:r>
        <w:rPr>
          <w:rFonts w:ascii="Times New Roman" w:eastAsia="宋体" w:hAnsi="Times New Roman" w:cs="Times New Roman"/>
          <w:sz w:val="24"/>
        </w:rPr>
        <w:t xml:space="preserve"> &lt; 0.0001. Scale bars = 50 </w:t>
      </w:r>
      <w:proofErr w:type="spellStart"/>
      <w:r>
        <w:rPr>
          <w:rFonts w:ascii="Times New Roman" w:eastAsia="宋体" w:hAnsi="Times New Roman" w:cs="Times New Roman"/>
          <w:sz w:val="24"/>
        </w:rPr>
        <w:t>μm</w:t>
      </w:r>
      <w:proofErr w:type="spellEnd"/>
      <w:r>
        <w:rPr>
          <w:rFonts w:ascii="Times New Roman" w:eastAsia="宋体" w:hAnsi="Times New Roman" w:cs="Times New Roman"/>
          <w:sz w:val="24"/>
        </w:rPr>
        <w:t>.</w:t>
      </w:r>
    </w:p>
    <w:p w14:paraId="5F09D0E4" w14:textId="77777777" w:rsidR="0063575C" w:rsidRDefault="0063575C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169F9951" w14:textId="77777777" w:rsidR="0063575C" w:rsidRDefault="0063575C">
      <w:p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3839510B" wp14:editId="09E6E5A5">
            <wp:extent cx="5274310" cy="2573655"/>
            <wp:effectExtent l="0" t="0" r="2540" b="0"/>
            <wp:docPr id="10342996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9968" name="图片 10342996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96DC7" w14:textId="77777777" w:rsidR="00AC1457" w:rsidRDefault="00000000">
      <w:pPr>
        <w:spacing w:line="360" w:lineRule="auto"/>
        <w:rPr>
          <w:rFonts w:ascii="Times New Roman" w:eastAsia="宋体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Supplementary Fig. </w:t>
      </w:r>
      <w:r w:rsidR="0063575C">
        <w:rPr>
          <w:rFonts w:ascii="Times New Roman" w:eastAsia="宋体" w:hAnsi="Times New Roman" w:cs="Times New Roman" w:hint="eastAsia"/>
          <w:b/>
          <w:sz w:val="24"/>
        </w:rPr>
        <w:t>4</w:t>
      </w:r>
      <w:r>
        <w:rPr>
          <w:rFonts w:ascii="Times New Roman" w:eastAsia="宋体" w:hAnsi="Times New Roman" w:cs="Times New Roman"/>
          <w:b/>
          <w:sz w:val="24"/>
        </w:rPr>
        <w:t xml:space="preserve"> Characterization of the time course of retinal gliosis reactivity following intravitreal injection of uridine in C57 mice.</w:t>
      </w:r>
    </w:p>
    <w:p w14:paraId="61852B5B" w14:textId="77777777" w:rsidR="00AC1457" w:rsidRDefault="00000000">
      <w:pPr>
        <w:spacing w:line="360" w:lineRule="auto"/>
        <w:rPr>
          <w:rFonts w:ascii="Times New Roman" w:eastAsia="宋体" w:hAnsi="Times New Roman" w:cs="Times New Roman"/>
          <w:bCs/>
          <w:sz w:val="24"/>
        </w:rPr>
      </w:pPr>
      <w:r>
        <w:rPr>
          <w:rFonts w:ascii="Times New Roman" w:eastAsia="宋体" w:hAnsi="Times New Roman" w:cs="Times New Roman"/>
          <w:b/>
          <w:sz w:val="24"/>
        </w:rPr>
        <w:t>(A)</w:t>
      </w:r>
      <w:r>
        <w:rPr>
          <w:rFonts w:ascii="Times New Roman" w:eastAsia="宋体" w:hAnsi="Times New Roman" w:cs="Times New Roman"/>
          <w:bCs/>
          <w:sz w:val="24"/>
        </w:rPr>
        <w:t xml:space="preserve"> Representative images of retinal sections from control and uridine-treated eyes </w:t>
      </w:r>
      <w:proofErr w:type="spellStart"/>
      <w:r>
        <w:rPr>
          <w:rFonts w:ascii="Times New Roman" w:eastAsia="宋体" w:hAnsi="Times New Roman" w:cs="Times New Roman"/>
          <w:bCs/>
          <w:sz w:val="24"/>
        </w:rPr>
        <w:t>immunostained</w:t>
      </w:r>
      <w:proofErr w:type="spellEnd"/>
      <w:r>
        <w:rPr>
          <w:rFonts w:ascii="Times New Roman" w:eastAsia="宋体" w:hAnsi="Times New Roman" w:cs="Times New Roman"/>
          <w:bCs/>
          <w:sz w:val="24"/>
        </w:rPr>
        <w:t xml:space="preserve"> for GFAP (A1-A5, red). Nuclei were visualized with DAPI (blue). </w:t>
      </w:r>
    </w:p>
    <w:p w14:paraId="4CDD2783" w14:textId="77777777" w:rsidR="00AC1457" w:rsidRDefault="00000000">
      <w:pPr>
        <w:spacing w:line="360" w:lineRule="auto"/>
        <w:rPr>
          <w:rFonts w:ascii="Times New Roman" w:eastAsia="宋体" w:hAnsi="Times New Roman" w:cs="Times New Roman"/>
          <w:bCs/>
          <w:sz w:val="24"/>
        </w:rPr>
      </w:pPr>
      <w:r>
        <w:rPr>
          <w:rFonts w:ascii="Times New Roman" w:eastAsia="宋体" w:hAnsi="Times New Roman" w:cs="Times New Roman"/>
          <w:b/>
          <w:sz w:val="24"/>
        </w:rPr>
        <w:t>(B)</w:t>
      </w:r>
      <w:r>
        <w:rPr>
          <w:rFonts w:ascii="Times New Roman" w:eastAsia="宋体" w:hAnsi="Times New Roman" w:cs="Times New Roman"/>
          <w:bCs/>
          <w:sz w:val="24"/>
        </w:rPr>
        <w:t xml:space="preserve"> Quantitative analysis of GFAP-positive area (n = 3). </w:t>
      </w:r>
    </w:p>
    <w:p w14:paraId="5B41A42E" w14:textId="77777777" w:rsidR="00AC1457" w:rsidRDefault="00000000">
      <w:pPr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sz w:val="24"/>
        </w:rPr>
        <w:t>GCL: ganglion cell layer; INL: inner nuclear layer; ONL: outer nuclear layer. Data represent mean ± SD. Statistics: One</w:t>
      </w:r>
      <w:r w:rsidR="00947A12">
        <w:rPr>
          <w:rFonts w:ascii="Times New Roman" w:eastAsia="宋体" w:hAnsi="Times New Roman" w:cs="Times New Roman"/>
          <w:sz w:val="24"/>
        </w:rPr>
        <w:t>-</w:t>
      </w:r>
      <w:r>
        <w:rPr>
          <w:rFonts w:ascii="Times New Roman" w:eastAsia="宋体" w:hAnsi="Times New Roman" w:cs="Times New Roman"/>
          <w:sz w:val="24"/>
        </w:rPr>
        <w:t>way ANOVA for</w:t>
      </w:r>
      <w:r>
        <w:rPr>
          <w:rFonts w:ascii="Times New Roman" w:eastAsia="宋体" w:hAnsi="Times New Roman" w:cs="Times New Roman" w:hint="eastAsia"/>
          <w:sz w:val="24"/>
        </w:rPr>
        <w:t xml:space="preserve"> B. </w:t>
      </w:r>
      <w:r>
        <w:rPr>
          <w:rFonts w:ascii="Times New Roman" w:eastAsia="宋体" w:hAnsi="Times New Roman" w:cs="Times New Roman"/>
          <w:sz w:val="24"/>
        </w:rPr>
        <w:t>*</w:t>
      </w:r>
      <w:r>
        <w:rPr>
          <w:rFonts w:ascii="Times New Roman" w:eastAsia="宋体" w:hAnsi="Times New Roman" w:cs="Times New Roman"/>
          <w:i/>
          <w:iCs/>
          <w:sz w:val="24"/>
        </w:rPr>
        <w:t>p</w:t>
      </w:r>
      <w:r>
        <w:rPr>
          <w:rFonts w:ascii="Times New Roman" w:eastAsia="宋体" w:hAnsi="Times New Roman" w:cs="Times New Roman"/>
          <w:sz w:val="24"/>
        </w:rPr>
        <w:t xml:space="preserve"> &lt; 0.05, **</w:t>
      </w:r>
      <w:r>
        <w:rPr>
          <w:rFonts w:ascii="Times New Roman" w:eastAsia="宋体" w:hAnsi="Times New Roman" w:cs="Times New Roman"/>
          <w:i/>
          <w:iCs/>
          <w:sz w:val="24"/>
        </w:rPr>
        <w:t>p</w:t>
      </w:r>
      <w:r>
        <w:rPr>
          <w:rFonts w:ascii="Times New Roman" w:eastAsia="宋体" w:hAnsi="Times New Roman" w:cs="Times New Roman"/>
          <w:sz w:val="24"/>
        </w:rPr>
        <w:t xml:space="preserve"> &lt; 0.01</w:t>
      </w:r>
      <w:r>
        <w:rPr>
          <w:rFonts w:ascii="Times New Roman" w:eastAsia="宋体" w:hAnsi="Times New Roman" w:cs="Times New Roman" w:hint="eastAsia"/>
          <w:sz w:val="24"/>
        </w:rPr>
        <w:t xml:space="preserve">, </w:t>
      </w:r>
      <w:r>
        <w:rPr>
          <w:rFonts w:ascii="Times New Roman" w:eastAsia="宋体" w:hAnsi="Times New Roman" w:cs="Times New Roman"/>
          <w:sz w:val="24"/>
        </w:rPr>
        <w:t>****</w:t>
      </w:r>
      <w:r>
        <w:rPr>
          <w:rFonts w:ascii="Times New Roman" w:eastAsia="宋体" w:hAnsi="Times New Roman" w:cs="Times New Roman"/>
          <w:i/>
          <w:iCs/>
          <w:sz w:val="24"/>
        </w:rPr>
        <w:t>p</w:t>
      </w:r>
      <w:r>
        <w:rPr>
          <w:rFonts w:ascii="Times New Roman" w:eastAsia="宋体" w:hAnsi="Times New Roman" w:cs="Times New Roman"/>
          <w:sz w:val="24"/>
        </w:rPr>
        <w:t xml:space="preserve"> &lt; 0.0001</w:t>
      </w:r>
      <w:r>
        <w:rPr>
          <w:rFonts w:ascii="Times New Roman" w:eastAsia="宋体" w:hAnsi="Times New Roman" w:cs="Times New Roman" w:hint="eastAsia"/>
          <w:sz w:val="24"/>
        </w:rPr>
        <w:t xml:space="preserve"> </w:t>
      </w:r>
      <w:r>
        <w:rPr>
          <w:rFonts w:ascii="Times New Roman" w:eastAsia="宋体" w:hAnsi="Times New Roman" w:cs="Times New Roman"/>
          <w:sz w:val="24"/>
        </w:rPr>
        <w:t>(*: versus control group). Scale bars = 50 </w:t>
      </w:r>
      <w:proofErr w:type="spellStart"/>
      <w:r>
        <w:rPr>
          <w:rFonts w:ascii="Times New Roman" w:eastAsia="宋体" w:hAnsi="Times New Roman" w:cs="Times New Roman"/>
          <w:sz w:val="24"/>
        </w:rPr>
        <w:t>μm</w:t>
      </w:r>
      <w:proofErr w:type="spellEnd"/>
      <w:r>
        <w:rPr>
          <w:rFonts w:ascii="Times New Roman" w:eastAsia="宋体" w:hAnsi="Times New Roman" w:cs="Times New Roman"/>
          <w:sz w:val="24"/>
        </w:rPr>
        <w:t>.</w:t>
      </w:r>
    </w:p>
    <w:p w14:paraId="00445F84" w14:textId="77777777" w:rsidR="0063575C" w:rsidRDefault="0063575C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14:paraId="5A110685" w14:textId="77777777" w:rsidR="0063575C" w:rsidRDefault="0063575C">
      <w:pPr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7A04ABD3" wp14:editId="2040C965">
            <wp:extent cx="5274310" cy="4024630"/>
            <wp:effectExtent l="0" t="0" r="2540" b="0"/>
            <wp:docPr id="13888914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891413" name="图片 13888914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405AA" w14:textId="77777777" w:rsidR="00AC1457" w:rsidRDefault="00000000">
      <w:pPr>
        <w:spacing w:line="360" w:lineRule="auto"/>
        <w:rPr>
          <w:rFonts w:ascii="Times New Roman" w:eastAsia="宋体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Supplementary Fig. </w:t>
      </w:r>
      <w:r w:rsidR="0063575C">
        <w:rPr>
          <w:rFonts w:ascii="Times New Roman" w:eastAsia="宋体" w:hAnsi="Times New Roman" w:cs="Times New Roman" w:hint="eastAsia"/>
          <w:b/>
          <w:sz w:val="24"/>
        </w:rPr>
        <w:t>5</w:t>
      </w:r>
      <w:r>
        <w:rPr>
          <w:rFonts w:ascii="Times New Roman" w:eastAsia="宋体" w:hAnsi="Times New Roman" w:cs="Times New Roman"/>
          <w:b/>
          <w:sz w:val="24"/>
        </w:rPr>
        <w:t xml:space="preserve"> </w:t>
      </w:r>
      <w:r>
        <w:rPr>
          <w:rFonts w:ascii="Times New Roman" w:eastAsia="宋体" w:hAnsi="Times New Roman" w:cs="Times New Roman"/>
          <w:b/>
          <w:i/>
          <w:iCs/>
          <w:sz w:val="24"/>
        </w:rPr>
        <w:t>P2</w:t>
      </w:r>
      <w:r>
        <w:rPr>
          <w:rFonts w:ascii="Times New Roman" w:eastAsia="宋体" w:hAnsi="Times New Roman" w:cs="Times New Roman" w:hint="eastAsia"/>
          <w:b/>
          <w:i/>
          <w:iCs/>
          <w:sz w:val="24"/>
        </w:rPr>
        <w:t>ry6</w:t>
      </w:r>
      <w:r>
        <w:rPr>
          <w:rFonts w:ascii="Times New Roman" w:eastAsia="宋体" w:hAnsi="Times New Roman" w:cs="Times New Roman"/>
          <w:b/>
          <w:sz w:val="24"/>
        </w:rPr>
        <w:t xml:space="preserve"> expression</w:t>
      </w:r>
      <w:r>
        <w:rPr>
          <w:rFonts w:ascii="Times New Roman" w:eastAsia="宋体" w:hAnsi="Times New Roman" w:cs="Times New Roman" w:hint="eastAsia"/>
          <w:b/>
          <w:sz w:val="24"/>
        </w:rPr>
        <w:t xml:space="preserve"> is</w:t>
      </w:r>
      <w:r>
        <w:rPr>
          <w:rFonts w:ascii="Times New Roman" w:eastAsia="宋体" w:hAnsi="Times New Roman" w:cs="Times New Roman"/>
          <w:b/>
          <w:sz w:val="24"/>
        </w:rPr>
        <w:t xml:space="preserve"> observed primarily in microglial cells.</w:t>
      </w:r>
    </w:p>
    <w:p w14:paraId="18CA41D2" w14:textId="77777777" w:rsidR="00AC1457" w:rsidRDefault="00000000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b/>
          <w:bCs/>
          <w:sz w:val="24"/>
        </w:rPr>
        <w:t>(</w:t>
      </w:r>
      <w:r>
        <w:rPr>
          <w:rFonts w:ascii="Times New Roman" w:eastAsia="宋体" w:hAnsi="Times New Roman" w:cs="Times New Roman" w:hint="eastAsia"/>
          <w:b/>
          <w:bCs/>
          <w:sz w:val="24"/>
        </w:rPr>
        <w:t>A</w:t>
      </w:r>
      <w:r>
        <w:rPr>
          <w:rFonts w:ascii="Times New Roman" w:eastAsia="宋体" w:hAnsi="Times New Roman" w:cs="Times New Roman"/>
          <w:b/>
          <w:bCs/>
          <w:sz w:val="24"/>
        </w:rPr>
        <w:t>)</w:t>
      </w:r>
      <w:r>
        <w:rPr>
          <w:rFonts w:ascii="Times New Roman" w:eastAsia="宋体" w:hAnsi="Times New Roman" w:cs="Times New Roman"/>
          <w:sz w:val="24"/>
        </w:rPr>
        <w:t xml:space="preserve"> Uniform manifold approximation and projection (UMAP) of the single-cell RNA-seq datasets from mouse retinas in both C57 and rd10 groups, colored by annotated cell type. </w:t>
      </w:r>
    </w:p>
    <w:p w14:paraId="224BE0D2" w14:textId="77777777" w:rsidR="00AC1457" w:rsidRDefault="00000000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b/>
          <w:bCs/>
          <w:sz w:val="24"/>
        </w:rPr>
        <w:t>(</w:t>
      </w:r>
      <w:r>
        <w:rPr>
          <w:rFonts w:ascii="Times New Roman" w:eastAsia="宋体" w:hAnsi="Times New Roman" w:cs="Times New Roman" w:hint="eastAsia"/>
          <w:b/>
          <w:bCs/>
          <w:sz w:val="24"/>
        </w:rPr>
        <w:t>B</w:t>
      </w:r>
      <w:r>
        <w:rPr>
          <w:rFonts w:ascii="Times New Roman" w:eastAsia="宋体" w:hAnsi="Times New Roman" w:cs="Times New Roman"/>
          <w:b/>
          <w:bCs/>
          <w:sz w:val="24"/>
        </w:rPr>
        <w:t>)</w:t>
      </w:r>
      <w:r>
        <w:rPr>
          <w:rFonts w:ascii="Times New Roman" w:eastAsia="宋体" w:hAnsi="Times New Roman" w:cs="Times New Roman"/>
          <w:sz w:val="24"/>
        </w:rPr>
        <w:t xml:space="preserve"> The expression levels of </w:t>
      </w:r>
      <w:r w:rsidR="00947A12">
        <w:rPr>
          <w:rFonts w:ascii="Times New Roman" w:eastAsia="宋体" w:hAnsi="Times New Roman" w:cs="Times New Roman" w:hint="eastAsia"/>
          <w:sz w:val="24"/>
        </w:rPr>
        <w:t xml:space="preserve">the </w:t>
      </w:r>
      <w:r>
        <w:rPr>
          <w:rFonts w:ascii="Times New Roman" w:eastAsia="宋体" w:hAnsi="Times New Roman" w:cs="Times New Roman"/>
          <w:i/>
          <w:iCs/>
          <w:sz w:val="24"/>
        </w:rPr>
        <w:t>P2ry6</w:t>
      </w:r>
      <w:r>
        <w:rPr>
          <w:rFonts w:ascii="Times New Roman" w:eastAsia="宋体" w:hAnsi="Times New Roman" w:cs="Times New Roman"/>
          <w:sz w:val="24"/>
        </w:rPr>
        <w:t xml:space="preserve"> gene in the UMAP space. </w:t>
      </w:r>
    </w:p>
    <w:p w14:paraId="53FC8F5C" w14:textId="77777777" w:rsidR="00AC1457" w:rsidRDefault="00000000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b/>
          <w:bCs/>
          <w:sz w:val="24"/>
        </w:rPr>
        <w:t xml:space="preserve">(C) </w:t>
      </w:r>
      <w:r>
        <w:rPr>
          <w:rFonts w:ascii="Times New Roman" w:eastAsia="宋体" w:hAnsi="Times New Roman" w:cs="Times New Roman"/>
          <w:sz w:val="24"/>
        </w:rPr>
        <w:t xml:space="preserve">Bubble plot showing the </w:t>
      </w:r>
      <w:r>
        <w:rPr>
          <w:rFonts w:ascii="Times New Roman" w:eastAsia="宋体" w:hAnsi="Times New Roman" w:cs="Times New Roman"/>
          <w:i/>
          <w:iCs/>
          <w:sz w:val="24"/>
        </w:rPr>
        <w:t>P2ry6</w:t>
      </w:r>
      <w:r>
        <w:rPr>
          <w:rFonts w:ascii="Times New Roman" w:eastAsia="宋体" w:hAnsi="Times New Roman" w:cs="Times New Roman"/>
          <w:sz w:val="24"/>
        </w:rPr>
        <w:t xml:space="preserve"> level in different cell types</w:t>
      </w:r>
      <w:r>
        <w:rPr>
          <w:rFonts w:ascii="Times New Roman" w:eastAsia="宋体" w:hAnsi="Times New Roman" w:cs="Times New Roman" w:hint="eastAsia"/>
          <w:sz w:val="24"/>
        </w:rPr>
        <w:t>.</w:t>
      </w:r>
    </w:p>
    <w:p w14:paraId="1B14A9AB" w14:textId="77777777" w:rsidR="00AC1457" w:rsidRDefault="00000000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b/>
          <w:bCs/>
          <w:sz w:val="24"/>
        </w:rPr>
        <w:t>(D)</w:t>
      </w:r>
      <w:r>
        <w:rPr>
          <w:rFonts w:ascii="Times New Roman" w:eastAsia="宋体" w:hAnsi="Times New Roman" w:cs="Times New Roman" w:hint="eastAsia"/>
          <w:sz w:val="24"/>
        </w:rPr>
        <w:t xml:space="preserve"> </w:t>
      </w:r>
      <w:r>
        <w:rPr>
          <w:rFonts w:ascii="Times New Roman" w:eastAsia="宋体" w:hAnsi="Times New Roman" w:cs="Times New Roman"/>
          <w:sz w:val="24"/>
        </w:rPr>
        <w:t xml:space="preserve">Violin plot of </w:t>
      </w:r>
      <w:r>
        <w:rPr>
          <w:rFonts w:ascii="Times New Roman" w:eastAsia="宋体" w:hAnsi="Times New Roman" w:cs="Times New Roman"/>
          <w:i/>
          <w:iCs/>
          <w:sz w:val="24"/>
        </w:rPr>
        <w:t>P2ry6</w:t>
      </w:r>
      <w:r>
        <w:rPr>
          <w:rFonts w:ascii="Times New Roman" w:eastAsia="宋体" w:hAnsi="Times New Roman" w:cs="Times New Roman"/>
          <w:sz w:val="24"/>
        </w:rPr>
        <w:t xml:space="preserve"> expression levels in each cell type</w:t>
      </w:r>
      <w:r>
        <w:rPr>
          <w:rFonts w:ascii="Times New Roman" w:eastAsia="宋体" w:hAnsi="Times New Roman" w:cs="Times New Roman" w:hint="eastAsia"/>
          <w:sz w:val="24"/>
        </w:rPr>
        <w:t>.</w:t>
      </w:r>
    </w:p>
    <w:p w14:paraId="02BDD885" w14:textId="77777777" w:rsidR="00AC1457" w:rsidRPr="0063575C" w:rsidRDefault="00000000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ROD</w:t>
      </w:r>
      <w:r>
        <w:rPr>
          <w:rFonts w:ascii="Times New Roman" w:eastAsia="宋体" w:hAnsi="Times New Roman" w:cs="Times New Roman"/>
          <w:sz w:val="24"/>
        </w:rPr>
        <w:t>:</w:t>
      </w:r>
      <w:r>
        <w:rPr>
          <w:rFonts w:ascii="Times New Roman" w:eastAsia="宋体" w:hAnsi="Times New Roman" w:cs="Times New Roman" w:hint="eastAsia"/>
          <w:sz w:val="24"/>
        </w:rPr>
        <w:t xml:space="preserve"> rods; Cone: cones; MG: </w:t>
      </w:r>
      <w:proofErr w:type="spellStart"/>
      <w:r>
        <w:rPr>
          <w:rFonts w:ascii="Times New Roman" w:eastAsia="宋体" w:hAnsi="Times New Roman" w:cs="Times New Roman" w:hint="eastAsia"/>
          <w:sz w:val="24"/>
        </w:rPr>
        <w:t>m</w:t>
      </w:r>
      <w:r w:rsidR="003A0F70">
        <w:rPr>
          <w:rFonts w:ascii="Times New Roman" w:eastAsia="宋体" w:hAnsi="Times New Roman" w:cs="Times New Roman"/>
          <w:sz w:val="24"/>
        </w:rPr>
        <w:t>ü</w:t>
      </w:r>
      <w:r>
        <w:rPr>
          <w:rFonts w:ascii="Times New Roman" w:eastAsia="宋体" w:hAnsi="Times New Roman" w:cs="Times New Roman" w:hint="eastAsia"/>
          <w:sz w:val="24"/>
        </w:rPr>
        <w:t>ller</w:t>
      </w:r>
      <w:proofErr w:type="spellEnd"/>
      <w:r>
        <w:rPr>
          <w:rFonts w:ascii="Times New Roman" w:eastAsia="宋体" w:hAnsi="Times New Roman" w:cs="Times New Roman" w:hint="eastAsia"/>
          <w:sz w:val="24"/>
        </w:rPr>
        <w:t xml:space="preserve"> glial cells; MiG: microglia cells; BC: bipolar cells; AC: amacrine cells; VE: vascular endothelial cells; HC: horizontal cells. Statistics: Wilcox.</w:t>
      </w:r>
      <w:r w:rsidR="00947A12">
        <w:rPr>
          <w:rFonts w:ascii="Times New Roman" w:eastAsia="宋体" w:hAnsi="Times New Roman" w:cs="Times New Roman" w:hint="eastAsia"/>
          <w:sz w:val="24"/>
        </w:rPr>
        <w:t xml:space="preserve"> </w:t>
      </w:r>
      <w:r w:rsidR="00947A12">
        <w:rPr>
          <w:rFonts w:ascii="Times New Roman" w:eastAsia="宋体" w:hAnsi="Times New Roman" w:cs="Times New Roman"/>
          <w:sz w:val="24"/>
        </w:rPr>
        <w:t>T</w:t>
      </w:r>
      <w:r>
        <w:rPr>
          <w:rFonts w:ascii="Times New Roman" w:eastAsia="宋体" w:hAnsi="Times New Roman" w:cs="Times New Roman" w:hint="eastAsia"/>
          <w:sz w:val="24"/>
        </w:rPr>
        <w:t xml:space="preserve">est for D </w:t>
      </w:r>
      <w:r>
        <w:rPr>
          <w:rFonts w:ascii="Times New Roman" w:eastAsia="宋体" w:hAnsi="Times New Roman" w:cs="Times New Roman"/>
          <w:sz w:val="24"/>
        </w:rPr>
        <w:t>(</w:t>
      </w:r>
      <w:r>
        <w:rPr>
          <w:rFonts w:ascii="Times New Roman" w:eastAsia="宋体" w:hAnsi="Times New Roman" w:cs="Times New Roman" w:hint="eastAsia"/>
          <w:sz w:val="24"/>
        </w:rPr>
        <w:t xml:space="preserve">P: each cell type </w:t>
      </w:r>
      <w:r>
        <w:rPr>
          <w:rFonts w:ascii="Times New Roman" w:eastAsia="宋体" w:hAnsi="Times New Roman" w:cs="Times New Roman"/>
          <w:sz w:val="24"/>
        </w:rPr>
        <w:t xml:space="preserve">versus </w:t>
      </w:r>
      <w:r>
        <w:rPr>
          <w:rFonts w:ascii="Times New Roman" w:eastAsia="宋体" w:hAnsi="Times New Roman" w:cs="Times New Roman" w:hint="eastAsia"/>
          <w:sz w:val="24"/>
        </w:rPr>
        <w:t>MiG</w:t>
      </w:r>
      <w:r>
        <w:rPr>
          <w:rFonts w:ascii="Times New Roman" w:eastAsia="宋体" w:hAnsi="Times New Roman" w:cs="Times New Roman"/>
          <w:sz w:val="24"/>
        </w:rPr>
        <w:t>)</w:t>
      </w:r>
      <w:r>
        <w:rPr>
          <w:rFonts w:ascii="Times New Roman" w:eastAsia="宋体" w:hAnsi="Times New Roman" w:cs="Times New Roman" w:hint="eastAsia"/>
          <w:sz w:val="24"/>
        </w:rPr>
        <w:t>.</w:t>
      </w:r>
    </w:p>
    <w:p w14:paraId="48282029" w14:textId="77777777" w:rsidR="0063575C" w:rsidRDefault="0063575C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14:paraId="4666A76D" w14:textId="77777777" w:rsidR="0063575C" w:rsidRDefault="0063575C">
      <w:pPr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707AF863" wp14:editId="3897DFDB">
            <wp:extent cx="5274310" cy="5092700"/>
            <wp:effectExtent l="0" t="0" r="2540" b="0"/>
            <wp:docPr id="7391306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130613" name="图片 7391306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1EBF8" w14:textId="77777777" w:rsidR="00AC1457" w:rsidRDefault="00000000">
      <w:pPr>
        <w:spacing w:line="360" w:lineRule="auto"/>
        <w:rPr>
          <w:rFonts w:ascii="Times New Roman" w:eastAsia="宋体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Supplementary Fig. </w:t>
      </w:r>
      <w:r w:rsidR="0063575C">
        <w:rPr>
          <w:rFonts w:ascii="Times New Roman" w:eastAsia="宋体" w:hAnsi="Times New Roman" w:cs="Times New Roman" w:hint="eastAsia"/>
          <w:b/>
          <w:sz w:val="24"/>
        </w:rPr>
        <w:t>6</w:t>
      </w:r>
      <w:r>
        <w:rPr>
          <w:rFonts w:ascii="Times New Roman" w:eastAsia="宋体" w:hAnsi="Times New Roman" w:cs="Times New Roman"/>
          <w:b/>
          <w:sz w:val="24"/>
        </w:rPr>
        <w:t xml:space="preserve"> Differential expression of </w:t>
      </w:r>
      <w:r>
        <w:rPr>
          <w:rFonts w:ascii="Times New Roman" w:eastAsia="宋体" w:hAnsi="Times New Roman" w:cs="Times New Roman"/>
          <w:b/>
          <w:i/>
          <w:iCs/>
          <w:sz w:val="24"/>
        </w:rPr>
        <w:t>P2ry6</w:t>
      </w:r>
      <w:r>
        <w:rPr>
          <w:rFonts w:ascii="Times New Roman" w:eastAsia="宋体" w:hAnsi="Times New Roman" w:cs="Times New Roman"/>
          <w:b/>
          <w:sz w:val="24"/>
        </w:rPr>
        <w:t xml:space="preserve"> and subpopulation-specific marker genes across distinct microglial subpopulations</w:t>
      </w:r>
      <w:r>
        <w:rPr>
          <w:rFonts w:ascii="Times New Roman" w:eastAsia="宋体" w:hAnsi="Times New Roman" w:cs="Times New Roman" w:hint="eastAsia"/>
          <w:b/>
          <w:sz w:val="24"/>
        </w:rPr>
        <w:t>.</w:t>
      </w:r>
    </w:p>
    <w:p w14:paraId="75366E18" w14:textId="77777777" w:rsidR="00AC1457" w:rsidRDefault="00000000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b/>
          <w:bCs/>
          <w:sz w:val="24"/>
        </w:rPr>
        <w:t>(A)</w:t>
      </w:r>
      <w:r>
        <w:rPr>
          <w:rFonts w:ascii="Times New Roman" w:eastAsia="宋体" w:hAnsi="Times New Roman" w:cs="Times New Roman"/>
          <w:sz w:val="24"/>
        </w:rPr>
        <w:t xml:space="preserve"> Bubble plot showing the </w:t>
      </w:r>
      <w:r>
        <w:rPr>
          <w:rFonts w:ascii="Times New Roman" w:eastAsia="宋体" w:hAnsi="Times New Roman" w:cs="Times New Roman"/>
          <w:i/>
          <w:iCs/>
          <w:sz w:val="24"/>
        </w:rPr>
        <w:t>P2ry6</w:t>
      </w:r>
      <w:r>
        <w:rPr>
          <w:rFonts w:ascii="Times New Roman" w:eastAsia="宋体" w:hAnsi="Times New Roman" w:cs="Times New Roman"/>
          <w:sz w:val="24"/>
        </w:rPr>
        <w:t xml:space="preserve"> level in different microglial subpopulations. </w:t>
      </w:r>
    </w:p>
    <w:p w14:paraId="442A893A" w14:textId="77777777" w:rsidR="00AC1457" w:rsidRDefault="00000000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b/>
          <w:bCs/>
          <w:sz w:val="24"/>
        </w:rPr>
        <w:t>(B)</w:t>
      </w:r>
      <w:r>
        <w:rPr>
          <w:rFonts w:ascii="Times New Roman" w:eastAsia="宋体" w:hAnsi="Times New Roman" w:cs="Times New Roman"/>
          <w:sz w:val="24"/>
        </w:rPr>
        <w:t xml:space="preserve"> Violin plot of </w:t>
      </w:r>
      <w:r>
        <w:rPr>
          <w:rFonts w:ascii="Times New Roman" w:eastAsia="宋体" w:hAnsi="Times New Roman" w:cs="Times New Roman"/>
          <w:i/>
          <w:iCs/>
          <w:sz w:val="24"/>
        </w:rPr>
        <w:t>P2ry6</w:t>
      </w:r>
      <w:r>
        <w:rPr>
          <w:rFonts w:ascii="Times New Roman" w:eastAsia="宋体" w:hAnsi="Times New Roman" w:cs="Times New Roman"/>
          <w:sz w:val="24"/>
        </w:rPr>
        <w:t xml:space="preserve"> expression levels in each subpopulation. </w:t>
      </w:r>
    </w:p>
    <w:p w14:paraId="2EDF4F50" w14:textId="77777777" w:rsidR="00AC1457" w:rsidRDefault="00000000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b/>
          <w:bCs/>
          <w:sz w:val="24"/>
        </w:rPr>
        <w:t>(C)</w:t>
      </w:r>
      <w:r>
        <w:rPr>
          <w:rFonts w:ascii="Times New Roman" w:eastAsia="宋体" w:hAnsi="Times New Roman" w:cs="Times New Roman"/>
          <w:sz w:val="24"/>
        </w:rPr>
        <w:t xml:space="preserve"> Box plot of </w:t>
      </w:r>
      <w:r>
        <w:rPr>
          <w:rFonts w:ascii="Times New Roman" w:eastAsia="宋体" w:hAnsi="Times New Roman" w:cs="Times New Roman"/>
          <w:i/>
          <w:iCs/>
          <w:sz w:val="24"/>
        </w:rPr>
        <w:t>P2ry6</w:t>
      </w:r>
      <w:r>
        <w:rPr>
          <w:rFonts w:ascii="Times New Roman" w:eastAsia="宋体" w:hAnsi="Times New Roman" w:cs="Times New Roman"/>
          <w:sz w:val="24"/>
        </w:rPr>
        <w:t xml:space="preserve"> gene score in each subpopulation. </w:t>
      </w:r>
    </w:p>
    <w:p w14:paraId="47F2705A" w14:textId="77777777" w:rsidR="00AC1457" w:rsidRDefault="00000000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b/>
          <w:bCs/>
          <w:sz w:val="24"/>
        </w:rPr>
        <w:t xml:space="preserve">(D) </w:t>
      </w:r>
      <w:r>
        <w:rPr>
          <w:rFonts w:ascii="Times New Roman" w:eastAsia="宋体" w:hAnsi="Times New Roman" w:cs="Times New Roman"/>
          <w:sz w:val="24"/>
        </w:rPr>
        <w:t xml:space="preserve">Top-5 marker gene expression of microglial subpopulations. </w:t>
      </w:r>
    </w:p>
    <w:p w14:paraId="3ACD00B1" w14:textId="77777777" w:rsidR="00AC1457" w:rsidRPr="0063575C" w:rsidRDefault="00000000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Statistics: Wilcox.</w:t>
      </w:r>
      <w:r w:rsidR="00947A12">
        <w:rPr>
          <w:rFonts w:ascii="Times New Roman" w:eastAsia="宋体" w:hAnsi="Times New Roman" w:cs="Times New Roman"/>
          <w:sz w:val="24"/>
        </w:rPr>
        <w:t xml:space="preserve"> T</w:t>
      </w:r>
      <w:r>
        <w:rPr>
          <w:rFonts w:ascii="Times New Roman" w:eastAsia="宋体" w:hAnsi="Times New Roman" w:cs="Times New Roman"/>
          <w:sz w:val="24"/>
        </w:rPr>
        <w:t xml:space="preserve">est for B and C. </w:t>
      </w:r>
    </w:p>
    <w:p w14:paraId="65A05187" w14:textId="77777777" w:rsidR="0063575C" w:rsidRDefault="0063575C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14:paraId="52648FF8" w14:textId="77777777" w:rsidR="0063575C" w:rsidRDefault="0063575C">
      <w:pPr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3573B1FF" wp14:editId="32804A85">
            <wp:extent cx="5274310" cy="2996565"/>
            <wp:effectExtent l="0" t="0" r="2540" b="0"/>
            <wp:docPr id="53347996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479965" name="图片 53347996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3F475" w14:textId="77777777" w:rsidR="00AC1457" w:rsidRDefault="00000000">
      <w:pPr>
        <w:spacing w:line="360" w:lineRule="auto"/>
        <w:rPr>
          <w:rFonts w:ascii="Times New Roman" w:eastAsia="宋体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Supplementary Fig. </w:t>
      </w:r>
      <w:r w:rsidR="0063575C">
        <w:rPr>
          <w:rFonts w:ascii="Times New Roman" w:eastAsia="宋体" w:hAnsi="Times New Roman" w:cs="Times New Roman" w:hint="eastAsia"/>
          <w:b/>
          <w:sz w:val="24"/>
        </w:rPr>
        <w:t>7</w:t>
      </w:r>
      <w:r>
        <w:rPr>
          <w:rFonts w:ascii="Times New Roman" w:eastAsia="宋体" w:hAnsi="Times New Roman" w:cs="Times New Roman"/>
          <w:b/>
          <w:sz w:val="24"/>
        </w:rPr>
        <w:t xml:space="preserve"> Uridine induce</w:t>
      </w:r>
      <w:r>
        <w:rPr>
          <w:rFonts w:ascii="Times New Roman" w:eastAsia="宋体" w:hAnsi="Times New Roman" w:cs="Times New Roman" w:hint="eastAsia"/>
          <w:b/>
          <w:sz w:val="24"/>
        </w:rPr>
        <w:t>s</w:t>
      </w:r>
      <w:r>
        <w:rPr>
          <w:rFonts w:ascii="Times New Roman" w:eastAsia="宋体" w:hAnsi="Times New Roman" w:cs="Times New Roman"/>
          <w:b/>
          <w:sz w:val="24"/>
        </w:rPr>
        <w:t xml:space="preserve"> high CD68 and IL-1β expression in BV2 microglia.</w:t>
      </w:r>
    </w:p>
    <w:p w14:paraId="07F624C4" w14:textId="77777777" w:rsidR="00AC1457" w:rsidRDefault="00000000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b/>
          <w:bCs/>
          <w:sz w:val="24"/>
        </w:rPr>
        <w:t>(A-D)</w:t>
      </w:r>
      <w:r>
        <w:rPr>
          <w:rFonts w:ascii="Times New Roman" w:eastAsia="宋体" w:hAnsi="Times New Roman" w:cs="Times New Roman"/>
          <w:sz w:val="24"/>
        </w:rPr>
        <w:t xml:space="preserve"> Immunofluorescence staining of CD68 (A1-3</w:t>
      </w:r>
      <w:r w:rsidR="00360FB5">
        <w:rPr>
          <w:rFonts w:ascii="Times New Roman" w:eastAsia="宋体" w:hAnsi="Times New Roman" w:cs="Times New Roman" w:hint="eastAsia"/>
          <w:sz w:val="24"/>
        </w:rPr>
        <w:t xml:space="preserve">, </w:t>
      </w:r>
      <w:r>
        <w:rPr>
          <w:rFonts w:ascii="Times New Roman" w:eastAsia="宋体" w:hAnsi="Times New Roman" w:cs="Times New Roman"/>
          <w:sz w:val="24"/>
        </w:rPr>
        <w:t>B1-3) and IL-1β (C1-3, D1-3). DAPI</w:t>
      </w:r>
      <w:r w:rsidR="00947A12">
        <w:rPr>
          <w:rFonts w:ascii="Times New Roman" w:eastAsia="宋体" w:hAnsi="Times New Roman" w:cs="Times New Roman"/>
          <w:sz w:val="24"/>
        </w:rPr>
        <w:t>-</w:t>
      </w:r>
      <w:r>
        <w:rPr>
          <w:rFonts w:ascii="Times New Roman" w:eastAsia="宋体" w:hAnsi="Times New Roman" w:cs="Times New Roman"/>
          <w:sz w:val="24"/>
        </w:rPr>
        <w:t xml:space="preserve">stained nuclei are shown in blue. </w:t>
      </w:r>
    </w:p>
    <w:p w14:paraId="08ED3B37" w14:textId="77777777" w:rsidR="00AC1457" w:rsidRDefault="00000000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b/>
          <w:bCs/>
          <w:sz w:val="24"/>
        </w:rPr>
        <w:t>(E, F)</w:t>
      </w:r>
      <w:r>
        <w:rPr>
          <w:rFonts w:ascii="Times New Roman" w:eastAsia="宋体" w:hAnsi="Times New Roman" w:cs="Times New Roman"/>
          <w:sz w:val="24"/>
        </w:rPr>
        <w:t xml:space="preserve"> Relative fluorescent intensity of CD68</w:t>
      </w:r>
      <w:r>
        <w:rPr>
          <w:rFonts w:ascii="Times New Roman" w:eastAsia="宋体" w:hAnsi="Times New Roman" w:cs="Times New Roman" w:hint="eastAsia"/>
          <w:sz w:val="24"/>
        </w:rPr>
        <w:t xml:space="preserve"> (E)</w:t>
      </w:r>
      <w:r>
        <w:rPr>
          <w:rFonts w:ascii="Times New Roman" w:eastAsia="宋体" w:hAnsi="Times New Roman" w:cs="Times New Roman"/>
          <w:sz w:val="24"/>
        </w:rPr>
        <w:t xml:space="preserve"> and IL-1β</w:t>
      </w:r>
      <w:r>
        <w:rPr>
          <w:rFonts w:ascii="Times New Roman" w:eastAsia="宋体" w:hAnsi="Times New Roman" w:cs="Times New Roman" w:hint="eastAsia"/>
          <w:sz w:val="24"/>
        </w:rPr>
        <w:t xml:space="preserve"> (F)</w:t>
      </w:r>
      <w:r>
        <w:rPr>
          <w:rFonts w:ascii="Times New Roman" w:eastAsia="宋体" w:hAnsi="Times New Roman" w:cs="Times New Roman"/>
          <w:sz w:val="24"/>
        </w:rPr>
        <w:t xml:space="preserve"> among three groups (n = 3). </w:t>
      </w:r>
    </w:p>
    <w:p w14:paraId="59B826D6" w14:textId="4AB19DB2" w:rsidR="00AC1457" w:rsidRPr="0078091B" w:rsidRDefault="00000000" w:rsidP="0078091B">
      <w:pPr>
        <w:rPr>
          <w:rFonts w:ascii="Times New Roman" w:eastAsia="宋体" w:hAnsi="Times New Roman" w:cs="Times New Roman" w:hint="eastAsia"/>
          <w:sz w:val="24"/>
        </w:rPr>
      </w:pPr>
      <w:r>
        <w:rPr>
          <w:rFonts w:ascii="Times New Roman" w:eastAsia="宋体" w:hAnsi="Times New Roman" w:cs="Times New Roman"/>
          <w:sz w:val="24"/>
        </w:rPr>
        <w:t>Data represent mean ± SD. Statistics: One</w:t>
      </w:r>
      <w:r w:rsidR="00947A12">
        <w:rPr>
          <w:rFonts w:ascii="Times New Roman" w:eastAsia="宋体" w:hAnsi="Times New Roman" w:cs="Times New Roman"/>
          <w:sz w:val="24"/>
        </w:rPr>
        <w:t>-</w:t>
      </w:r>
      <w:r>
        <w:rPr>
          <w:rFonts w:ascii="Times New Roman" w:eastAsia="宋体" w:hAnsi="Times New Roman" w:cs="Times New Roman"/>
          <w:sz w:val="24"/>
        </w:rPr>
        <w:t>way ANOVA for E and F.</w:t>
      </w:r>
      <w:r>
        <w:rPr>
          <w:rFonts w:ascii="Times New Roman" w:eastAsia="宋体" w:hAnsi="Times New Roman" w:cs="Times New Roman" w:hint="eastAsia"/>
          <w:sz w:val="24"/>
        </w:rPr>
        <w:t xml:space="preserve"> </w:t>
      </w:r>
      <w:r>
        <w:rPr>
          <w:rFonts w:ascii="Times New Roman" w:eastAsia="宋体" w:hAnsi="Times New Roman" w:cs="Times New Roman"/>
          <w:sz w:val="24"/>
        </w:rPr>
        <w:t>*</w:t>
      </w:r>
      <w:r>
        <w:rPr>
          <w:rFonts w:ascii="Times New Roman" w:eastAsia="宋体" w:hAnsi="Times New Roman" w:cs="Times New Roman"/>
          <w:i/>
          <w:iCs/>
          <w:sz w:val="24"/>
        </w:rPr>
        <w:t>p</w:t>
      </w:r>
      <w:r>
        <w:rPr>
          <w:rFonts w:ascii="Times New Roman" w:eastAsia="宋体" w:hAnsi="Times New Roman" w:cs="Times New Roman"/>
          <w:sz w:val="24"/>
        </w:rPr>
        <w:t xml:space="preserve"> &lt; 0.05, **</w:t>
      </w:r>
      <w:r>
        <w:rPr>
          <w:rFonts w:ascii="Times New Roman" w:eastAsia="宋体" w:hAnsi="Times New Roman" w:cs="Times New Roman"/>
          <w:i/>
          <w:iCs/>
          <w:sz w:val="24"/>
        </w:rPr>
        <w:t>p</w:t>
      </w:r>
      <w:r>
        <w:rPr>
          <w:rFonts w:ascii="Times New Roman" w:eastAsia="宋体" w:hAnsi="Times New Roman" w:cs="Times New Roman"/>
          <w:sz w:val="24"/>
        </w:rPr>
        <w:t xml:space="preserve"> &lt; 0.01, ****</w:t>
      </w:r>
      <w:r>
        <w:rPr>
          <w:rFonts w:ascii="Times New Roman" w:eastAsia="宋体" w:hAnsi="Times New Roman" w:cs="Times New Roman"/>
          <w:i/>
          <w:iCs/>
          <w:sz w:val="24"/>
        </w:rPr>
        <w:t>p</w:t>
      </w:r>
      <w:r>
        <w:rPr>
          <w:rFonts w:ascii="Times New Roman" w:eastAsia="宋体" w:hAnsi="Times New Roman" w:cs="Times New Roman"/>
          <w:sz w:val="24"/>
        </w:rPr>
        <w:t xml:space="preserve"> &lt; 0.0001. Scale bars = 50 </w:t>
      </w:r>
      <w:proofErr w:type="spellStart"/>
      <w:r>
        <w:rPr>
          <w:rFonts w:ascii="Times New Roman" w:eastAsia="宋体" w:hAnsi="Times New Roman" w:cs="Times New Roman"/>
          <w:sz w:val="24"/>
        </w:rPr>
        <w:t>μm</w:t>
      </w:r>
      <w:proofErr w:type="spellEnd"/>
      <w:r>
        <w:rPr>
          <w:rFonts w:ascii="Times New Roman" w:eastAsia="宋体" w:hAnsi="Times New Roman" w:cs="Times New Roman"/>
          <w:sz w:val="24"/>
        </w:rPr>
        <w:t>.</w:t>
      </w:r>
    </w:p>
    <w:sectPr w:rsidR="00AC1457" w:rsidRPr="0078091B" w:rsidSect="0078091B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B634B8" w14:textId="77777777" w:rsidR="001B3BE6" w:rsidRDefault="001B3BE6" w:rsidP="0063575C">
      <w:r>
        <w:separator/>
      </w:r>
    </w:p>
  </w:endnote>
  <w:endnote w:type="continuationSeparator" w:id="0">
    <w:p w14:paraId="2DD01816" w14:textId="77777777" w:rsidR="001B3BE6" w:rsidRDefault="001B3BE6" w:rsidP="00635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923C0C" w14:textId="77777777" w:rsidR="001B3BE6" w:rsidRDefault="001B3BE6" w:rsidP="0063575C">
      <w:r>
        <w:separator/>
      </w:r>
    </w:p>
  </w:footnote>
  <w:footnote w:type="continuationSeparator" w:id="0">
    <w:p w14:paraId="79B7F0C0" w14:textId="77777777" w:rsidR="001B3BE6" w:rsidRDefault="001B3BE6" w:rsidP="006357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9C0E09"/>
    <w:multiLevelType w:val="singleLevel"/>
    <w:tmpl w:val="1E9C0E09"/>
    <w:lvl w:ilvl="0">
      <w:start w:val="1"/>
      <w:numFmt w:val="upperLetter"/>
      <w:suff w:val="space"/>
      <w:lvlText w:val="(%1)"/>
      <w:lvlJc w:val="left"/>
      <w:rPr>
        <w:rFonts w:hint="default"/>
        <w:i w:val="0"/>
        <w:iCs w:val="0"/>
      </w:rPr>
    </w:lvl>
  </w:abstractNum>
  <w:num w:numId="1" w16cid:durableId="607202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NDAyMjI3tDS3NDY3sDRX0lEKTi0uzszPAykwqwUAs1IFoCwAAAA="/>
    <w:docVar w:name="commondata" w:val="eyJoZGlkIjoiNTNkM2U3NDU1YTg2NjI3Y2U5MDk2Nzk0YjZkMjE4OWIifQ=="/>
  </w:docVars>
  <w:rsids>
    <w:rsidRoot w:val="00AC1457"/>
    <w:rsid w:val="00073E64"/>
    <w:rsid w:val="000A37B6"/>
    <w:rsid w:val="000C79C7"/>
    <w:rsid w:val="001B3BE6"/>
    <w:rsid w:val="00225A1C"/>
    <w:rsid w:val="00266C32"/>
    <w:rsid w:val="00360FB5"/>
    <w:rsid w:val="003A0F70"/>
    <w:rsid w:val="004B6199"/>
    <w:rsid w:val="005D6D84"/>
    <w:rsid w:val="0063575C"/>
    <w:rsid w:val="0078091B"/>
    <w:rsid w:val="00947A12"/>
    <w:rsid w:val="009A6C6A"/>
    <w:rsid w:val="00AC1457"/>
    <w:rsid w:val="00B36F57"/>
    <w:rsid w:val="00C02B59"/>
    <w:rsid w:val="00C93155"/>
    <w:rsid w:val="00D74EA1"/>
    <w:rsid w:val="00DC28EC"/>
    <w:rsid w:val="00E92DFC"/>
    <w:rsid w:val="00EF0E1F"/>
    <w:rsid w:val="01BA20F3"/>
    <w:rsid w:val="020225EC"/>
    <w:rsid w:val="02942B85"/>
    <w:rsid w:val="02BC1AB4"/>
    <w:rsid w:val="03E95B88"/>
    <w:rsid w:val="05927CC1"/>
    <w:rsid w:val="05B42F17"/>
    <w:rsid w:val="05C3315A"/>
    <w:rsid w:val="06CC597B"/>
    <w:rsid w:val="07593D76"/>
    <w:rsid w:val="08AA3D8F"/>
    <w:rsid w:val="0A740EC6"/>
    <w:rsid w:val="0AA30A0F"/>
    <w:rsid w:val="0B6C7DF0"/>
    <w:rsid w:val="0B950D1D"/>
    <w:rsid w:val="0C4E2B00"/>
    <w:rsid w:val="0CBB3049"/>
    <w:rsid w:val="0D7F205C"/>
    <w:rsid w:val="124962B8"/>
    <w:rsid w:val="12A21BF2"/>
    <w:rsid w:val="142E658A"/>
    <w:rsid w:val="14A448DD"/>
    <w:rsid w:val="1585042C"/>
    <w:rsid w:val="15D008BC"/>
    <w:rsid w:val="16924078"/>
    <w:rsid w:val="170F61FF"/>
    <w:rsid w:val="174C7453"/>
    <w:rsid w:val="18510A99"/>
    <w:rsid w:val="18E37AF2"/>
    <w:rsid w:val="1BA84E74"/>
    <w:rsid w:val="1D1D0FA8"/>
    <w:rsid w:val="1D3E15EC"/>
    <w:rsid w:val="1D4E37F9"/>
    <w:rsid w:val="1DCF66E8"/>
    <w:rsid w:val="1E220F0E"/>
    <w:rsid w:val="1E222CBC"/>
    <w:rsid w:val="1EC975DB"/>
    <w:rsid w:val="200D1749"/>
    <w:rsid w:val="2040567B"/>
    <w:rsid w:val="20815C2F"/>
    <w:rsid w:val="21721BB1"/>
    <w:rsid w:val="218A3F2C"/>
    <w:rsid w:val="21F506E7"/>
    <w:rsid w:val="230A1F70"/>
    <w:rsid w:val="23362D65"/>
    <w:rsid w:val="23524EC0"/>
    <w:rsid w:val="23C038FB"/>
    <w:rsid w:val="244B2840"/>
    <w:rsid w:val="247748A6"/>
    <w:rsid w:val="26802C75"/>
    <w:rsid w:val="26CA4055"/>
    <w:rsid w:val="28AB1AFF"/>
    <w:rsid w:val="29170E8E"/>
    <w:rsid w:val="298A7967"/>
    <w:rsid w:val="29D44611"/>
    <w:rsid w:val="2A336250"/>
    <w:rsid w:val="2A4E4E38"/>
    <w:rsid w:val="2ABF498C"/>
    <w:rsid w:val="2BD1753C"/>
    <w:rsid w:val="2D393B7E"/>
    <w:rsid w:val="2E241309"/>
    <w:rsid w:val="2F1C5505"/>
    <w:rsid w:val="2F6D5D61"/>
    <w:rsid w:val="2FF87D20"/>
    <w:rsid w:val="309418B1"/>
    <w:rsid w:val="31FC59F9"/>
    <w:rsid w:val="32B76B39"/>
    <w:rsid w:val="32C57C62"/>
    <w:rsid w:val="32E93950"/>
    <w:rsid w:val="37074CED"/>
    <w:rsid w:val="379A64B9"/>
    <w:rsid w:val="39812B34"/>
    <w:rsid w:val="3B7010B2"/>
    <w:rsid w:val="3BF73513"/>
    <w:rsid w:val="3C9A2914"/>
    <w:rsid w:val="3D8B21D4"/>
    <w:rsid w:val="3F380A80"/>
    <w:rsid w:val="3FB11C9A"/>
    <w:rsid w:val="402266F3"/>
    <w:rsid w:val="402E5098"/>
    <w:rsid w:val="41306BEE"/>
    <w:rsid w:val="414C7ECC"/>
    <w:rsid w:val="416E29A7"/>
    <w:rsid w:val="43993170"/>
    <w:rsid w:val="45120AE5"/>
    <w:rsid w:val="4543393B"/>
    <w:rsid w:val="46CC73B9"/>
    <w:rsid w:val="46E62229"/>
    <w:rsid w:val="47F14892"/>
    <w:rsid w:val="495F4514"/>
    <w:rsid w:val="4A05330E"/>
    <w:rsid w:val="4A361F60"/>
    <w:rsid w:val="4A3E672A"/>
    <w:rsid w:val="4A6F69D9"/>
    <w:rsid w:val="4AD056CA"/>
    <w:rsid w:val="4B7E5126"/>
    <w:rsid w:val="4C2D2BEE"/>
    <w:rsid w:val="4C5E135D"/>
    <w:rsid w:val="4CB03634"/>
    <w:rsid w:val="4D8207D1"/>
    <w:rsid w:val="4DEC3AAD"/>
    <w:rsid w:val="4E9C3B15"/>
    <w:rsid w:val="4EAA4E4E"/>
    <w:rsid w:val="4ED56CDE"/>
    <w:rsid w:val="5001724C"/>
    <w:rsid w:val="50EA2259"/>
    <w:rsid w:val="51583D23"/>
    <w:rsid w:val="525F10E1"/>
    <w:rsid w:val="537231BE"/>
    <w:rsid w:val="53D0673A"/>
    <w:rsid w:val="545A24A8"/>
    <w:rsid w:val="54703A7A"/>
    <w:rsid w:val="550D12C8"/>
    <w:rsid w:val="583D1EC5"/>
    <w:rsid w:val="58647037"/>
    <w:rsid w:val="58C61EBA"/>
    <w:rsid w:val="59D93E6F"/>
    <w:rsid w:val="5A850AC5"/>
    <w:rsid w:val="5B743E4F"/>
    <w:rsid w:val="5B926D8C"/>
    <w:rsid w:val="5BD112A2"/>
    <w:rsid w:val="5C7B745F"/>
    <w:rsid w:val="5E785A05"/>
    <w:rsid w:val="60EC6236"/>
    <w:rsid w:val="616365BA"/>
    <w:rsid w:val="62162102"/>
    <w:rsid w:val="62970423"/>
    <w:rsid w:val="6368244F"/>
    <w:rsid w:val="63E54454"/>
    <w:rsid w:val="64342120"/>
    <w:rsid w:val="65110961"/>
    <w:rsid w:val="651D3357"/>
    <w:rsid w:val="65414F7C"/>
    <w:rsid w:val="65EA2F94"/>
    <w:rsid w:val="67136C12"/>
    <w:rsid w:val="69855479"/>
    <w:rsid w:val="6A086555"/>
    <w:rsid w:val="6A576E16"/>
    <w:rsid w:val="6B5473F7"/>
    <w:rsid w:val="6B6F018F"/>
    <w:rsid w:val="6C327B3B"/>
    <w:rsid w:val="6D716441"/>
    <w:rsid w:val="6D8D2B4F"/>
    <w:rsid w:val="6EB32A89"/>
    <w:rsid w:val="6FCD36D6"/>
    <w:rsid w:val="6FDE3B35"/>
    <w:rsid w:val="7200787E"/>
    <w:rsid w:val="72C139C6"/>
    <w:rsid w:val="72FC7376"/>
    <w:rsid w:val="74BF3F35"/>
    <w:rsid w:val="74CB4853"/>
    <w:rsid w:val="762D283F"/>
    <w:rsid w:val="77E837A3"/>
    <w:rsid w:val="78E977D3"/>
    <w:rsid w:val="7935567C"/>
    <w:rsid w:val="79AB6836"/>
    <w:rsid w:val="7AC44EDC"/>
    <w:rsid w:val="7B13774E"/>
    <w:rsid w:val="7BFE6C93"/>
    <w:rsid w:val="7CA26617"/>
    <w:rsid w:val="7DEA3FF1"/>
    <w:rsid w:val="7E865AC4"/>
    <w:rsid w:val="7F31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CB5A82"/>
  <w15:docId w15:val="{16E76C2E-6191-437A-844D-5061AA98F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qFormat/>
    <w:rPr>
      <w:i/>
    </w:rPr>
  </w:style>
  <w:style w:type="paragraph" w:styleId="a5">
    <w:name w:val="header"/>
    <w:basedOn w:val="a"/>
    <w:link w:val="a6"/>
    <w:rsid w:val="0063575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63575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6357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63575C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9">
    <w:name w:val="line number"/>
    <w:basedOn w:val="a0"/>
    <w:rsid w:val="007809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699</Words>
  <Characters>3768</Characters>
  <Application>Microsoft Office Word</Application>
  <DocSecurity>0</DocSecurity>
  <Lines>94</Lines>
  <Paragraphs>42</Paragraphs>
  <ScaleCrop>false</ScaleCrop>
  <Company/>
  <LinksUpToDate>false</LinksUpToDate>
  <CharactersWithSpaces>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喆 茶</cp:lastModifiedBy>
  <cp:revision>3</cp:revision>
  <dcterms:created xsi:type="dcterms:W3CDTF">2025-05-02T08:14:00Z</dcterms:created>
  <dcterms:modified xsi:type="dcterms:W3CDTF">2025-05-06T09:29:00Z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6317D1BB469C447BAF596BAC5196FA26_13</vt:lpwstr>
  </property>
  <property fmtid="{D5CDD505-2E9C-101B-9397-08002B2CF9AE}" pid="4" name="KSOTemplateDocerSaveRecord">
    <vt:lpwstr>eyJoZGlkIjoiNTNkM2U3NDU1YTg2NjI3Y2U5MDk2Nzk0YjZkMjE4OWIiLCJ1c2VySWQiOiIzNzA5MDkxIn0=</vt:lpwstr>
  </property>
</Properties>
</file>