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F8BB5C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Supplementary Information</w:t>
      </w:r>
    </w:p>
    <w:p w14:paraId="5738A0DF" w14:textId="77777777" w:rsidR="008D78D0" w:rsidRPr="00A8685D" w:rsidRDefault="008D78D0" w:rsidP="008D78D0">
      <w:pPr>
        <w:spacing w:line="360" w:lineRule="auto"/>
        <w:rPr>
          <w:sz w:val="24"/>
          <w:szCs w:val="24"/>
        </w:rPr>
      </w:pPr>
      <w:r w:rsidRPr="00A8685D">
        <w:rPr>
          <w:b/>
          <w:bCs/>
          <w:sz w:val="24"/>
          <w:szCs w:val="24"/>
        </w:rPr>
        <w:t>Additional file 1:</w:t>
      </w:r>
      <w:r w:rsidRPr="00A8685D">
        <w:rPr>
          <w:sz w:val="24"/>
          <w:szCs w:val="24"/>
        </w:rPr>
        <w:t xml:space="preserve"> </w:t>
      </w:r>
      <w:r w:rsidRPr="00A8685D">
        <w:rPr>
          <w:b/>
          <w:bCs/>
          <w:sz w:val="24"/>
          <w:szCs w:val="24"/>
        </w:rPr>
        <w:t>Table S1.</w:t>
      </w:r>
      <w:r w:rsidRPr="00A8685D">
        <w:rPr>
          <w:sz w:val="24"/>
          <w:szCs w:val="24"/>
        </w:rPr>
        <w:t xml:space="preserve"> Primers for amplification of indicated genes. </w:t>
      </w:r>
      <w:r w:rsidRPr="00A8685D">
        <w:rPr>
          <w:b/>
          <w:bCs/>
          <w:sz w:val="24"/>
          <w:szCs w:val="24"/>
        </w:rPr>
        <w:t>Table S2.</w:t>
      </w:r>
      <w:r w:rsidRPr="00A8685D">
        <w:rPr>
          <w:sz w:val="24"/>
          <w:szCs w:val="24"/>
        </w:rPr>
        <w:t xml:space="preserve"> 114 necroptosis-related genes from the GeneCards database. </w:t>
      </w:r>
      <w:r w:rsidRPr="00A8685D">
        <w:rPr>
          <w:b/>
          <w:bCs/>
          <w:sz w:val="24"/>
          <w:szCs w:val="24"/>
        </w:rPr>
        <w:t>Table S3.</w:t>
      </w:r>
      <w:r w:rsidRPr="00A8685D">
        <w:rPr>
          <w:sz w:val="24"/>
          <w:szCs w:val="24"/>
        </w:rPr>
        <w:t xml:space="preserve"> Marker genes for various cell populations. </w:t>
      </w:r>
      <w:r w:rsidRPr="00A8685D">
        <w:rPr>
          <w:b/>
          <w:bCs/>
          <w:sz w:val="24"/>
          <w:szCs w:val="24"/>
        </w:rPr>
        <w:t>Table S4.</w:t>
      </w:r>
      <w:r w:rsidRPr="00A8685D">
        <w:rPr>
          <w:sz w:val="24"/>
          <w:szCs w:val="24"/>
        </w:rPr>
        <w:t xml:space="preserve"> Intersection genes between the 114 necroptosis-related genes and various cell populations. </w:t>
      </w:r>
      <w:r w:rsidRPr="00A8685D">
        <w:rPr>
          <w:b/>
          <w:bCs/>
          <w:sz w:val="24"/>
          <w:szCs w:val="24"/>
        </w:rPr>
        <w:t>Table S5.</w:t>
      </w:r>
      <w:r w:rsidRPr="00A8685D">
        <w:rPr>
          <w:sz w:val="24"/>
          <w:szCs w:val="24"/>
        </w:rPr>
        <w:t xml:space="preserve"> Intersection of differentially expressed genes in the high necroptosis score group and differentially expressed genes in the GSE10334 dataset. </w:t>
      </w:r>
      <w:r w:rsidRPr="00A8685D">
        <w:rPr>
          <w:b/>
          <w:bCs/>
          <w:sz w:val="24"/>
          <w:szCs w:val="24"/>
        </w:rPr>
        <w:t>Table S6.</w:t>
      </w:r>
      <w:r w:rsidRPr="00A8685D">
        <w:rPr>
          <w:sz w:val="24"/>
          <w:szCs w:val="24"/>
        </w:rPr>
        <w:t xml:space="preserve"> Intersection of genes selected by LASSO, SVM-RFE, and RF algorithms.</w:t>
      </w:r>
    </w:p>
    <w:p w14:paraId="32806CF2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</w:p>
    <w:p w14:paraId="03E042E7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 xml:space="preserve">Additional file 2: Fig. S1. </w:t>
      </w:r>
    </w:p>
    <w:p w14:paraId="4D735A3B" w14:textId="77777777" w:rsidR="008D78D0" w:rsidRPr="00A8685D" w:rsidRDefault="008D78D0" w:rsidP="008D78D0">
      <w:pPr>
        <w:spacing w:line="360" w:lineRule="auto"/>
        <w:rPr>
          <w:sz w:val="24"/>
          <w:szCs w:val="24"/>
        </w:rPr>
      </w:pPr>
    </w:p>
    <w:p w14:paraId="5D5959C1" w14:textId="77777777" w:rsidR="008D78D0" w:rsidRPr="00A8685D" w:rsidRDefault="008D78D0" w:rsidP="008D78D0">
      <w:pPr>
        <w:spacing w:line="360" w:lineRule="auto"/>
        <w:rPr>
          <w:sz w:val="24"/>
          <w:szCs w:val="24"/>
        </w:rPr>
      </w:pPr>
      <w:r w:rsidRPr="00A8685D">
        <w:rPr>
          <w:b/>
          <w:bCs/>
          <w:sz w:val="24"/>
          <w:szCs w:val="24"/>
        </w:rPr>
        <w:t>Abbreviations</w:t>
      </w:r>
    </w:p>
    <w:p w14:paraId="47D53687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DAMPs</w:t>
      </w:r>
    </w:p>
    <w:p w14:paraId="5999A4B8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Damage-associated molecular patterns</w:t>
      </w:r>
    </w:p>
    <w:p w14:paraId="76511237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NRGs</w:t>
      </w:r>
    </w:p>
    <w:p w14:paraId="1F34ACFC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Necroptosis-related genes</w:t>
      </w:r>
    </w:p>
    <w:p w14:paraId="42DD13B1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MLKL</w:t>
      </w:r>
    </w:p>
    <w:p w14:paraId="36494677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Mixed lineage kinase domain-like pseudokinase</w:t>
      </w:r>
    </w:p>
    <w:p w14:paraId="342122EA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GSVA</w:t>
      </w:r>
    </w:p>
    <w:p w14:paraId="7645431F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Gene set variation analysis</w:t>
      </w:r>
    </w:p>
    <w:p w14:paraId="5A2CED7A" w14:textId="77777777" w:rsidR="008D78D0" w:rsidRPr="00A8685D" w:rsidRDefault="008D78D0" w:rsidP="008D78D0">
      <w:pPr>
        <w:spacing w:line="360" w:lineRule="auto"/>
        <w:rPr>
          <w:sz w:val="24"/>
          <w:szCs w:val="24"/>
        </w:rPr>
      </w:pPr>
      <w:r w:rsidRPr="00A8685D">
        <w:rPr>
          <w:b/>
          <w:bCs/>
          <w:sz w:val="24"/>
          <w:szCs w:val="24"/>
        </w:rPr>
        <w:t>GEO</w:t>
      </w:r>
    </w:p>
    <w:p w14:paraId="089F4CD9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Gene expression omnibus</w:t>
      </w:r>
    </w:p>
    <w:p w14:paraId="6253C70B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DEGs</w:t>
      </w:r>
    </w:p>
    <w:p w14:paraId="4307E343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Differentially expressed genes</w:t>
      </w:r>
    </w:p>
    <w:p w14:paraId="20A65B42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KEGG</w:t>
      </w:r>
    </w:p>
    <w:p w14:paraId="2907A541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Kyoto Encyclopedia of Genes and Genomes</w:t>
      </w:r>
    </w:p>
    <w:p w14:paraId="255B83E2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ssGSEA</w:t>
      </w:r>
    </w:p>
    <w:p w14:paraId="42DF43B4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Single Sample Gene Set Enrichment Analysis</w:t>
      </w:r>
    </w:p>
    <w:p w14:paraId="0A3518A0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GSEA</w:t>
      </w:r>
    </w:p>
    <w:p w14:paraId="31FE6980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Gene set enrichment analysis</w:t>
      </w:r>
    </w:p>
    <w:p w14:paraId="08220FE5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LASSO</w:t>
      </w:r>
    </w:p>
    <w:p w14:paraId="1DC8871B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Least absolute shrinkage and selection operator</w:t>
      </w:r>
    </w:p>
    <w:p w14:paraId="30F3D227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lastRenderedPageBreak/>
        <w:t>SVM</w:t>
      </w:r>
    </w:p>
    <w:p w14:paraId="14D1F69D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Support vector machine</w:t>
      </w:r>
    </w:p>
    <w:p w14:paraId="55EEB3B5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RF</w:t>
      </w:r>
    </w:p>
    <w:p w14:paraId="41711C51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RandomForest</w:t>
      </w:r>
    </w:p>
    <w:p w14:paraId="2B58290B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ROC</w:t>
      </w:r>
    </w:p>
    <w:p w14:paraId="702B47C3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Receiver operating characteristic</w:t>
      </w:r>
    </w:p>
    <w:p w14:paraId="476CE998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PCA</w:t>
      </w:r>
    </w:p>
    <w:p w14:paraId="384A3978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Principal component analysis</w:t>
      </w:r>
    </w:p>
    <w:p w14:paraId="128B94DA" w14:textId="77777777" w:rsidR="008D78D0" w:rsidRPr="00A8685D" w:rsidRDefault="008D78D0" w:rsidP="008D78D0">
      <w:pPr>
        <w:spacing w:line="360" w:lineRule="auto"/>
        <w:rPr>
          <w:b/>
          <w:bCs/>
          <w:sz w:val="24"/>
          <w:szCs w:val="24"/>
        </w:rPr>
      </w:pPr>
      <w:r w:rsidRPr="00A8685D">
        <w:rPr>
          <w:b/>
          <w:bCs/>
          <w:sz w:val="24"/>
          <w:szCs w:val="24"/>
        </w:rPr>
        <w:t>AUC</w:t>
      </w:r>
    </w:p>
    <w:p w14:paraId="0FDA2406" w14:textId="77777777" w:rsidR="008D78D0" w:rsidRPr="00A8685D" w:rsidRDefault="008D78D0" w:rsidP="008D78D0">
      <w:pPr>
        <w:spacing w:line="360" w:lineRule="auto"/>
        <w:ind w:firstLineChars="200" w:firstLine="480"/>
        <w:rPr>
          <w:sz w:val="24"/>
          <w:szCs w:val="24"/>
        </w:rPr>
      </w:pPr>
      <w:r w:rsidRPr="00A8685D">
        <w:rPr>
          <w:sz w:val="24"/>
          <w:szCs w:val="24"/>
        </w:rPr>
        <w:t>Area under the curve</w:t>
      </w:r>
    </w:p>
    <w:p w14:paraId="3EA4AFD4" w14:textId="77777777" w:rsidR="008D78D0" w:rsidRPr="00A8685D" w:rsidRDefault="008D78D0" w:rsidP="008D78D0">
      <w:pPr>
        <w:spacing w:line="360" w:lineRule="auto"/>
        <w:rPr>
          <w:sz w:val="24"/>
          <w:szCs w:val="24"/>
        </w:rPr>
      </w:pPr>
    </w:p>
    <w:p w14:paraId="246D2C62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8D0"/>
    <w:rsid w:val="003C2EF4"/>
    <w:rsid w:val="00446799"/>
    <w:rsid w:val="006A7E07"/>
    <w:rsid w:val="00701021"/>
    <w:rsid w:val="008D78D0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979D7"/>
  <w15:chartTrackingRefBased/>
  <w15:docId w15:val="{9F5D697C-FBE7-4950-A0BC-0B3DFABC5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8D0"/>
    <w:pPr>
      <w:spacing w:after="0" w:line="240" w:lineRule="auto"/>
      <w:jc w:val="both"/>
    </w:pPr>
    <w:rPr>
      <w:rFonts w:ascii="Times New Roman" w:eastAsia="SimSun" w:hAnsi="Times New Roman" w:cs="Times New Roman"/>
      <w:sz w:val="21"/>
      <w:szCs w:val="2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78D0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78D0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78D0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78D0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78D0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78D0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78D0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78D0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78D0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78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78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78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78D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78D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78D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78D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78D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78D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78D0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78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78D0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78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78D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78D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78D0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78D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78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78D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78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171</Words>
  <Characters>976</Characters>
  <Application>Microsoft Office Word</Application>
  <DocSecurity>0</DocSecurity>
  <Lines>8</Lines>
  <Paragraphs>2</Paragraphs>
  <ScaleCrop>false</ScaleCrop>
  <Company>Springer Nature</Company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2025-05-13T11:55:00Z</dcterms:created>
  <dcterms:modified xsi:type="dcterms:W3CDTF">2025-05-13T11:55:00Z</dcterms:modified>
</cp:coreProperties>
</file>