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AB151" w14:textId="5FB639D4" w:rsidR="0015669C" w:rsidRPr="007872A2" w:rsidRDefault="00031A06" w:rsidP="00031A06">
      <w:pPr>
        <w:widowControl/>
        <w:spacing w:after="0" w:line="360" w:lineRule="auto"/>
        <w:rPr>
          <w:rFonts w:ascii="Times New Roman" w:hAnsi="Times New Roman" w:cs="Times New Roman"/>
          <w:b/>
          <w:bCs/>
          <w:sz w:val="28"/>
          <w:szCs w:val="28"/>
        </w:rPr>
      </w:pPr>
      <w:bookmarkStart w:id="0" w:name="_Hlk194674088"/>
      <w:bookmarkEnd w:id="0"/>
      <w:r>
        <w:rPr>
          <w:rFonts w:ascii="Times New Roman" w:hAnsi="Times New Roman" w:cs="Times New Roman" w:hint="eastAsia"/>
          <w:b/>
          <w:bCs/>
          <w:sz w:val="28"/>
          <w:szCs w:val="28"/>
        </w:rPr>
        <w:t>Doping-Induced Conductivity Enhancement</w:t>
      </w:r>
      <w:r>
        <w:rPr>
          <w:rFonts w:ascii="Times New Roman" w:hAnsi="Times New Roman" w:cs="Times New Roman" w:hint="eastAsia"/>
          <w:b/>
          <w:bCs/>
          <w:sz w:val="28"/>
          <w:szCs w:val="28"/>
        </w:rPr>
        <w:t xml:space="preserve"> </w:t>
      </w:r>
      <w:r>
        <w:rPr>
          <w:rFonts w:ascii="Times New Roman" w:hAnsi="Times New Roman" w:cs="Times New Roman" w:hint="eastAsia"/>
          <w:b/>
          <w:bCs/>
          <w:sz w:val="28"/>
          <w:szCs w:val="28"/>
        </w:rPr>
        <w:t>in Mechanically Robust and Flexible SWCNT/Conjugated-Polymer Composites for High-Performance EMI Shielding</w:t>
      </w:r>
    </w:p>
    <w:p w14:paraId="4EC156B4" w14:textId="77777777" w:rsidR="0015669C" w:rsidRDefault="0015669C" w:rsidP="00031A06">
      <w:pPr>
        <w:widowControl/>
        <w:spacing w:after="0" w:line="360" w:lineRule="auto"/>
        <w:rPr>
          <w:rFonts w:ascii="Times New Roman" w:hAnsi="Times New Roman" w:cs="Times New Roman"/>
          <w:sz w:val="24"/>
          <w:szCs w:val="24"/>
        </w:rPr>
      </w:pPr>
    </w:p>
    <w:p w14:paraId="6A280EE8" w14:textId="2C89D784" w:rsidR="0015669C" w:rsidRDefault="00E93DFA" w:rsidP="00031A06">
      <w:pPr>
        <w:widowControl/>
        <w:spacing w:after="0" w:line="360" w:lineRule="auto"/>
        <w:rPr>
          <w:rFonts w:ascii="Times New Roman" w:hAnsi="Times New Roman" w:cs="Times New Roman"/>
          <w:b/>
          <w:bCs/>
          <w:sz w:val="24"/>
          <w:szCs w:val="24"/>
        </w:rPr>
      </w:pPr>
      <w:r w:rsidRPr="007872A2">
        <w:rPr>
          <w:rFonts w:ascii="Times New Roman" w:hAnsi="Times New Roman" w:cs="Times New Roman" w:hint="eastAsia"/>
          <w:b/>
          <w:bCs/>
          <w:sz w:val="24"/>
          <w:szCs w:val="24"/>
        </w:rPr>
        <w:t>Min Seon Kim,</w:t>
      </w:r>
      <w:r w:rsidRPr="007872A2">
        <w:rPr>
          <w:rFonts w:ascii="Times New Roman" w:hAnsi="Times New Roman" w:cs="Times New Roman" w:hint="eastAsia"/>
          <w:b/>
          <w:bCs/>
          <w:sz w:val="24"/>
          <w:szCs w:val="24"/>
          <w:vertAlign w:val="superscript"/>
        </w:rPr>
        <w:t>1</w:t>
      </w:r>
      <w:r w:rsidRPr="007872A2">
        <w:rPr>
          <w:rFonts w:ascii="Times New Roman" w:hAnsi="Times New Roman" w:cs="Times New Roman" w:hint="eastAsia"/>
          <w:b/>
          <w:bCs/>
          <w:sz w:val="24"/>
          <w:szCs w:val="24"/>
        </w:rPr>
        <w:t xml:space="preserve"> Yejin Ahn,</w:t>
      </w:r>
      <w:r w:rsidRPr="007872A2">
        <w:rPr>
          <w:rFonts w:ascii="Times New Roman" w:hAnsi="Times New Roman" w:cs="Times New Roman" w:hint="eastAsia"/>
          <w:b/>
          <w:bCs/>
          <w:sz w:val="24"/>
          <w:szCs w:val="24"/>
          <w:vertAlign w:val="superscript"/>
        </w:rPr>
        <w:t>1</w:t>
      </w:r>
      <w:r w:rsidRPr="007872A2">
        <w:rPr>
          <w:rFonts w:ascii="Times New Roman" w:hAnsi="Times New Roman" w:cs="Times New Roman" w:hint="eastAsia"/>
          <w:b/>
          <w:bCs/>
          <w:sz w:val="24"/>
          <w:szCs w:val="24"/>
        </w:rPr>
        <w:t xml:space="preserve"> Sung Woo Hong,</w:t>
      </w:r>
      <w:r w:rsidRPr="007872A2">
        <w:rPr>
          <w:rFonts w:ascii="Times New Roman" w:hAnsi="Times New Roman" w:cs="Times New Roman" w:hint="eastAsia"/>
          <w:b/>
          <w:bCs/>
          <w:sz w:val="24"/>
          <w:szCs w:val="24"/>
          <w:vertAlign w:val="superscript"/>
        </w:rPr>
        <w:t>2,3</w:t>
      </w:r>
      <w:r>
        <w:rPr>
          <w:rFonts w:ascii="Times New Roman" w:hAnsi="Times New Roman" w:cs="Times New Roman" w:hint="eastAsia"/>
          <w:b/>
          <w:bCs/>
          <w:sz w:val="24"/>
          <w:szCs w:val="24"/>
          <w:vertAlign w:val="superscript"/>
        </w:rPr>
        <w:t>,4</w:t>
      </w:r>
      <w:r w:rsidRPr="007872A2">
        <w:rPr>
          <w:rFonts w:ascii="Times New Roman" w:hAnsi="Times New Roman" w:cs="Times New Roman" w:hint="eastAsia"/>
          <w:b/>
          <w:bCs/>
          <w:sz w:val="24"/>
          <w:szCs w:val="24"/>
        </w:rPr>
        <w:t>* and Bong-Gi Kim</w:t>
      </w:r>
      <w:r w:rsidRPr="007872A2">
        <w:rPr>
          <w:rFonts w:ascii="Times New Roman" w:hAnsi="Times New Roman" w:cs="Times New Roman" w:hint="eastAsia"/>
          <w:b/>
          <w:bCs/>
          <w:sz w:val="24"/>
          <w:szCs w:val="24"/>
          <w:vertAlign w:val="superscript"/>
        </w:rPr>
        <w:t>1</w:t>
      </w:r>
      <w:r w:rsidRPr="00767133">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vertAlign w:val="superscript"/>
        </w:rPr>
        <w:t>5</w:t>
      </w:r>
      <w:r w:rsidRPr="007872A2">
        <w:rPr>
          <w:rFonts w:ascii="Times New Roman" w:hAnsi="Times New Roman" w:cs="Times New Roman" w:hint="eastAsia"/>
          <w:b/>
          <w:bCs/>
          <w:sz w:val="24"/>
          <w:szCs w:val="24"/>
        </w:rPr>
        <w:t>*</w:t>
      </w:r>
    </w:p>
    <w:p w14:paraId="7D3D99C5" w14:textId="77777777" w:rsidR="00031A06" w:rsidRDefault="00031A06" w:rsidP="00031A06">
      <w:pPr>
        <w:widowControl/>
        <w:spacing w:after="0" w:line="360" w:lineRule="auto"/>
        <w:rPr>
          <w:rFonts w:ascii="Times New Roman" w:hAnsi="Times New Roman" w:cs="Times New Roman"/>
          <w:b/>
          <w:bCs/>
          <w:sz w:val="24"/>
          <w:szCs w:val="24"/>
        </w:rPr>
      </w:pPr>
    </w:p>
    <w:p w14:paraId="6C0D1B48" w14:textId="77777777" w:rsidR="00031A06" w:rsidRDefault="00031A06" w:rsidP="00031A06">
      <w:pPr>
        <w:widowControl/>
        <w:spacing w:after="0" w:line="360" w:lineRule="auto"/>
        <w:rPr>
          <w:rFonts w:ascii="Times New Roman" w:hAnsi="Times New Roman" w:cs="Times New Roman"/>
          <w:sz w:val="24"/>
          <w:szCs w:val="24"/>
        </w:rPr>
      </w:pPr>
      <w:r w:rsidRPr="007872A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Department of Materials Science and Engineering, Konkuk University, Seoul 05029, Republic of Korea.</w:t>
      </w:r>
    </w:p>
    <w:p w14:paraId="4DDC85EA" w14:textId="77777777" w:rsidR="00031A06" w:rsidRDefault="00031A06" w:rsidP="00031A06">
      <w:pPr>
        <w:widowControl/>
        <w:spacing w:after="0" w:line="360" w:lineRule="auto"/>
        <w:rPr>
          <w:rFonts w:ascii="Times New Roman" w:hAnsi="Times New Roman" w:cs="Times New Roman"/>
          <w:sz w:val="24"/>
          <w:szCs w:val="24"/>
        </w:rPr>
      </w:pPr>
    </w:p>
    <w:p w14:paraId="200A41B2" w14:textId="77777777" w:rsidR="00031A06" w:rsidRDefault="00031A06" w:rsidP="00031A06">
      <w:pPr>
        <w:widowControl/>
        <w:spacing w:after="0" w:line="360" w:lineRule="auto"/>
        <w:rPr>
          <w:rFonts w:ascii="Times New Roman" w:hAnsi="Times New Roman" w:cs="Times New Roman"/>
          <w:sz w:val="24"/>
          <w:szCs w:val="24"/>
        </w:rPr>
      </w:pPr>
      <w:r w:rsidRPr="007872A2">
        <w:rPr>
          <w:rFonts w:ascii="Times New Roman" w:hAnsi="Times New Roman" w:cs="Times New Roman" w:hint="eastAsia"/>
          <w:sz w:val="24"/>
          <w:szCs w:val="24"/>
          <w:vertAlign w:val="superscript"/>
        </w:rPr>
        <w:t>2</w:t>
      </w:r>
      <w:r w:rsidRPr="000F58C9">
        <w:rPr>
          <w:rFonts w:ascii="Times New Roman" w:hAnsi="Times New Roman" w:cs="Times New Roman"/>
          <w:sz w:val="24"/>
          <w:szCs w:val="24"/>
        </w:rPr>
        <w:t>Green Circulation R&amp;D Department,</w:t>
      </w:r>
      <w:r>
        <w:rPr>
          <w:rFonts w:ascii="Times New Roman" w:hAnsi="Times New Roman" w:cs="Times New Roman"/>
          <w:sz w:val="24"/>
          <w:szCs w:val="24"/>
        </w:rPr>
        <w:t xml:space="preserve"> </w:t>
      </w:r>
      <w:r w:rsidRPr="000F58C9">
        <w:rPr>
          <w:rFonts w:ascii="Times New Roman" w:hAnsi="Times New Roman" w:cs="Times New Roman"/>
          <w:sz w:val="24"/>
          <w:szCs w:val="24"/>
        </w:rPr>
        <w:t>Korea Institute of Industrial Technology, Cheonan-si,</w:t>
      </w:r>
      <w:r>
        <w:rPr>
          <w:rFonts w:ascii="Times New Roman" w:hAnsi="Times New Roman" w:cs="Times New Roman"/>
          <w:sz w:val="24"/>
          <w:szCs w:val="24"/>
        </w:rPr>
        <w:t xml:space="preserve"> </w:t>
      </w:r>
      <w:r w:rsidRPr="000F58C9">
        <w:rPr>
          <w:rFonts w:ascii="Times New Roman" w:hAnsi="Times New Roman" w:cs="Times New Roman"/>
          <w:sz w:val="24"/>
          <w:szCs w:val="24"/>
        </w:rPr>
        <w:t>Chungcheongnam-do 31056, Republic of Korea</w:t>
      </w:r>
      <w:r>
        <w:rPr>
          <w:rFonts w:ascii="Times New Roman" w:hAnsi="Times New Roman" w:cs="Times New Roman" w:hint="eastAsia"/>
          <w:sz w:val="24"/>
          <w:szCs w:val="24"/>
        </w:rPr>
        <w:t>.</w:t>
      </w:r>
    </w:p>
    <w:p w14:paraId="4486FB6B" w14:textId="77777777" w:rsidR="00031A06" w:rsidRDefault="00031A06" w:rsidP="00031A06">
      <w:pPr>
        <w:widowControl/>
        <w:spacing w:after="0" w:line="360" w:lineRule="auto"/>
        <w:rPr>
          <w:rFonts w:ascii="Times New Roman" w:hAnsi="Times New Roman" w:cs="Times New Roman"/>
          <w:sz w:val="24"/>
          <w:szCs w:val="24"/>
        </w:rPr>
      </w:pPr>
    </w:p>
    <w:p w14:paraId="096802BA" w14:textId="77777777" w:rsidR="00031A06" w:rsidRDefault="00031A06" w:rsidP="00031A06">
      <w:pPr>
        <w:widowControl/>
        <w:spacing w:after="0" w:line="360" w:lineRule="auto"/>
        <w:rPr>
          <w:rFonts w:ascii="Times New Roman" w:hAnsi="Times New Roman" w:cs="Times New Roman"/>
          <w:sz w:val="24"/>
          <w:szCs w:val="24"/>
        </w:rPr>
      </w:pPr>
      <w:r w:rsidRPr="007872A2">
        <w:rPr>
          <w:rFonts w:ascii="Times New Roman" w:hAnsi="Times New Roman" w:cs="Times New Roman" w:hint="eastAsia"/>
          <w:sz w:val="24"/>
          <w:szCs w:val="24"/>
          <w:vertAlign w:val="superscript"/>
        </w:rPr>
        <w:t>3</w:t>
      </w:r>
      <w:r w:rsidRPr="000F58C9">
        <w:rPr>
          <w:rFonts w:ascii="Times New Roman" w:hAnsi="Times New Roman" w:cs="Times New Roman"/>
          <w:sz w:val="24"/>
          <w:szCs w:val="24"/>
        </w:rPr>
        <w:t>Convergence</w:t>
      </w:r>
      <w:r>
        <w:rPr>
          <w:rFonts w:ascii="Times New Roman" w:hAnsi="Times New Roman" w:cs="Times New Roman"/>
          <w:sz w:val="24"/>
          <w:szCs w:val="24"/>
        </w:rPr>
        <w:t xml:space="preserve"> </w:t>
      </w:r>
      <w:r w:rsidRPr="000F58C9">
        <w:rPr>
          <w:rFonts w:ascii="Times New Roman" w:hAnsi="Times New Roman" w:cs="Times New Roman"/>
          <w:sz w:val="24"/>
          <w:szCs w:val="24"/>
        </w:rPr>
        <w:t>Research Center for Solutions to Electromagnetic Interference</w:t>
      </w:r>
      <w:r>
        <w:rPr>
          <w:rFonts w:ascii="Times New Roman" w:hAnsi="Times New Roman" w:cs="Times New Roman"/>
          <w:sz w:val="24"/>
          <w:szCs w:val="24"/>
        </w:rPr>
        <w:t xml:space="preserve"> </w:t>
      </w:r>
      <w:r w:rsidRPr="000F58C9">
        <w:rPr>
          <w:rFonts w:ascii="Times New Roman" w:hAnsi="Times New Roman" w:cs="Times New Roman"/>
          <w:sz w:val="24"/>
          <w:szCs w:val="24"/>
        </w:rPr>
        <w:t>in Future-mobility, Korea Institute of Science and Technology,</w:t>
      </w:r>
      <w:r>
        <w:rPr>
          <w:rFonts w:ascii="Times New Roman" w:hAnsi="Times New Roman" w:cs="Times New Roman"/>
          <w:sz w:val="24"/>
          <w:szCs w:val="24"/>
        </w:rPr>
        <w:t xml:space="preserve"> </w:t>
      </w:r>
      <w:r w:rsidRPr="000F58C9">
        <w:rPr>
          <w:rFonts w:ascii="Times New Roman" w:hAnsi="Times New Roman" w:cs="Times New Roman"/>
          <w:sz w:val="24"/>
          <w:szCs w:val="24"/>
        </w:rPr>
        <w:t>Seoul 02792, Republic of Korea</w:t>
      </w:r>
      <w:r>
        <w:rPr>
          <w:rFonts w:ascii="Times New Roman" w:hAnsi="Times New Roman" w:cs="Times New Roman" w:hint="eastAsia"/>
          <w:sz w:val="24"/>
          <w:szCs w:val="24"/>
        </w:rPr>
        <w:t>.</w:t>
      </w:r>
    </w:p>
    <w:p w14:paraId="763D5EA7" w14:textId="77777777" w:rsidR="00031A06" w:rsidRDefault="00031A06" w:rsidP="00031A06">
      <w:pPr>
        <w:widowControl/>
        <w:spacing w:after="0" w:line="360" w:lineRule="auto"/>
        <w:rPr>
          <w:rFonts w:ascii="Times New Roman" w:hAnsi="Times New Roman" w:cs="Times New Roman"/>
          <w:sz w:val="24"/>
          <w:szCs w:val="24"/>
        </w:rPr>
      </w:pPr>
    </w:p>
    <w:p w14:paraId="2B6518A4" w14:textId="77777777" w:rsidR="00031A06" w:rsidRDefault="00031A06" w:rsidP="00031A06">
      <w:pPr>
        <w:widowControl/>
        <w:spacing w:after="0"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4</w:t>
      </w:r>
      <w:r w:rsidRPr="004E3156">
        <w:rPr>
          <w:rFonts w:ascii="Times New Roman" w:hAnsi="Times New Roman" w:cs="Times New Roman"/>
          <w:sz w:val="24"/>
          <w:szCs w:val="24"/>
        </w:rPr>
        <w:t>Department of Chemical Engineering, Chung-Ang University, Seoul 06974, Republic of Korea</w:t>
      </w:r>
      <w:r>
        <w:rPr>
          <w:rFonts w:ascii="Times New Roman" w:hAnsi="Times New Roman" w:cs="Times New Roman" w:hint="eastAsia"/>
          <w:sz w:val="24"/>
          <w:szCs w:val="24"/>
        </w:rPr>
        <w:t>.</w:t>
      </w:r>
    </w:p>
    <w:p w14:paraId="606F1BAD" w14:textId="77777777" w:rsidR="00031A06" w:rsidRDefault="00031A06" w:rsidP="00031A06">
      <w:pPr>
        <w:widowControl/>
        <w:spacing w:after="0" w:line="360" w:lineRule="auto"/>
        <w:rPr>
          <w:rFonts w:ascii="Times New Roman" w:hAnsi="Times New Roman" w:cs="Times New Roman"/>
          <w:sz w:val="24"/>
          <w:szCs w:val="24"/>
        </w:rPr>
      </w:pPr>
    </w:p>
    <w:p w14:paraId="21859C5C" w14:textId="77777777" w:rsidR="00031A06" w:rsidRDefault="00031A06" w:rsidP="00031A06">
      <w:pPr>
        <w:widowControl/>
        <w:spacing w:after="0"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5</w:t>
      </w:r>
      <w:r w:rsidRPr="000F58C9">
        <w:rPr>
          <w:rFonts w:ascii="Times New Roman" w:hAnsi="Times New Roman" w:cs="Times New Roman"/>
          <w:sz w:val="24"/>
          <w:szCs w:val="24"/>
        </w:rPr>
        <w:t>Advanced Materials Program, Konkuk University, Seoul</w:t>
      </w:r>
      <w:r>
        <w:rPr>
          <w:rFonts w:ascii="Times New Roman" w:hAnsi="Times New Roman" w:cs="Times New Roman" w:hint="eastAsia"/>
          <w:sz w:val="24"/>
          <w:szCs w:val="24"/>
        </w:rPr>
        <w:t xml:space="preserve"> </w:t>
      </w:r>
      <w:r w:rsidRPr="007872A2">
        <w:rPr>
          <w:rFonts w:ascii="Times New Roman" w:hAnsi="Times New Roman" w:cs="Times New Roman"/>
          <w:sz w:val="24"/>
          <w:szCs w:val="24"/>
        </w:rPr>
        <w:t>05029, Republic of Korea.</w:t>
      </w:r>
    </w:p>
    <w:p w14:paraId="1DCC271A" w14:textId="77777777" w:rsidR="00031A06" w:rsidRDefault="00031A06" w:rsidP="00031A06">
      <w:pPr>
        <w:widowControl/>
        <w:spacing w:after="0" w:line="360" w:lineRule="auto"/>
        <w:rPr>
          <w:rFonts w:ascii="Times New Roman" w:hAnsi="Times New Roman" w:cs="Times New Roman"/>
          <w:sz w:val="24"/>
          <w:szCs w:val="24"/>
        </w:rPr>
      </w:pPr>
    </w:p>
    <w:p w14:paraId="3C04D455" w14:textId="77777777" w:rsidR="00031A06" w:rsidRDefault="00031A06" w:rsidP="00031A06">
      <w:pPr>
        <w:widowControl/>
        <w:spacing w:after="0" w:line="360" w:lineRule="auto"/>
        <w:rPr>
          <w:rFonts w:ascii="Times New Roman" w:hAnsi="Times New Roman" w:cs="Times New Roman"/>
          <w:sz w:val="24"/>
          <w:szCs w:val="24"/>
        </w:rPr>
      </w:pPr>
      <w:r>
        <w:rPr>
          <w:rFonts w:ascii="Times New Roman" w:hAnsi="Times New Roman" w:cs="Times New Roman" w:hint="eastAsia"/>
          <w:sz w:val="24"/>
          <w:szCs w:val="24"/>
        </w:rPr>
        <w:t xml:space="preserve">To whom correspondence, E-mail: </w:t>
      </w:r>
      <w:hyperlink r:id="rId7" w:history="1">
        <w:r w:rsidRPr="004C48D0">
          <w:rPr>
            <w:rStyle w:val="a9"/>
            <w:rFonts w:ascii="Times New Roman" w:hAnsi="Times New Roman" w:cs="Times New Roman" w:hint="eastAsia"/>
            <w:sz w:val="24"/>
            <w:szCs w:val="24"/>
          </w:rPr>
          <w:t>swhong@kitech.re.kr</w:t>
        </w:r>
      </w:hyperlink>
      <w:r>
        <w:rPr>
          <w:rFonts w:ascii="Times New Roman" w:hAnsi="Times New Roman" w:cs="Times New Roman" w:hint="eastAsia"/>
          <w:sz w:val="24"/>
          <w:szCs w:val="24"/>
        </w:rPr>
        <w:t xml:space="preserve"> (Sung Woo Hong, </w:t>
      </w:r>
      <w:r w:rsidRPr="00CB5DD4">
        <w:rPr>
          <w:rFonts w:ascii="Times New Roman" w:hAnsi="Times New Roman" w:cs="Times New Roman"/>
          <w:sz w:val="24"/>
          <w:szCs w:val="24"/>
        </w:rPr>
        <w:t>0000-0003-0846-3539</w:t>
      </w:r>
      <w:r>
        <w:rPr>
          <w:rFonts w:ascii="Times New Roman" w:hAnsi="Times New Roman" w:cs="Times New Roman" w:hint="eastAsia"/>
          <w:sz w:val="24"/>
          <w:szCs w:val="24"/>
        </w:rPr>
        <w:t xml:space="preserve">) and </w:t>
      </w:r>
      <w:hyperlink r:id="rId8" w:history="1">
        <w:r w:rsidRPr="004C48D0">
          <w:rPr>
            <w:rStyle w:val="a9"/>
            <w:rFonts w:ascii="Times New Roman" w:hAnsi="Times New Roman" w:cs="Times New Roman" w:hint="eastAsia"/>
            <w:sz w:val="24"/>
            <w:szCs w:val="24"/>
          </w:rPr>
          <w:t>bgkim2015@konkuk.ac.kr</w:t>
        </w:r>
      </w:hyperlink>
      <w:r>
        <w:rPr>
          <w:rFonts w:ascii="Times New Roman" w:hAnsi="Times New Roman" w:cs="Times New Roman" w:hint="eastAsia"/>
          <w:sz w:val="24"/>
          <w:szCs w:val="24"/>
        </w:rPr>
        <w:t xml:space="preserve"> (Bong-Gi Kim, </w:t>
      </w:r>
      <w:r w:rsidRPr="007872A2">
        <w:rPr>
          <w:rFonts w:ascii="Times New Roman" w:hAnsi="Times New Roman" w:cs="Times New Roman"/>
          <w:sz w:val="24"/>
          <w:szCs w:val="24"/>
        </w:rPr>
        <w:t>0000-0003-1386-3705</w:t>
      </w:r>
      <w:r>
        <w:rPr>
          <w:rFonts w:ascii="Times New Roman" w:hAnsi="Times New Roman" w:cs="Times New Roman" w:hint="eastAsia"/>
          <w:sz w:val="24"/>
          <w:szCs w:val="24"/>
        </w:rPr>
        <w:t>)</w:t>
      </w:r>
    </w:p>
    <w:p w14:paraId="6B80D096" w14:textId="77777777" w:rsidR="0015669C" w:rsidRPr="00890D7A" w:rsidRDefault="0015669C" w:rsidP="00805215">
      <w:pPr>
        <w:wordWrap/>
        <w:spacing w:line="360" w:lineRule="auto"/>
        <w:rPr>
          <w:rFonts w:ascii="Times New Roman" w:hAnsi="Times New Roman" w:cs="Times New Roman"/>
          <w:sz w:val="22"/>
        </w:rPr>
      </w:pPr>
    </w:p>
    <w:p w14:paraId="47CEF377" w14:textId="77777777" w:rsidR="0015669C" w:rsidRDefault="0015669C" w:rsidP="00805215">
      <w:pPr>
        <w:wordWrap/>
        <w:spacing w:line="360" w:lineRule="auto"/>
        <w:rPr>
          <w:rFonts w:ascii="Times New Roman" w:hAnsi="Times New Roman" w:cs="Times New Roman"/>
          <w:sz w:val="22"/>
        </w:rPr>
      </w:pPr>
      <w:r w:rsidRPr="00890D7A">
        <w:rPr>
          <w:rFonts w:ascii="Times New Roman" w:hAnsi="Times New Roman" w:cs="Times New Roman"/>
          <w:noProof/>
          <w:sz w:val="22"/>
        </w:rPr>
        <w:lastRenderedPageBreak/>
        <w:drawing>
          <wp:inline distT="0" distB="0" distL="0" distR="0" wp14:anchorId="7D6AAF4C" wp14:editId="00D3E522">
            <wp:extent cx="5727609" cy="2530152"/>
            <wp:effectExtent l="0" t="0" r="6985" b="0"/>
            <wp:docPr id="16" name="그림 16" descr="블랙, 어둠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블랙, 어둠이(가) 표시된 사진&#10;&#10;AI가 생성한 콘텐츠는 부정확할 수 있습니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972" cy="2585089"/>
                    </a:xfrm>
                    <a:prstGeom prst="rect">
                      <a:avLst/>
                    </a:prstGeom>
                    <a:noFill/>
                  </pic:spPr>
                </pic:pic>
              </a:graphicData>
            </a:graphic>
          </wp:inline>
        </w:drawing>
      </w:r>
    </w:p>
    <w:p w14:paraId="695F0880" w14:textId="77777777" w:rsidR="0015669C" w:rsidRPr="00031A06" w:rsidRDefault="0015669C" w:rsidP="00031A06">
      <w:pPr>
        <w:wordWrap/>
        <w:spacing w:line="240" w:lineRule="auto"/>
        <w:rPr>
          <w:rFonts w:ascii="Times New Roman" w:eastAsiaTheme="minorHAnsi" w:hAnsi="Times New Roman" w:cs="Times New Roman"/>
          <w:sz w:val="24"/>
          <w:szCs w:val="24"/>
        </w:rPr>
      </w:pPr>
      <w:r w:rsidRPr="00031A06">
        <w:rPr>
          <w:rFonts w:ascii="Times New Roman" w:hAnsi="Times New Roman" w:cs="Times New Roman"/>
          <w:b/>
          <w:bCs/>
          <w:sz w:val="24"/>
          <w:szCs w:val="24"/>
        </w:rPr>
        <w:t>Scheme S1</w:t>
      </w:r>
      <w:r w:rsidRPr="00031A06">
        <w:rPr>
          <w:rFonts w:ascii="Times New Roman" w:hAnsi="Times New Roman" w:cs="Times New Roman"/>
          <w:sz w:val="24"/>
          <w:szCs w:val="24"/>
        </w:rPr>
        <w:t xml:space="preserve"> Detailed synthetic scheme of PID-BTO4. (</w:t>
      </w:r>
      <w:r w:rsidRPr="00031A06">
        <w:rPr>
          <w:rFonts w:ascii="Times New Roman" w:eastAsiaTheme="minorHAnsi" w:hAnsi="Times New Roman" w:cs="Times New Roman"/>
          <w:sz w:val="24"/>
          <w:szCs w:val="24"/>
        </w:rPr>
        <w:t>ⅰ</w:t>
      </w:r>
      <w:r w:rsidRPr="00031A06">
        <w:rPr>
          <w:rFonts w:ascii="Times New Roman" w:hAnsi="Times New Roman" w:cs="Times New Roman"/>
          <w:sz w:val="24"/>
          <w:szCs w:val="24"/>
        </w:rPr>
        <w:t>) Sodium hydride (NaH), tetrahydrofuran (THF), reflux, 24 hours. (</w:t>
      </w:r>
      <w:r w:rsidRPr="00031A06">
        <w:rPr>
          <w:rFonts w:ascii="Times New Roman" w:eastAsiaTheme="minorHAnsi" w:hAnsi="Times New Roman" w:cs="Times New Roman"/>
          <w:sz w:val="24"/>
          <w:szCs w:val="24"/>
        </w:rPr>
        <w:t>ⅱ</w:t>
      </w:r>
      <w:r w:rsidRPr="00031A06">
        <w:rPr>
          <w:rFonts w:ascii="Times New Roman" w:hAnsi="Times New Roman" w:cs="Times New Roman"/>
          <w:sz w:val="24"/>
          <w:szCs w:val="24"/>
        </w:rPr>
        <w:t>) N-Bromosuccinimide (NBS), N,N-Dimethylformamide (DMF), RT, 30 min. (</w:t>
      </w:r>
      <w:r w:rsidRPr="00031A06">
        <w:rPr>
          <w:rFonts w:ascii="Times New Roman" w:eastAsiaTheme="minorHAnsi" w:hAnsi="Times New Roman" w:cs="Times New Roman"/>
          <w:sz w:val="24"/>
          <w:szCs w:val="24"/>
        </w:rPr>
        <w:t>ⅲ</w:t>
      </w:r>
      <w:r w:rsidRPr="00031A06">
        <w:rPr>
          <w:rFonts w:ascii="Times New Roman" w:hAnsi="Times New Roman" w:cs="Times New Roman"/>
          <w:sz w:val="24"/>
          <w:szCs w:val="24"/>
        </w:rPr>
        <w:t>) Pd</w:t>
      </w:r>
      <w:r w:rsidRPr="00031A06">
        <w:rPr>
          <w:rFonts w:ascii="Times New Roman" w:hAnsi="Times New Roman" w:cs="Times New Roman"/>
          <w:sz w:val="24"/>
          <w:szCs w:val="24"/>
          <w:vertAlign w:val="subscript"/>
        </w:rPr>
        <w:t>2</w:t>
      </w:r>
      <w:r w:rsidRPr="00031A06">
        <w:rPr>
          <w:rFonts w:ascii="Times New Roman" w:hAnsi="Times New Roman" w:cs="Times New Roman"/>
          <w:sz w:val="24"/>
          <w:szCs w:val="24"/>
        </w:rPr>
        <w:t>(dba)</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 p(o-tol)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 xml:space="preserve">, toluene, 110 </w:t>
      </w:r>
      <w:r w:rsidRPr="00031A06">
        <w:rPr>
          <w:rFonts w:ascii="Times New Roman" w:eastAsiaTheme="minorHAnsi" w:hAnsi="Times New Roman" w:cs="Times New Roman"/>
          <w:sz w:val="24"/>
          <w:szCs w:val="24"/>
        </w:rPr>
        <w:t>℃, 24 hours.</w:t>
      </w:r>
    </w:p>
    <w:p w14:paraId="7DD60265" w14:textId="77777777" w:rsidR="0015669C" w:rsidRPr="00031A06" w:rsidRDefault="0015669C" w:rsidP="00031A06">
      <w:pPr>
        <w:wordWrap/>
        <w:spacing w:after="0" w:line="360" w:lineRule="auto"/>
        <w:rPr>
          <w:rFonts w:ascii="Times New Roman" w:eastAsiaTheme="minorHAnsi" w:hAnsi="Times New Roman" w:cs="Times New Roman"/>
          <w:sz w:val="24"/>
          <w:szCs w:val="24"/>
        </w:rPr>
      </w:pPr>
    </w:p>
    <w:p w14:paraId="1626CC1D" w14:textId="61EB38B8" w:rsidR="0015669C" w:rsidRPr="00031A06" w:rsidRDefault="0015669C" w:rsidP="00031A06">
      <w:pPr>
        <w:wordWrap/>
        <w:spacing w:after="0" w:line="360" w:lineRule="auto"/>
        <w:rPr>
          <w:rFonts w:ascii="Times New Roman" w:hAnsi="Times New Roman" w:cs="Times New Roman"/>
          <w:sz w:val="24"/>
          <w:szCs w:val="24"/>
        </w:rPr>
      </w:pPr>
      <w:r w:rsidRPr="00031A06">
        <w:rPr>
          <w:rFonts w:ascii="Times New Roman" w:hAnsi="Times New Roman" w:cs="Times New Roman"/>
          <w:b/>
          <w:sz w:val="24"/>
          <w:szCs w:val="24"/>
        </w:rPr>
        <w:t>Materials.</w:t>
      </w:r>
      <w:r w:rsidRPr="00031A06">
        <w:rPr>
          <w:rFonts w:ascii="Times New Roman" w:hAnsi="Times New Roman" w:cs="Times New Roman"/>
          <w:sz w:val="24"/>
          <w:szCs w:val="24"/>
        </w:rPr>
        <w:t xml:space="preserve"> Compound 1 was prepared using previously described methods </w:t>
      </w:r>
      <w:r w:rsidRPr="00031A06">
        <w:rPr>
          <w:rFonts w:ascii="Times New Roman" w:hAnsi="Times New Roman" w:cs="Times New Roman"/>
          <w:noProof/>
          <w:sz w:val="24"/>
          <w:szCs w:val="24"/>
        </w:rPr>
        <w:t>[</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1]</w:t>
      </w:r>
      <w:r w:rsidRPr="00031A06">
        <w:rPr>
          <w:rFonts w:ascii="Times New Roman" w:hAnsi="Times New Roman" w:cs="Times New Roman"/>
          <w:sz w:val="24"/>
          <w:szCs w:val="24"/>
        </w:rPr>
        <w:t>. Triethylene glycol 2-bromoethyl methyl ether (compound 2) and 5,5'-bis(trimethylstannyl)-2,2'-bithiophene were purchased from Tokyo chemical industry (TCI) and used without further purification.</w:t>
      </w:r>
    </w:p>
    <w:p w14:paraId="69712BE8" w14:textId="77777777" w:rsidR="0015669C" w:rsidRPr="00031A06" w:rsidRDefault="0015669C" w:rsidP="00031A06">
      <w:pPr>
        <w:wordWrap/>
        <w:spacing w:after="0" w:line="360" w:lineRule="auto"/>
        <w:rPr>
          <w:rFonts w:ascii="Times New Roman" w:hAnsi="Times New Roman" w:cs="Times New Roman"/>
          <w:b/>
          <w:sz w:val="24"/>
          <w:szCs w:val="24"/>
        </w:rPr>
      </w:pPr>
    </w:p>
    <w:p w14:paraId="35AE460A" w14:textId="26881A7E" w:rsidR="0015669C" w:rsidRPr="00031A06" w:rsidRDefault="0015669C" w:rsidP="00031A06">
      <w:pPr>
        <w:wordWrap/>
        <w:spacing w:after="0" w:line="360" w:lineRule="auto"/>
        <w:rPr>
          <w:rFonts w:ascii="Times New Roman" w:hAnsi="Times New Roman" w:cs="Times New Roman"/>
          <w:sz w:val="24"/>
          <w:szCs w:val="24"/>
        </w:rPr>
      </w:pPr>
      <w:r w:rsidRPr="00031A06">
        <w:rPr>
          <w:rFonts w:ascii="Times New Roman" w:hAnsi="Times New Roman" w:cs="Times New Roman"/>
          <w:b/>
          <w:sz w:val="24"/>
          <w:szCs w:val="24"/>
        </w:rPr>
        <w:t>Compound 3.</w:t>
      </w:r>
      <w:r w:rsidRPr="00031A06">
        <w:rPr>
          <w:rFonts w:ascii="Times New Roman" w:hAnsi="Times New Roman" w:cs="Times New Roman"/>
          <w:sz w:val="24"/>
          <w:szCs w:val="24"/>
        </w:rPr>
        <w:t xml:space="preserve"> Compound 3 was prepared using previously described methods </w:t>
      </w:r>
      <w:r w:rsidRPr="00031A06">
        <w:rPr>
          <w:rFonts w:ascii="Times New Roman" w:hAnsi="Times New Roman" w:cs="Times New Roman"/>
          <w:noProof/>
          <w:sz w:val="24"/>
          <w:szCs w:val="24"/>
        </w:rPr>
        <w:t>[</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 xml:space="preserve">1, </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2]</w:t>
      </w:r>
      <w:r w:rsidRPr="00031A06">
        <w:rPr>
          <w:rFonts w:ascii="Times New Roman" w:hAnsi="Times New Roman" w:cs="Times New Roman"/>
          <w:sz w:val="24"/>
          <w:szCs w:val="24"/>
        </w:rPr>
        <w:t>. The crude product was purified by silica gel column chromatography using ethyl acetate and THF at a 13:1 ratio as the eluent, yielding Compound 3 as a light greenish oil with an 85% yield. 1H-NMR (500 MHz, DMSO-d6, ppm): 7.88 (dd, 4H), 7.24 (dd, 2H), 4.69 (t, 4H), 3.83 (t, 4H), 3.44-3.24 (m, 24H), 3.20 (s, 6H); 13C-NMR (500 MHz, DMSO-d6, ppm): 141.6, 126.1, 121.3, 120.0, 115.1, 113.7, 113.3, 71.6, 70.5, 70.2, 70.15, 70.1, 70.05, 69.9, 58.4, 45.4, 40.6, 40.4, 40.1, 39.9, 39.7, 39.5, 39.3; HRLC-MS (ESI+) m/z: calculated for C</w:t>
      </w:r>
      <w:r w:rsidRPr="00031A06">
        <w:rPr>
          <w:rFonts w:ascii="Times New Roman" w:hAnsi="Times New Roman" w:cs="Times New Roman"/>
          <w:sz w:val="24"/>
          <w:szCs w:val="24"/>
          <w:vertAlign w:val="subscript"/>
        </w:rPr>
        <w:t>32</w:t>
      </w:r>
      <w:r w:rsidRPr="00031A06">
        <w:rPr>
          <w:rFonts w:ascii="Times New Roman" w:hAnsi="Times New Roman" w:cs="Times New Roman"/>
          <w:sz w:val="24"/>
          <w:szCs w:val="24"/>
        </w:rPr>
        <w:t>H</w:t>
      </w:r>
      <w:r w:rsidRPr="00031A06">
        <w:rPr>
          <w:rFonts w:ascii="Times New Roman" w:hAnsi="Times New Roman" w:cs="Times New Roman"/>
          <w:sz w:val="24"/>
          <w:szCs w:val="24"/>
          <w:vertAlign w:val="subscript"/>
        </w:rPr>
        <w:t>44</w:t>
      </w:r>
      <w:r w:rsidRPr="00031A06">
        <w:rPr>
          <w:rFonts w:ascii="Times New Roman" w:hAnsi="Times New Roman" w:cs="Times New Roman"/>
          <w:sz w:val="24"/>
          <w:szCs w:val="24"/>
        </w:rPr>
        <w:t>Br</w:t>
      </w:r>
      <w:r w:rsidRPr="00031A06">
        <w:rPr>
          <w:rFonts w:ascii="Times New Roman" w:hAnsi="Times New Roman" w:cs="Times New Roman"/>
          <w:sz w:val="24"/>
          <w:szCs w:val="24"/>
          <w:vertAlign w:val="subscript"/>
        </w:rPr>
        <w:t>2</w:t>
      </w:r>
      <w:r w:rsidRPr="00031A06">
        <w:rPr>
          <w:rFonts w:ascii="Times New Roman" w:hAnsi="Times New Roman" w:cs="Times New Roman"/>
          <w:sz w:val="24"/>
          <w:szCs w:val="24"/>
        </w:rPr>
        <w:t>N</w:t>
      </w:r>
      <w:r w:rsidRPr="00031A06">
        <w:rPr>
          <w:rFonts w:ascii="Times New Roman" w:hAnsi="Times New Roman" w:cs="Times New Roman"/>
          <w:sz w:val="24"/>
          <w:szCs w:val="24"/>
          <w:vertAlign w:val="subscript"/>
        </w:rPr>
        <w:t>2</w:t>
      </w:r>
      <w:r w:rsidRPr="00031A06">
        <w:rPr>
          <w:rFonts w:ascii="Times New Roman" w:hAnsi="Times New Roman" w:cs="Times New Roman"/>
          <w:sz w:val="24"/>
          <w:szCs w:val="24"/>
        </w:rPr>
        <w:t>O</w:t>
      </w:r>
      <w:r w:rsidRPr="00031A06">
        <w:rPr>
          <w:rFonts w:ascii="Times New Roman" w:hAnsi="Times New Roman" w:cs="Times New Roman"/>
          <w:sz w:val="24"/>
          <w:szCs w:val="24"/>
          <w:vertAlign w:val="subscript"/>
        </w:rPr>
        <w:t>8</w:t>
      </w:r>
      <w:r w:rsidRPr="00031A06">
        <w:rPr>
          <w:rFonts w:ascii="Times New Roman" w:hAnsi="Times New Roman" w:cs="Times New Roman"/>
          <w:sz w:val="24"/>
          <w:szCs w:val="24"/>
        </w:rPr>
        <w:t xml:space="preserve"> [M+H]+: 745.1244, found: 745.1523.</w:t>
      </w:r>
    </w:p>
    <w:p w14:paraId="79C1B08A" w14:textId="77777777" w:rsidR="0015669C" w:rsidRPr="00031A06" w:rsidRDefault="0015669C" w:rsidP="00031A06">
      <w:pPr>
        <w:wordWrap/>
        <w:spacing w:after="0" w:line="360" w:lineRule="auto"/>
        <w:rPr>
          <w:rFonts w:ascii="Times New Roman" w:hAnsi="Times New Roman" w:cs="Times New Roman"/>
          <w:sz w:val="24"/>
          <w:szCs w:val="24"/>
        </w:rPr>
      </w:pPr>
    </w:p>
    <w:p w14:paraId="169EA635" w14:textId="4CE66527" w:rsidR="0015669C" w:rsidRPr="00031A06" w:rsidRDefault="0015669C" w:rsidP="00031A06">
      <w:pPr>
        <w:wordWrap/>
        <w:spacing w:after="0" w:line="360" w:lineRule="auto"/>
        <w:rPr>
          <w:rFonts w:ascii="Times New Roman" w:hAnsi="Times New Roman" w:cs="Times New Roman"/>
          <w:sz w:val="24"/>
          <w:szCs w:val="24"/>
        </w:rPr>
      </w:pPr>
      <w:r w:rsidRPr="00031A06">
        <w:rPr>
          <w:rFonts w:ascii="Times New Roman" w:hAnsi="Times New Roman" w:cs="Times New Roman"/>
          <w:b/>
          <w:sz w:val="24"/>
          <w:szCs w:val="24"/>
        </w:rPr>
        <w:t>Compound 4.</w:t>
      </w:r>
      <w:r w:rsidRPr="00031A06">
        <w:rPr>
          <w:rFonts w:ascii="Times New Roman" w:hAnsi="Times New Roman" w:cs="Times New Roman"/>
          <w:sz w:val="24"/>
          <w:szCs w:val="24"/>
        </w:rPr>
        <w:t xml:space="preserve"> Compound 4 was prepared using previously described methods </w:t>
      </w:r>
      <w:r w:rsidRPr="00031A06">
        <w:rPr>
          <w:rFonts w:ascii="Times New Roman" w:hAnsi="Times New Roman" w:cs="Times New Roman"/>
          <w:noProof/>
          <w:sz w:val="24"/>
          <w:szCs w:val="24"/>
        </w:rPr>
        <w:t>[</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 xml:space="preserve">1, </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2]</w:t>
      </w:r>
      <w:r w:rsidRPr="00031A06">
        <w:rPr>
          <w:rFonts w:ascii="Times New Roman" w:hAnsi="Times New Roman" w:cs="Times New Roman"/>
          <w:sz w:val="24"/>
          <w:szCs w:val="24"/>
        </w:rPr>
        <w:t xml:space="preserve">. The crude product was purified by column chromatography. The light greenish oil was precipitated from n-hexane at -18℃ to afford Compound 4 as a white powder (yield: 72%). 1H-NMR (500 MHz, DMSO-d6, ppm): 7.88 (dd, 4H), 7.24 (dd, 2H), 4.69 (t, 4H), 3.83 (t, 4H), 3.44-3.24 (m, 24H), 3.20 (s, 6H); 13C-NMR (500 MHz, DMSO-d6, ppm): 141.6, 126.1, 121.3, 120.0, 115.1, </w:t>
      </w:r>
      <w:r w:rsidRPr="00031A06">
        <w:rPr>
          <w:rFonts w:ascii="Times New Roman" w:hAnsi="Times New Roman" w:cs="Times New Roman"/>
          <w:sz w:val="24"/>
          <w:szCs w:val="24"/>
        </w:rPr>
        <w:lastRenderedPageBreak/>
        <w:t>113.7, 113.3, 71.6, 70.5, 70.2, 70.15, 70.1, 70.05, 69.9, 58.4, 45.4, 40.6, 40.4, 40.1, 39.9, 39.7, 39.5, 39.3; HRLC-MS (ESI+) m/z: calculated for C</w:t>
      </w:r>
      <w:r w:rsidRPr="00031A06">
        <w:rPr>
          <w:rFonts w:ascii="Times New Roman" w:hAnsi="Times New Roman" w:cs="Times New Roman"/>
          <w:sz w:val="24"/>
          <w:szCs w:val="24"/>
          <w:vertAlign w:val="subscript"/>
        </w:rPr>
        <w:t>32</w:t>
      </w:r>
      <w:r w:rsidRPr="00031A06">
        <w:rPr>
          <w:rFonts w:ascii="Times New Roman" w:hAnsi="Times New Roman" w:cs="Times New Roman"/>
          <w:sz w:val="24"/>
          <w:szCs w:val="24"/>
        </w:rPr>
        <w:t>H</w:t>
      </w:r>
      <w:r w:rsidRPr="00031A06">
        <w:rPr>
          <w:rFonts w:ascii="Times New Roman" w:hAnsi="Times New Roman" w:cs="Times New Roman"/>
          <w:sz w:val="24"/>
          <w:szCs w:val="24"/>
          <w:vertAlign w:val="subscript"/>
        </w:rPr>
        <w:t>44</w:t>
      </w:r>
      <w:r w:rsidRPr="00031A06">
        <w:rPr>
          <w:rFonts w:ascii="Times New Roman" w:hAnsi="Times New Roman" w:cs="Times New Roman"/>
          <w:sz w:val="24"/>
          <w:szCs w:val="24"/>
        </w:rPr>
        <w:t>Br</w:t>
      </w:r>
      <w:r w:rsidRPr="00031A06">
        <w:rPr>
          <w:rFonts w:ascii="Times New Roman" w:hAnsi="Times New Roman" w:cs="Times New Roman"/>
          <w:sz w:val="24"/>
          <w:szCs w:val="24"/>
          <w:vertAlign w:val="subscript"/>
        </w:rPr>
        <w:t>2</w:t>
      </w:r>
      <w:r w:rsidRPr="00031A06">
        <w:rPr>
          <w:rFonts w:ascii="Times New Roman" w:hAnsi="Times New Roman" w:cs="Times New Roman"/>
          <w:sz w:val="24"/>
          <w:szCs w:val="24"/>
        </w:rPr>
        <w:t>N</w:t>
      </w:r>
      <w:r w:rsidRPr="00031A06">
        <w:rPr>
          <w:rFonts w:ascii="Times New Roman" w:hAnsi="Times New Roman" w:cs="Times New Roman"/>
          <w:sz w:val="24"/>
          <w:szCs w:val="24"/>
          <w:vertAlign w:val="subscript"/>
        </w:rPr>
        <w:t>2</w:t>
      </w:r>
      <w:r w:rsidRPr="00031A06">
        <w:rPr>
          <w:rFonts w:ascii="Times New Roman" w:hAnsi="Times New Roman" w:cs="Times New Roman"/>
          <w:sz w:val="24"/>
          <w:szCs w:val="24"/>
        </w:rPr>
        <w:t>O</w:t>
      </w:r>
      <w:r w:rsidRPr="00031A06">
        <w:rPr>
          <w:rFonts w:ascii="Times New Roman" w:hAnsi="Times New Roman" w:cs="Times New Roman"/>
          <w:sz w:val="24"/>
          <w:szCs w:val="24"/>
          <w:vertAlign w:val="subscript"/>
        </w:rPr>
        <w:t>8</w:t>
      </w:r>
      <w:r w:rsidRPr="00031A06">
        <w:rPr>
          <w:rFonts w:ascii="Times New Roman" w:hAnsi="Times New Roman" w:cs="Times New Roman"/>
          <w:sz w:val="24"/>
          <w:szCs w:val="24"/>
        </w:rPr>
        <w:t xml:space="preserve"> [M+H]+: 745.1244, found: 745.1523.</w:t>
      </w:r>
    </w:p>
    <w:p w14:paraId="5F5AED55" w14:textId="77777777" w:rsidR="0015669C" w:rsidRPr="00031A06" w:rsidRDefault="0015669C" w:rsidP="00031A06">
      <w:pPr>
        <w:wordWrap/>
        <w:spacing w:after="0" w:line="360" w:lineRule="auto"/>
        <w:rPr>
          <w:rFonts w:ascii="Times New Roman" w:hAnsi="Times New Roman" w:cs="Times New Roman"/>
          <w:sz w:val="24"/>
          <w:szCs w:val="24"/>
        </w:rPr>
      </w:pPr>
    </w:p>
    <w:p w14:paraId="3E4FCAEB" w14:textId="2D91DE2D" w:rsidR="0015669C" w:rsidRPr="00031A06" w:rsidRDefault="0015669C" w:rsidP="00031A06">
      <w:pPr>
        <w:wordWrap/>
        <w:spacing w:after="0" w:line="360" w:lineRule="auto"/>
        <w:rPr>
          <w:rFonts w:ascii="Times New Roman" w:hAnsi="Times New Roman" w:cs="Times New Roman"/>
          <w:color w:val="FF0000"/>
          <w:sz w:val="24"/>
          <w:szCs w:val="24"/>
        </w:rPr>
      </w:pPr>
      <w:r w:rsidRPr="00031A06">
        <w:rPr>
          <w:rFonts w:ascii="Times New Roman" w:hAnsi="Times New Roman" w:cs="Times New Roman"/>
          <w:b/>
          <w:sz w:val="24"/>
          <w:szCs w:val="24"/>
        </w:rPr>
        <w:t>PID-BTO4</w:t>
      </w:r>
      <w:r w:rsidRPr="00031A06">
        <w:rPr>
          <w:rFonts w:ascii="Times New Roman" w:hAnsi="Times New Roman" w:cs="Times New Roman"/>
          <w:sz w:val="24"/>
          <w:szCs w:val="24"/>
        </w:rPr>
        <w:t xml:space="preserve">. PID-BTO4 was obtained through Stille-type cross-coupling polymerization. In a 50 mL dry Schlenk flask, Compound 4 (1.0025 g, 1.35 mmol) and 5,5'-bis(trimethylstannyl)-2,2'-bithiophene (0.6623 g, 1.35 mmol) were dissolved in toluene (20 mL) and DMF (5 mL) under an argon atmosphere. After adding tris(dibenzylideneacetone)dipalladium (0) (2.5 mol%) and tris(o-tolyl)phosphine (8 mol%) to the Schlenk flask. the reaction mixture was vigorously stirred at 110 </w:t>
      </w:r>
      <w:r w:rsidRPr="00031A06">
        <w:rPr>
          <w:rFonts w:ascii="Times New Roman" w:eastAsiaTheme="minorHAnsi" w:hAnsi="Times New Roman" w:cs="Times New Roman"/>
          <w:sz w:val="24"/>
          <w:szCs w:val="24"/>
        </w:rPr>
        <w:t>℃</w:t>
      </w:r>
      <w:r w:rsidRPr="00031A06">
        <w:rPr>
          <w:rFonts w:ascii="Times New Roman" w:hAnsi="Times New Roman" w:cs="Times New Roman"/>
          <w:sz w:val="24"/>
          <w:szCs w:val="24"/>
        </w:rPr>
        <w:t xml:space="preserve"> for 24 h. To terminate the polymerization, 2-tributylstannyl thiophene (1 drop) and 2-bromothiophene (1 drop) were added at internal of 6 h. The polymer solution was poured into hexane, and the </w:t>
      </w:r>
      <w:r w:rsidRPr="00031A06">
        <w:rPr>
          <w:rFonts w:ascii="Times New Roman" w:hAnsi="Times New Roman" w:cs="Times New Roman"/>
          <w:sz w:val="24"/>
          <w:szCs w:val="24"/>
        </w:rPr>
        <w:t>crude PID-BTO4 was collected by filtration. It was then purified by Soxhlet extraction in the order of hexane, acetone and methanol. Finally, the insoluble parts were dissolved in chloroform and reprecipitated into hexane to obtain PID-BTO4.</w:t>
      </w:r>
    </w:p>
    <w:p w14:paraId="16286893" w14:textId="77777777" w:rsidR="0015669C" w:rsidRPr="00031A06" w:rsidRDefault="0015669C" w:rsidP="00031A06">
      <w:pPr>
        <w:wordWrap/>
        <w:spacing w:after="0" w:line="360" w:lineRule="auto"/>
        <w:rPr>
          <w:rFonts w:ascii="Times New Roman" w:hAnsi="Times New Roman" w:cs="Times New Roman"/>
          <w:sz w:val="24"/>
          <w:szCs w:val="24"/>
        </w:rPr>
      </w:pPr>
    </w:p>
    <w:p w14:paraId="274082A8" w14:textId="707787EE" w:rsidR="0015669C" w:rsidRPr="00031A06" w:rsidRDefault="0015669C" w:rsidP="00031A06">
      <w:pPr>
        <w:wordWrap/>
        <w:spacing w:after="0" w:line="360" w:lineRule="auto"/>
        <w:rPr>
          <w:rFonts w:ascii="Times New Roman" w:hAnsi="Times New Roman" w:cs="Times New Roman"/>
          <w:color w:val="FF0000"/>
          <w:sz w:val="24"/>
          <w:szCs w:val="24"/>
        </w:rPr>
      </w:pPr>
      <w:r w:rsidRPr="00031A06">
        <w:rPr>
          <w:rFonts w:ascii="Times New Roman" w:hAnsi="Times New Roman" w:cs="Times New Roman"/>
          <w:b/>
          <w:sz w:val="24"/>
          <w:szCs w:val="24"/>
        </w:rPr>
        <w:t>PID-BT.</w:t>
      </w:r>
      <w:r w:rsidRPr="00031A06">
        <w:rPr>
          <w:rFonts w:ascii="Times New Roman" w:hAnsi="Times New Roman" w:cs="Times New Roman"/>
          <w:sz w:val="24"/>
          <w:szCs w:val="24"/>
        </w:rPr>
        <w:t xml:space="preserve"> PID-BT was </w:t>
      </w:r>
      <w:r w:rsidRPr="00031A06">
        <w:rPr>
          <w:rFonts w:ascii="Times New Roman" w:hAnsi="Times New Roman" w:cs="Times New Roman"/>
          <w:sz w:val="24"/>
          <w:szCs w:val="24"/>
        </w:rPr>
        <w:t>synthesized similarly to PID-BTO4, following the same procedure but using only toluene as the solvent without DMF.</w:t>
      </w:r>
    </w:p>
    <w:p w14:paraId="70E123CC" w14:textId="77777777" w:rsidR="0015669C" w:rsidRPr="00031A06" w:rsidRDefault="0015669C" w:rsidP="00031A06">
      <w:pPr>
        <w:wordWrap/>
        <w:spacing w:after="0" w:line="360" w:lineRule="auto"/>
        <w:rPr>
          <w:rFonts w:ascii="Times New Roman" w:hAnsi="Times New Roman" w:cs="Times New Roman"/>
          <w:color w:val="FF0000"/>
          <w:sz w:val="24"/>
          <w:szCs w:val="24"/>
        </w:rPr>
      </w:pPr>
    </w:p>
    <w:p w14:paraId="08272EDE" w14:textId="77777777" w:rsidR="0015669C" w:rsidRPr="00031A06" w:rsidRDefault="0015669C" w:rsidP="00031A06">
      <w:pPr>
        <w:wordWrap/>
        <w:spacing w:line="360" w:lineRule="auto"/>
        <w:rPr>
          <w:rFonts w:ascii="Times New Roman" w:hAnsi="Times New Roman" w:cs="Times New Roman"/>
          <w:sz w:val="24"/>
          <w:szCs w:val="24"/>
        </w:rPr>
      </w:pPr>
      <w:r w:rsidRPr="00031A06">
        <w:rPr>
          <w:rFonts w:ascii="Times New Roman" w:hAnsi="Times New Roman" w:cs="Times New Roman"/>
          <w:b/>
          <w:sz w:val="24"/>
          <w:szCs w:val="24"/>
        </w:rPr>
        <w:t xml:space="preserve">EMI shielding measurement. </w:t>
      </w:r>
      <w:r w:rsidRPr="00031A06">
        <w:rPr>
          <w:rFonts w:ascii="Times New Roman" w:hAnsi="Times New Roman" w:cs="Times New Roman"/>
          <w:sz w:val="24"/>
          <w:szCs w:val="24"/>
        </w:rPr>
        <w:t>The EMI shielding measurements of SWCNT/CP films were conducted using a vector network analyzer (VNA, N5222B, Keysight, USA), a millimeter-wave controller (N5292A, Keysight, USA), a frequency extender (N5293AX03, Keysight, USA), and a rectangular waveguide test fixture for the corresponding frequency bands. The power coefficients and EMI SE values were calculated from the S-parameters (S</w:t>
      </w:r>
      <w:r w:rsidRPr="00031A06">
        <w:rPr>
          <w:rFonts w:ascii="Times New Roman" w:hAnsi="Times New Roman" w:cs="Times New Roman"/>
          <w:sz w:val="24"/>
          <w:szCs w:val="24"/>
          <w:vertAlign w:val="subscript"/>
        </w:rPr>
        <w:t>11</w:t>
      </w:r>
      <w:r w:rsidRPr="00031A06">
        <w:rPr>
          <w:rFonts w:ascii="Times New Roman" w:hAnsi="Times New Roman" w:cs="Times New Roman"/>
          <w:sz w:val="24"/>
          <w:szCs w:val="24"/>
        </w:rPr>
        <w:t>, S</w:t>
      </w:r>
      <w:r w:rsidRPr="00031A06">
        <w:rPr>
          <w:rFonts w:ascii="Times New Roman" w:hAnsi="Times New Roman" w:cs="Times New Roman"/>
          <w:sz w:val="24"/>
          <w:szCs w:val="24"/>
          <w:vertAlign w:val="subscript"/>
        </w:rPr>
        <w:t>12</w:t>
      </w:r>
      <w:r w:rsidRPr="00031A06">
        <w:rPr>
          <w:rFonts w:ascii="Times New Roman" w:hAnsi="Times New Roman" w:cs="Times New Roman"/>
          <w:sz w:val="24"/>
          <w:szCs w:val="24"/>
        </w:rPr>
        <w:t>, S</w:t>
      </w:r>
      <w:r w:rsidRPr="00031A06">
        <w:rPr>
          <w:rFonts w:ascii="Times New Roman" w:hAnsi="Times New Roman" w:cs="Times New Roman"/>
          <w:sz w:val="24"/>
          <w:szCs w:val="24"/>
          <w:vertAlign w:val="subscript"/>
        </w:rPr>
        <w:t>22</w:t>
      </w:r>
      <w:r w:rsidRPr="00031A06">
        <w:rPr>
          <w:rFonts w:ascii="Times New Roman" w:hAnsi="Times New Roman" w:cs="Times New Roman"/>
          <w:sz w:val="24"/>
          <w:szCs w:val="24"/>
        </w:rPr>
        <w:t>, and S</w:t>
      </w:r>
      <w:r w:rsidRPr="00031A06">
        <w:rPr>
          <w:rFonts w:ascii="Times New Roman" w:hAnsi="Times New Roman" w:cs="Times New Roman"/>
          <w:sz w:val="24"/>
          <w:szCs w:val="24"/>
          <w:vertAlign w:val="subscript"/>
        </w:rPr>
        <w:t>21</w:t>
      </w:r>
      <w:r w:rsidRPr="00031A06">
        <w:rPr>
          <w:rFonts w:ascii="Times New Roman" w:hAnsi="Times New Roman" w:cs="Times New Roman"/>
          <w:sz w:val="24"/>
          <w:szCs w:val="24"/>
        </w:rPr>
        <w:t>) in the broadband frequency ranges of the X- (8.2-12.4 GHz), Ka- (26.5-40 GHz), V- (50-75 GHz), and W-bands (75-110 GHz) as follows:</w:t>
      </w:r>
    </w:p>
    <w:p w14:paraId="623DA189" w14:textId="77777777" w:rsidR="0015669C" w:rsidRPr="00031A06" w:rsidRDefault="0015669C" w:rsidP="00031A06">
      <w:pPr>
        <w:widowControl/>
        <w:wordWrap/>
        <w:autoSpaceDE/>
        <w:autoSpaceDN/>
        <w:spacing w:line="360" w:lineRule="auto"/>
        <w:rPr>
          <w:rStyle w:val="a6"/>
          <w:rFonts w:ascii="Times New Roman" w:hAnsi="Times New Roman" w:cs="Times New Roman"/>
          <w:color w:val="auto"/>
          <w:sz w:val="24"/>
          <w:szCs w:val="24"/>
        </w:rPr>
      </w:pPr>
      <m:oMathPara>
        <m:oMath>
          <m:r>
            <m:rPr>
              <m:sty m:val="p"/>
            </m:rPr>
            <w:rPr>
              <w:rStyle w:val="a6"/>
              <w:rFonts w:ascii="Cambria Math" w:hAnsi="Cambria Math" w:cs="Times New Roman"/>
              <w:color w:val="auto"/>
              <w:sz w:val="24"/>
              <w:szCs w:val="24"/>
            </w:rPr>
            <m:t>R+T+A=1</m:t>
          </m:r>
        </m:oMath>
      </m:oMathPara>
    </w:p>
    <w:p w14:paraId="716AE905"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Style w:val="a6"/>
              <w:rFonts w:ascii="Cambria Math" w:hAnsi="Cambria Math" w:cs="Times New Roman"/>
              <w:color w:val="auto"/>
              <w:sz w:val="24"/>
              <w:szCs w:val="24"/>
            </w:rPr>
            <m:t>R=</m:t>
          </m:r>
          <m:sSup>
            <m:sSupPr>
              <m:ctrlPr>
                <w:rPr>
                  <w:rStyle w:val="a6"/>
                  <w:rFonts w:ascii="Cambria Math" w:hAnsi="Cambria Math" w:cs="Times New Roman"/>
                  <w:color w:val="auto"/>
                  <w:sz w:val="24"/>
                  <w:szCs w:val="24"/>
                </w:rPr>
              </m:ctrlPr>
            </m:sSupPr>
            <m:e>
              <m:d>
                <m:dPr>
                  <m:begChr m:val="|"/>
                  <m:endChr m:val="|"/>
                  <m:ctrlPr>
                    <w:rPr>
                      <w:rStyle w:val="a6"/>
                      <w:rFonts w:ascii="Cambria Math" w:hAnsi="Cambria Math" w:cs="Times New Roman"/>
                      <w:color w:val="auto"/>
                      <w:sz w:val="24"/>
                      <w:szCs w:val="24"/>
                    </w:rPr>
                  </m:ctrlPr>
                </m:dPr>
                <m:e>
                  <m:sSub>
                    <m:sSubPr>
                      <m:ctrlPr>
                        <w:rPr>
                          <w:rStyle w:val="a6"/>
                          <w:rFonts w:ascii="Cambria Math" w:hAnsi="Cambria Math" w:cs="Times New Roman"/>
                          <w:i/>
                          <w:color w:val="auto"/>
                          <w:sz w:val="24"/>
                          <w:szCs w:val="24"/>
                        </w:rPr>
                      </m:ctrlPr>
                    </m:sSubPr>
                    <m:e>
                      <m:r>
                        <w:rPr>
                          <w:rStyle w:val="a6"/>
                          <w:rFonts w:ascii="Cambria Math" w:hAnsi="Cambria Math" w:cs="Times New Roman"/>
                          <w:color w:val="auto"/>
                          <w:sz w:val="24"/>
                          <w:szCs w:val="24"/>
                        </w:rPr>
                        <m:t>S</m:t>
                      </m:r>
                    </m:e>
                    <m:sub>
                      <m:r>
                        <w:rPr>
                          <w:rStyle w:val="a6"/>
                          <w:rFonts w:ascii="Cambria Math" w:hAnsi="Cambria Math" w:cs="Times New Roman"/>
                          <w:color w:val="auto"/>
                          <w:sz w:val="24"/>
                          <w:szCs w:val="24"/>
                        </w:rPr>
                        <m:t>11</m:t>
                      </m:r>
                    </m:sub>
                  </m:sSub>
                </m:e>
              </m:d>
            </m:e>
            <m:sup>
              <m:r>
                <w:rPr>
                  <w:rStyle w:val="a6"/>
                  <w:rFonts w:ascii="Cambria Math" w:hAnsi="Cambria Math" w:cs="Times New Roman"/>
                  <w:color w:val="auto"/>
                  <w:sz w:val="24"/>
                  <w:szCs w:val="24"/>
                </w:rPr>
                <m:t>2</m:t>
              </m:r>
            </m:sup>
          </m:sSup>
          <m:r>
            <m:rPr>
              <m:sty m:val="p"/>
            </m:rPr>
            <w:rPr>
              <w:rStyle w:val="a6"/>
              <w:rFonts w:ascii="Cambria Math" w:hAnsi="Cambria Math" w:cs="Times New Roman"/>
              <w:color w:val="auto"/>
              <w:sz w:val="24"/>
              <w:szCs w:val="24"/>
            </w:rPr>
            <m:t xml:space="preserve"> or </m:t>
          </m:r>
          <m:sSup>
            <m:sSupPr>
              <m:ctrlPr>
                <w:rPr>
                  <w:rStyle w:val="a6"/>
                  <w:rFonts w:ascii="Cambria Math" w:hAnsi="Cambria Math" w:cs="Times New Roman"/>
                  <w:color w:val="auto"/>
                  <w:sz w:val="24"/>
                  <w:szCs w:val="24"/>
                </w:rPr>
              </m:ctrlPr>
            </m:sSupPr>
            <m:e>
              <m:d>
                <m:dPr>
                  <m:begChr m:val="|"/>
                  <m:endChr m:val="|"/>
                  <m:ctrlPr>
                    <w:rPr>
                      <w:rStyle w:val="a6"/>
                      <w:rFonts w:ascii="Cambria Math" w:hAnsi="Cambria Math" w:cs="Times New Roman"/>
                      <w:color w:val="auto"/>
                      <w:sz w:val="24"/>
                      <w:szCs w:val="24"/>
                    </w:rPr>
                  </m:ctrlPr>
                </m:dPr>
                <m:e>
                  <m:sSub>
                    <m:sSubPr>
                      <m:ctrlPr>
                        <w:rPr>
                          <w:rStyle w:val="a6"/>
                          <w:rFonts w:ascii="Cambria Math" w:hAnsi="Cambria Math" w:cs="Times New Roman"/>
                          <w:i/>
                          <w:color w:val="auto"/>
                          <w:sz w:val="24"/>
                          <w:szCs w:val="24"/>
                        </w:rPr>
                      </m:ctrlPr>
                    </m:sSubPr>
                    <m:e>
                      <m:r>
                        <w:rPr>
                          <w:rStyle w:val="a6"/>
                          <w:rFonts w:ascii="Cambria Math" w:hAnsi="Cambria Math" w:cs="Times New Roman"/>
                          <w:color w:val="auto"/>
                          <w:sz w:val="24"/>
                          <w:szCs w:val="24"/>
                        </w:rPr>
                        <m:t>S</m:t>
                      </m:r>
                    </m:e>
                    <m:sub>
                      <m:r>
                        <w:rPr>
                          <w:rStyle w:val="a6"/>
                          <w:rFonts w:ascii="Cambria Math" w:hAnsi="Cambria Math" w:cs="Times New Roman"/>
                          <w:color w:val="auto"/>
                          <w:sz w:val="24"/>
                          <w:szCs w:val="24"/>
                        </w:rPr>
                        <m:t>22</m:t>
                      </m:r>
                    </m:sub>
                  </m:sSub>
                </m:e>
              </m:d>
            </m:e>
            <m:sup>
              <m:r>
                <w:rPr>
                  <w:rStyle w:val="a6"/>
                  <w:rFonts w:ascii="Cambria Math" w:hAnsi="Cambria Math" w:cs="Times New Roman"/>
                  <w:color w:val="auto"/>
                  <w:sz w:val="24"/>
                  <w:szCs w:val="24"/>
                </w:rPr>
                <m:t>2</m:t>
              </m:r>
            </m:sup>
          </m:sSup>
        </m:oMath>
      </m:oMathPara>
    </w:p>
    <w:p w14:paraId="2D7A665E"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Style w:val="a6"/>
              <w:rFonts w:ascii="Cambria Math" w:hAnsi="Cambria Math" w:cs="Times New Roman"/>
              <w:color w:val="auto"/>
              <w:sz w:val="24"/>
              <w:szCs w:val="24"/>
            </w:rPr>
            <m:t>T=</m:t>
          </m:r>
          <m:sSup>
            <m:sSupPr>
              <m:ctrlPr>
                <w:rPr>
                  <w:rStyle w:val="a6"/>
                  <w:rFonts w:ascii="Cambria Math" w:hAnsi="Cambria Math" w:cs="Times New Roman"/>
                  <w:color w:val="auto"/>
                  <w:sz w:val="24"/>
                  <w:szCs w:val="24"/>
                </w:rPr>
              </m:ctrlPr>
            </m:sSupPr>
            <m:e>
              <m:d>
                <m:dPr>
                  <m:begChr m:val="|"/>
                  <m:endChr m:val="|"/>
                  <m:ctrlPr>
                    <w:rPr>
                      <w:rStyle w:val="a6"/>
                      <w:rFonts w:ascii="Cambria Math" w:hAnsi="Cambria Math" w:cs="Times New Roman"/>
                      <w:color w:val="auto"/>
                      <w:sz w:val="24"/>
                      <w:szCs w:val="24"/>
                    </w:rPr>
                  </m:ctrlPr>
                </m:dPr>
                <m:e>
                  <m:sSub>
                    <m:sSubPr>
                      <m:ctrlPr>
                        <w:rPr>
                          <w:rStyle w:val="a6"/>
                          <w:rFonts w:ascii="Cambria Math" w:hAnsi="Cambria Math" w:cs="Times New Roman"/>
                          <w:i/>
                          <w:color w:val="auto"/>
                          <w:sz w:val="24"/>
                          <w:szCs w:val="24"/>
                        </w:rPr>
                      </m:ctrlPr>
                    </m:sSubPr>
                    <m:e>
                      <m:r>
                        <w:rPr>
                          <w:rStyle w:val="a6"/>
                          <w:rFonts w:ascii="Cambria Math" w:hAnsi="Cambria Math" w:cs="Times New Roman"/>
                          <w:color w:val="auto"/>
                          <w:sz w:val="24"/>
                          <w:szCs w:val="24"/>
                        </w:rPr>
                        <m:t>S</m:t>
                      </m:r>
                    </m:e>
                    <m:sub>
                      <m:r>
                        <w:rPr>
                          <w:rStyle w:val="a6"/>
                          <w:rFonts w:ascii="Cambria Math" w:hAnsi="Cambria Math" w:cs="Times New Roman"/>
                          <w:color w:val="auto"/>
                          <w:sz w:val="24"/>
                          <w:szCs w:val="24"/>
                        </w:rPr>
                        <m:t>12</m:t>
                      </m:r>
                    </m:sub>
                  </m:sSub>
                </m:e>
              </m:d>
            </m:e>
            <m:sup>
              <m:r>
                <w:rPr>
                  <w:rStyle w:val="a6"/>
                  <w:rFonts w:ascii="Cambria Math" w:hAnsi="Cambria Math" w:cs="Times New Roman"/>
                  <w:color w:val="auto"/>
                  <w:sz w:val="24"/>
                  <w:szCs w:val="24"/>
                </w:rPr>
                <m:t>2</m:t>
              </m:r>
            </m:sup>
          </m:sSup>
          <m:r>
            <m:rPr>
              <m:sty m:val="p"/>
            </m:rPr>
            <w:rPr>
              <w:rStyle w:val="a6"/>
              <w:rFonts w:ascii="Cambria Math" w:hAnsi="Cambria Math" w:cs="Times New Roman"/>
              <w:color w:val="auto"/>
              <w:sz w:val="24"/>
              <w:szCs w:val="24"/>
            </w:rPr>
            <m:t xml:space="preserve"> or </m:t>
          </m:r>
          <m:sSup>
            <m:sSupPr>
              <m:ctrlPr>
                <w:rPr>
                  <w:rStyle w:val="a6"/>
                  <w:rFonts w:ascii="Cambria Math" w:hAnsi="Cambria Math" w:cs="Times New Roman"/>
                  <w:color w:val="auto"/>
                  <w:sz w:val="24"/>
                  <w:szCs w:val="24"/>
                </w:rPr>
              </m:ctrlPr>
            </m:sSupPr>
            <m:e>
              <m:d>
                <m:dPr>
                  <m:begChr m:val="|"/>
                  <m:endChr m:val="|"/>
                  <m:ctrlPr>
                    <w:rPr>
                      <w:rStyle w:val="a6"/>
                      <w:rFonts w:ascii="Cambria Math" w:hAnsi="Cambria Math" w:cs="Times New Roman"/>
                      <w:color w:val="auto"/>
                      <w:sz w:val="24"/>
                      <w:szCs w:val="24"/>
                    </w:rPr>
                  </m:ctrlPr>
                </m:dPr>
                <m:e>
                  <m:sSub>
                    <m:sSubPr>
                      <m:ctrlPr>
                        <w:rPr>
                          <w:rStyle w:val="a6"/>
                          <w:rFonts w:ascii="Cambria Math" w:hAnsi="Cambria Math" w:cs="Times New Roman"/>
                          <w:i/>
                          <w:color w:val="auto"/>
                          <w:sz w:val="24"/>
                          <w:szCs w:val="24"/>
                        </w:rPr>
                      </m:ctrlPr>
                    </m:sSubPr>
                    <m:e>
                      <m:r>
                        <w:rPr>
                          <w:rStyle w:val="a6"/>
                          <w:rFonts w:ascii="Cambria Math" w:hAnsi="Cambria Math" w:cs="Times New Roman"/>
                          <w:color w:val="auto"/>
                          <w:sz w:val="24"/>
                          <w:szCs w:val="24"/>
                        </w:rPr>
                        <m:t>S</m:t>
                      </m:r>
                    </m:e>
                    <m:sub>
                      <m:r>
                        <w:rPr>
                          <w:rStyle w:val="a6"/>
                          <w:rFonts w:ascii="Cambria Math" w:hAnsi="Cambria Math" w:cs="Times New Roman"/>
                          <w:color w:val="auto"/>
                          <w:sz w:val="24"/>
                          <w:szCs w:val="24"/>
                        </w:rPr>
                        <m:t>21</m:t>
                      </m:r>
                    </m:sub>
                  </m:sSub>
                </m:e>
              </m:d>
            </m:e>
            <m:sup>
              <m:r>
                <w:rPr>
                  <w:rStyle w:val="a6"/>
                  <w:rFonts w:ascii="Cambria Math" w:hAnsi="Cambria Math" w:cs="Times New Roman"/>
                  <w:color w:val="auto"/>
                  <w:sz w:val="24"/>
                  <w:szCs w:val="24"/>
                </w:rPr>
                <m:t>2</m:t>
              </m:r>
            </m:sup>
          </m:sSup>
        </m:oMath>
      </m:oMathPara>
    </w:p>
    <w:p w14:paraId="4BB6003C"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w:r w:rsidRPr="00031A06">
        <w:rPr>
          <w:rFonts w:ascii="Times New Roman" w:hAnsi="Times New Roman" w:cs="Times New Roman"/>
          <w:sz w:val="24"/>
          <w:szCs w:val="24"/>
        </w:rPr>
        <w:t xml:space="preserve">where R, T, and A are the power coefficient of reflection, transmission, and absorption, respectively. The power coefficient is suitable for investigating the actual fraction of reflection and absorption of specimens because it involves the quantity of reflection at the initial interface. </w:t>
      </w:r>
      <w:r w:rsidRPr="00031A06">
        <w:rPr>
          <w:rFonts w:ascii="Times New Roman" w:hAnsi="Times New Roman" w:cs="Times New Roman"/>
          <w:sz w:val="24"/>
          <w:szCs w:val="24"/>
        </w:rPr>
        <w:lastRenderedPageBreak/>
        <w:t>In contrast, the total shielding effectiveness (SE</w:t>
      </w:r>
      <w:r w:rsidRPr="00031A06">
        <w:rPr>
          <w:rFonts w:ascii="Times New Roman" w:hAnsi="Times New Roman" w:cs="Times New Roman"/>
          <w:sz w:val="24"/>
          <w:szCs w:val="24"/>
          <w:vertAlign w:val="subscript"/>
        </w:rPr>
        <w:t>T</w:t>
      </w:r>
      <w:r w:rsidRPr="00031A06">
        <w:rPr>
          <w:rFonts w:ascii="Times New Roman" w:hAnsi="Times New Roman" w:cs="Times New Roman"/>
          <w:sz w:val="24"/>
          <w:szCs w:val="24"/>
        </w:rPr>
        <w:t>) is appropriate for comparing the overall blocked incident wave. The SE</w:t>
      </w:r>
      <w:r w:rsidRPr="00031A06">
        <w:rPr>
          <w:rFonts w:ascii="Times New Roman" w:hAnsi="Times New Roman" w:cs="Times New Roman"/>
          <w:sz w:val="24"/>
          <w:szCs w:val="24"/>
          <w:vertAlign w:val="subscript"/>
        </w:rPr>
        <w:t>R</w:t>
      </w:r>
      <w:r w:rsidRPr="00031A06">
        <w:rPr>
          <w:rFonts w:ascii="Times New Roman" w:hAnsi="Times New Roman" w:cs="Times New Roman"/>
          <w:sz w:val="24"/>
          <w:szCs w:val="24"/>
        </w:rPr>
        <w:t xml:space="preserve"> and SE</w:t>
      </w:r>
      <w:r w:rsidRPr="00031A06">
        <w:rPr>
          <w:rFonts w:ascii="Times New Roman" w:hAnsi="Times New Roman" w:cs="Times New Roman"/>
          <w:sz w:val="24"/>
          <w:szCs w:val="24"/>
          <w:vertAlign w:val="subscript"/>
        </w:rPr>
        <w:t>A</w:t>
      </w:r>
      <w:r w:rsidRPr="00031A06">
        <w:rPr>
          <w:rFonts w:ascii="Times New Roman" w:hAnsi="Times New Roman" w:cs="Times New Roman"/>
          <w:sz w:val="24"/>
          <w:szCs w:val="24"/>
        </w:rPr>
        <w:t xml:space="preserve"> are understood as the percentage of reflection and absorption, respectively. The SE</w:t>
      </w:r>
      <w:r w:rsidRPr="00031A06">
        <w:rPr>
          <w:rFonts w:ascii="Times New Roman" w:hAnsi="Times New Roman" w:cs="Times New Roman"/>
          <w:sz w:val="24"/>
          <w:szCs w:val="24"/>
          <w:vertAlign w:val="subscript"/>
        </w:rPr>
        <w:t>R</w:t>
      </w:r>
      <w:r w:rsidRPr="00031A06">
        <w:rPr>
          <w:rFonts w:ascii="Times New Roman" w:hAnsi="Times New Roman" w:cs="Times New Roman"/>
          <w:sz w:val="24"/>
          <w:szCs w:val="24"/>
        </w:rPr>
        <w:t xml:space="preserve"> is the proportion of the reflection to the incident wave. The SE</w:t>
      </w:r>
      <w:r w:rsidRPr="00031A06">
        <w:rPr>
          <w:rFonts w:ascii="Times New Roman" w:hAnsi="Times New Roman" w:cs="Times New Roman"/>
          <w:sz w:val="24"/>
          <w:szCs w:val="24"/>
          <w:vertAlign w:val="subscript"/>
        </w:rPr>
        <w:t>A</w:t>
      </w:r>
      <w:r w:rsidRPr="00031A06">
        <w:rPr>
          <w:rFonts w:ascii="Times New Roman" w:hAnsi="Times New Roman" w:cs="Times New Roman"/>
          <w:sz w:val="24"/>
          <w:szCs w:val="24"/>
        </w:rPr>
        <w:t xml:space="preserve"> is the proportion of the absorption to the wave that has passed through in the first interface; reflected wave are not accounted for. The EMI SE is calculated by the T and R values as follows:</w:t>
      </w:r>
    </w:p>
    <w:p w14:paraId="2033E0B4" w14:textId="77777777" w:rsidR="0015669C" w:rsidRPr="00031A06" w:rsidRDefault="00000000" w:rsidP="00031A06">
      <w:pPr>
        <w:widowControl/>
        <w:wordWrap/>
        <w:autoSpaceDE/>
        <w:autoSpaceDN/>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SE</m:t>
              </m:r>
            </m:e>
            <m:sub>
              <m:r>
                <w:rPr>
                  <w:rFonts w:ascii="Cambria Math" w:hAnsi="Cambria Math" w:cs="Times New Roman"/>
                  <w:sz w:val="24"/>
                  <w:szCs w:val="24"/>
                </w:rPr>
                <m:t>R</m:t>
              </m:r>
            </m:sub>
          </m:sSub>
          <m:r>
            <w:rPr>
              <w:rFonts w:ascii="Cambria Math" w:hAnsi="Cambria Math" w:cs="Times New Roman"/>
              <w:sz w:val="24"/>
              <w:szCs w:val="24"/>
            </w:rPr>
            <m:t>=10</m:t>
          </m:r>
          <m:r>
            <m:rPr>
              <m:sty m:val="p"/>
            </m:rPr>
            <w:rPr>
              <w:rFonts w:ascii="Cambria Math" w:hAnsi="Cambria Math" w:cs="Times New Roman"/>
              <w:sz w:val="24"/>
              <w:szCs w:val="24"/>
            </w:rPr>
            <m:t>log</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1-R</m:t>
                  </m:r>
                </m:den>
              </m:f>
            </m:e>
          </m:d>
        </m:oMath>
      </m:oMathPara>
    </w:p>
    <w:p w14:paraId="01402A3E" w14:textId="77777777" w:rsidR="0015669C" w:rsidRPr="00031A06" w:rsidRDefault="00000000" w:rsidP="00031A06">
      <w:pPr>
        <w:widowControl/>
        <w:wordWrap/>
        <w:autoSpaceDE/>
        <w:autoSpaceDN/>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SE</m:t>
              </m:r>
            </m:e>
            <m:sub>
              <m:r>
                <w:rPr>
                  <w:rFonts w:ascii="Cambria Math" w:hAnsi="Cambria Math" w:cs="Times New Roman"/>
                  <w:sz w:val="24"/>
                  <w:szCs w:val="24"/>
                </w:rPr>
                <m:t>A</m:t>
              </m:r>
            </m:sub>
          </m:sSub>
          <m:r>
            <w:rPr>
              <w:rFonts w:ascii="Cambria Math" w:hAnsi="Cambria Math" w:cs="Times New Roman"/>
              <w:sz w:val="24"/>
              <w:szCs w:val="24"/>
            </w:rPr>
            <m:t>=10</m:t>
          </m:r>
          <m:r>
            <m:rPr>
              <m:sty m:val="p"/>
            </m:rPr>
            <w:rPr>
              <w:rFonts w:ascii="Cambria Math" w:hAnsi="Cambria Math" w:cs="Times New Roman"/>
              <w:sz w:val="24"/>
              <w:szCs w:val="24"/>
            </w:rPr>
            <m:t>log</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1-R</m:t>
                  </m:r>
                </m:num>
                <m:den>
                  <m:r>
                    <w:rPr>
                      <w:rFonts w:ascii="Cambria Math" w:hAnsi="Cambria Math" w:cs="Times New Roman"/>
                      <w:sz w:val="24"/>
                      <w:szCs w:val="24"/>
                    </w:rPr>
                    <m:t>T</m:t>
                  </m:r>
                </m:den>
              </m:f>
            </m:e>
          </m:d>
        </m:oMath>
      </m:oMathPara>
    </w:p>
    <w:p w14:paraId="15A13FA1" w14:textId="77777777" w:rsidR="0015669C" w:rsidRPr="00031A06" w:rsidRDefault="00000000" w:rsidP="00031A06">
      <w:pPr>
        <w:widowControl/>
        <w:wordWrap/>
        <w:autoSpaceDE/>
        <w:autoSpaceDN/>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SE</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A</m:t>
              </m:r>
            </m:sub>
          </m:sSub>
          <m:r>
            <w:rPr>
              <w:rFonts w:ascii="Cambria Math" w:hAnsi="Cambria Math" w:cs="Times New Roman"/>
              <w:sz w:val="24"/>
              <w:szCs w:val="24"/>
            </w:rPr>
            <m:t>=10</m:t>
          </m:r>
          <m:r>
            <m:rPr>
              <m:sty m:val="p"/>
            </m:rPr>
            <w:rPr>
              <w:rFonts w:ascii="Cambria Math" w:hAnsi="Cambria Math" w:cs="Times New Roman"/>
              <w:sz w:val="24"/>
              <w:szCs w:val="24"/>
            </w:rPr>
            <m:t>log</m:t>
          </m:r>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e>
          </m:d>
        </m:oMath>
      </m:oMathPara>
    </w:p>
    <w:p w14:paraId="6612B251" w14:textId="1A887BEB" w:rsidR="0015669C" w:rsidRPr="00031A06" w:rsidRDefault="0015669C" w:rsidP="00031A06">
      <w:pPr>
        <w:widowControl/>
        <w:wordWrap/>
        <w:autoSpaceDE/>
        <w:autoSpaceDN/>
        <w:spacing w:line="360" w:lineRule="auto"/>
        <w:rPr>
          <w:rFonts w:ascii="Times New Roman" w:eastAsiaTheme="minorHAnsi" w:hAnsi="Times New Roman" w:cs="Times New Roman"/>
          <w:sz w:val="24"/>
          <w:szCs w:val="24"/>
        </w:rPr>
      </w:pPr>
      <w:r w:rsidRPr="00031A06">
        <w:rPr>
          <w:rFonts w:ascii="Times New Roman" w:hAnsi="Times New Roman" w:cs="Times New Roman"/>
          <w:sz w:val="24"/>
          <w:szCs w:val="24"/>
        </w:rPr>
        <w:t>In the X-band, the dielectric permittivity (</w:t>
      </w:r>
      <w:r w:rsidRPr="00031A06">
        <w:rPr>
          <w:rFonts w:ascii="Times New Roman" w:eastAsiaTheme="minorHAnsi" w:hAnsi="Times New Roman" w:cs="Times New Roman"/>
          <w:sz w:val="24"/>
          <w:szCs w:val="24"/>
        </w:rPr>
        <w:t>ε</w:t>
      </w:r>
      <w:r w:rsidRPr="00031A06">
        <w:rPr>
          <w:rFonts w:ascii="Times New Roman" w:hAnsi="Times New Roman" w:cs="Times New Roman"/>
          <w:sz w:val="24"/>
          <w:szCs w:val="24"/>
        </w:rPr>
        <w:t>) and magnetic permeability (</w:t>
      </w:r>
      <w:r w:rsidRPr="00031A06">
        <w:rPr>
          <w:rFonts w:ascii="Times New Roman" w:eastAsiaTheme="minorHAnsi" w:hAnsi="Times New Roman" w:cs="Times New Roman"/>
          <w:sz w:val="24"/>
          <w:szCs w:val="24"/>
        </w:rPr>
        <w:t>μ</w:t>
      </w:r>
      <w:r w:rsidRPr="00031A06">
        <w:rPr>
          <w:rFonts w:ascii="Times New Roman" w:hAnsi="Times New Roman" w:cs="Times New Roman"/>
          <w:sz w:val="24"/>
          <w:szCs w:val="24"/>
        </w:rPr>
        <w:t xml:space="preserve">) values were calculated from the S-parameters using the Nicholson-Ross-Weir (NRW) method due to the high frequency </w:t>
      </w:r>
      <w:r w:rsidRPr="00031A06">
        <w:rPr>
          <w:rFonts w:ascii="Times New Roman" w:hAnsi="Times New Roman" w:cs="Times New Roman"/>
          <w:noProof/>
          <w:sz w:val="24"/>
          <w:szCs w:val="24"/>
        </w:rPr>
        <w:t>[</w:t>
      </w:r>
      <w:r w:rsidR="00031A06">
        <w:rPr>
          <w:rFonts w:ascii="Times New Roman" w:hAnsi="Times New Roman" w:cs="Times New Roman" w:hint="eastAsia"/>
          <w:noProof/>
          <w:sz w:val="24"/>
          <w:szCs w:val="24"/>
        </w:rPr>
        <w:t>S</w:t>
      </w:r>
      <w:r w:rsidRPr="00031A06">
        <w:rPr>
          <w:rFonts w:ascii="Times New Roman" w:hAnsi="Times New Roman" w:cs="Times New Roman"/>
          <w:noProof/>
          <w:sz w:val="24"/>
          <w:szCs w:val="24"/>
        </w:rPr>
        <w:t>3]</w:t>
      </w:r>
      <w:r w:rsidRPr="00031A06">
        <w:rPr>
          <w:rFonts w:ascii="Times New Roman" w:hAnsi="Times New Roman" w:cs="Times New Roman"/>
          <w:sz w:val="24"/>
          <w:szCs w:val="24"/>
        </w:rPr>
        <w:t>. The correlation between the reflection coefficient (</w:t>
      </w:r>
      <w:r w:rsidRPr="00031A06">
        <w:rPr>
          <w:rFonts w:ascii="Times New Roman" w:eastAsiaTheme="minorHAnsi" w:hAnsi="Times New Roman" w:cs="Times New Roman"/>
          <w:sz w:val="24"/>
          <w:szCs w:val="24"/>
        </w:rPr>
        <w:t>Г) and the S-parameter is as follows:</w:t>
      </w:r>
    </w:p>
    <w:p w14:paraId="764FC6EB"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Γ=Χ±Χ</m:t>
          </m:r>
          <m:rad>
            <m:radPr>
              <m:degHide m:val="1"/>
              <m:ctrlPr>
                <w:rPr>
                  <w:rFonts w:ascii="Cambria Math" w:hAnsi="Cambria Math" w:cs="Times New Roman"/>
                  <w:sz w:val="24"/>
                  <w:szCs w:val="24"/>
                </w:rPr>
              </m:ctrlPr>
            </m:radPr>
            <m:deg/>
            <m:e>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m:t>
              </m:r>
            </m:e>
          </m:rad>
        </m:oMath>
      </m:oMathPara>
    </w:p>
    <w:p w14:paraId="6D8F26B2"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Χ=</m:t>
          </m:r>
          <m:f>
            <m:fPr>
              <m:ctrlPr>
                <w:rPr>
                  <w:rFonts w:ascii="Cambria Math" w:hAnsi="Cambria Math" w:cs="Times New Roman"/>
                  <w:sz w:val="24"/>
                  <w:szCs w:val="24"/>
                </w:rPr>
              </m:ctrlPr>
            </m:fPr>
            <m:num>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r>
                <w:rPr>
                  <w:rFonts w:ascii="Cambria Math" w:hAnsi="Cambria Math" w:cs="Times New Roman"/>
                  <w:sz w:val="24"/>
                  <w:szCs w:val="24"/>
                </w:rPr>
                <m:t>)</m:t>
              </m:r>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r>
                <w:rPr>
                  <w:rFonts w:ascii="Cambria Math" w:hAnsi="Cambria Math" w:cs="Times New Roman"/>
                  <w:sz w:val="24"/>
                  <w:szCs w:val="24"/>
                </w:rPr>
                <m:t>)</m:t>
              </m:r>
            </m:den>
          </m:f>
        </m:oMath>
      </m:oMathPara>
    </w:p>
    <w:p w14:paraId="27CC6849"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w:r w:rsidRPr="00031A06">
        <w:rPr>
          <w:rFonts w:ascii="Times New Roman" w:hAnsi="Times New Roman" w:cs="Times New Roman"/>
          <w:sz w:val="24"/>
          <w:szCs w:val="24"/>
        </w:rPr>
        <w:t xml:space="preserve">The </w:t>
      </w:r>
      <w:r w:rsidRPr="00031A06">
        <w:rPr>
          <w:rFonts w:ascii="Times New Roman" w:eastAsiaTheme="minorHAnsi" w:hAnsi="Times New Roman" w:cs="Times New Roman"/>
          <w:i/>
          <w:iCs/>
          <w:sz w:val="24"/>
          <w:szCs w:val="24"/>
        </w:rPr>
        <w:t>ε</w:t>
      </w:r>
      <w:r w:rsidRPr="00031A06">
        <w:rPr>
          <w:rFonts w:ascii="Times New Roman" w:eastAsiaTheme="minorHAnsi" w:hAnsi="Times New Roman" w:cs="Times New Roman"/>
          <w:sz w:val="24"/>
          <w:szCs w:val="24"/>
        </w:rPr>
        <w:t xml:space="preserve"> and </w:t>
      </w:r>
      <w:r w:rsidRPr="00031A06">
        <w:rPr>
          <w:rFonts w:ascii="Times New Roman" w:eastAsiaTheme="minorHAnsi" w:hAnsi="Times New Roman" w:cs="Times New Roman"/>
          <w:i/>
          <w:iCs/>
          <w:sz w:val="24"/>
          <w:szCs w:val="24"/>
        </w:rPr>
        <w:t>μ</w:t>
      </w:r>
      <w:r w:rsidRPr="00031A06">
        <w:rPr>
          <w:rFonts w:ascii="Times New Roman" w:eastAsiaTheme="minorHAnsi" w:hAnsi="Times New Roman" w:cs="Times New Roman"/>
          <w:sz w:val="24"/>
          <w:szCs w:val="24"/>
        </w:rPr>
        <w:t xml:space="preserve"> are established that</w:t>
      </w:r>
    </w:p>
    <w:p w14:paraId="67C98877" w14:textId="77777777" w:rsidR="0015669C" w:rsidRPr="00031A06" w:rsidRDefault="00000000" w:rsidP="00031A06">
      <w:pPr>
        <w:widowControl/>
        <w:wordWrap/>
        <w:autoSpaceDE/>
        <w:autoSpaceDN/>
        <w:spacing w:line="360" w:lineRule="auto"/>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μ</m:t>
              </m:r>
            </m:num>
            <m:den>
              <m:r>
                <w:rPr>
                  <w:rFonts w:ascii="Cambria Math" w:hAnsi="Cambria Math" w:cs="Times New Roman"/>
                  <w:sz w:val="24"/>
                  <w:szCs w:val="24"/>
                </w:rPr>
                <m:t>ε</m:t>
              </m:r>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Γ</m:t>
                      </m:r>
                    </m:num>
                    <m:den>
                      <m:r>
                        <w:rPr>
                          <w:rFonts w:ascii="Cambria Math" w:hAnsi="Cambria Math" w:cs="Times New Roman"/>
                          <w:sz w:val="24"/>
                          <w:szCs w:val="24"/>
                        </w:rPr>
                        <m:t>1-</m:t>
                      </m:r>
                      <m:r>
                        <m:rPr>
                          <m:sty m:val="p"/>
                        </m:rPr>
                        <w:rPr>
                          <w:rFonts w:ascii="Cambria Math" w:hAnsi="Cambria Math" w:cs="Times New Roman"/>
                          <w:sz w:val="24"/>
                          <w:szCs w:val="24"/>
                        </w:rPr>
                        <m:t>Γ</m:t>
                      </m:r>
                    </m:den>
                  </m:f>
                </m:e>
              </m:d>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m:oMathPara>
    </w:p>
    <w:p w14:paraId="3985362A"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με=-</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ωd</m:t>
                      </m:r>
                    </m:den>
                  </m:f>
                  <m:r>
                    <w:rPr>
                      <w:rFonts w:ascii="Cambria Math" w:hAnsi="Cambria Math" w:cs="Times New Roman"/>
                      <w:sz w:val="24"/>
                      <w:szCs w:val="24"/>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z</m:t>
                          </m:r>
                        </m:den>
                      </m:f>
                    </m:e>
                  </m:d>
                </m:e>
              </m:d>
            </m:e>
            <m:sup>
              <m: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m:oMathPara>
    </w:p>
    <w:p w14:paraId="467BC98A"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w:r w:rsidRPr="00031A06">
        <w:rPr>
          <w:rFonts w:ascii="Times New Roman" w:hAnsi="Times New Roman" w:cs="Times New Roman"/>
          <w:sz w:val="24"/>
          <w:szCs w:val="24"/>
        </w:rPr>
        <w:t xml:space="preserve">where </w:t>
      </w:r>
      <w:r w:rsidRPr="00031A06">
        <w:rPr>
          <w:rFonts w:ascii="Times New Roman" w:hAnsi="Times New Roman" w:cs="Times New Roman"/>
          <w:i/>
          <w:iCs/>
          <w:sz w:val="24"/>
          <w:szCs w:val="24"/>
        </w:rPr>
        <w:t>c</w:t>
      </w:r>
      <w:r w:rsidRPr="00031A06">
        <w:rPr>
          <w:rFonts w:ascii="Times New Roman" w:hAnsi="Times New Roman" w:cs="Times New Roman"/>
          <w:sz w:val="24"/>
          <w:szCs w:val="24"/>
        </w:rPr>
        <w:t xml:space="preserve">, </w:t>
      </w:r>
      <w:r w:rsidRPr="00031A06">
        <w:rPr>
          <w:rFonts w:ascii="Times New Roman" w:eastAsiaTheme="minorHAnsi" w:hAnsi="Times New Roman" w:cs="Times New Roman"/>
          <w:i/>
          <w:iCs/>
          <w:sz w:val="24"/>
          <w:szCs w:val="24"/>
        </w:rPr>
        <w:t>ω</w:t>
      </w:r>
      <w:r w:rsidRPr="00031A06">
        <w:rPr>
          <w:rFonts w:ascii="Times New Roman" w:hAnsi="Times New Roman" w:cs="Times New Roman"/>
          <w:sz w:val="24"/>
          <w:szCs w:val="24"/>
        </w:rPr>
        <w:t xml:space="preserve">, and </w:t>
      </w:r>
      <w:r w:rsidRPr="00031A06">
        <w:rPr>
          <w:rFonts w:ascii="Times New Roman" w:hAnsi="Times New Roman" w:cs="Times New Roman"/>
          <w:i/>
          <w:iCs/>
          <w:sz w:val="24"/>
          <w:szCs w:val="24"/>
        </w:rPr>
        <w:t>d</w:t>
      </w:r>
      <w:r w:rsidRPr="00031A06">
        <w:rPr>
          <w:rFonts w:ascii="Times New Roman" w:hAnsi="Times New Roman" w:cs="Times New Roman"/>
          <w:sz w:val="24"/>
          <w:szCs w:val="24"/>
        </w:rPr>
        <w:t xml:space="preserve"> represent the speed of light, wave frequency, and sample thickness, respectively. The transmission coefficient (z) represent as:</w:t>
      </w:r>
    </w:p>
    <w:p w14:paraId="15EF9CA2"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z=</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r>
                <m:rPr>
                  <m:sty m:val="p"/>
                </m:rPr>
                <w:rPr>
                  <w:rFonts w:ascii="Cambria Math" w:hAnsi="Cambria Math" w:cs="Times New Roman"/>
                  <w:sz w:val="24"/>
                  <w:szCs w:val="24"/>
                </w:rPr>
                <m:t>Γ</m:t>
              </m:r>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m:rPr>
                  <m:sty m:val="p"/>
                </m:rPr>
                <w:rPr>
                  <w:rFonts w:ascii="Cambria Math" w:hAnsi="Cambria Math" w:cs="Times New Roman"/>
                  <w:sz w:val="24"/>
                  <w:szCs w:val="24"/>
                </w:rPr>
                <m:t>Γ</m:t>
              </m:r>
            </m:den>
          </m:f>
        </m:oMath>
      </m:oMathPara>
    </w:p>
    <w:p w14:paraId="2458C31A" w14:textId="77777777" w:rsidR="0015669C" w:rsidRPr="00031A06" w:rsidRDefault="0015669C" w:rsidP="00031A06">
      <w:pPr>
        <w:widowControl/>
        <w:wordWrap/>
        <w:autoSpaceDE/>
        <w:autoSpaceDN/>
        <w:spacing w:line="360" w:lineRule="auto"/>
        <w:rPr>
          <w:rFonts w:ascii="Times New Roman" w:eastAsiaTheme="minorHAnsi" w:hAnsi="Times New Roman" w:cs="Times New Roman"/>
          <w:sz w:val="24"/>
          <w:szCs w:val="24"/>
        </w:rPr>
      </w:pPr>
      <w:r w:rsidRPr="00031A06">
        <w:rPr>
          <w:rFonts w:ascii="Times New Roman" w:hAnsi="Times New Roman" w:cs="Times New Roman"/>
          <w:sz w:val="24"/>
          <w:szCs w:val="24"/>
        </w:rPr>
        <w:t xml:space="preserve">Finally, </w:t>
      </w:r>
      <w:r w:rsidRPr="00031A06">
        <w:rPr>
          <w:rFonts w:ascii="Times New Roman" w:eastAsiaTheme="minorHAnsi" w:hAnsi="Times New Roman" w:cs="Times New Roman"/>
          <w:i/>
          <w:iCs/>
          <w:sz w:val="24"/>
          <w:szCs w:val="24"/>
        </w:rPr>
        <w:t>ε</w:t>
      </w:r>
      <w:r w:rsidRPr="00031A06">
        <w:rPr>
          <w:rFonts w:ascii="Times New Roman" w:eastAsiaTheme="minorHAnsi" w:hAnsi="Times New Roman" w:cs="Times New Roman"/>
          <w:sz w:val="24"/>
          <w:szCs w:val="24"/>
        </w:rPr>
        <w:t xml:space="preserve"> and </w:t>
      </w:r>
      <w:r w:rsidRPr="00031A06">
        <w:rPr>
          <w:rFonts w:ascii="Times New Roman" w:eastAsiaTheme="minorHAnsi" w:hAnsi="Times New Roman" w:cs="Times New Roman"/>
          <w:i/>
          <w:iCs/>
          <w:sz w:val="24"/>
          <w:szCs w:val="24"/>
        </w:rPr>
        <w:t xml:space="preserve">μ </w:t>
      </w:r>
      <w:r w:rsidRPr="00031A06">
        <w:rPr>
          <w:rFonts w:ascii="Times New Roman" w:eastAsiaTheme="minorHAnsi" w:hAnsi="Times New Roman" w:cs="Times New Roman"/>
          <w:sz w:val="24"/>
          <w:szCs w:val="24"/>
        </w:rPr>
        <w:t>can be determined</w:t>
      </w:r>
    </w:p>
    <w:p w14:paraId="7C418486" w14:textId="77777777" w:rsidR="0015669C" w:rsidRPr="00031A06" w:rsidRDefault="0015669C" w:rsidP="00031A06">
      <w:pPr>
        <w:widowControl/>
        <w:wordWrap/>
        <w:autoSpaceDE/>
        <w:autoSpaceDN/>
        <w:spacing w:line="360" w:lineRule="auto"/>
        <w:rPr>
          <w:rFonts w:ascii="Times New Roman" w:hAnsi="Times New Roman" w:cs="Times New Roman"/>
          <w:sz w:val="24"/>
          <w:szCs w:val="24"/>
        </w:rPr>
      </w:pPr>
      <m:oMath>
        <m:r>
          <w:rPr>
            <w:rFonts w:ascii="Cambria Math" w:hAnsi="Cambria Math" w:cs="Times New Roman"/>
            <w:sz w:val="24"/>
            <w:szCs w:val="24"/>
          </w:rPr>
          <m:t>ε</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e>
        </m:rad>
      </m:oMath>
      <w:r w:rsidRPr="00031A06">
        <w:rPr>
          <w:rFonts w:ascii="Times New Roman" w:hAnsi="Times New Roman" w:cs="Times New Roman"/>
          <w:sz w:val="24"/>
          <w:szCs w:val="24"/>
        </w:rPr>
        <w:t xml:space="preserve">  and </w:t>
      </w:r>
      <m:oMath>
        <m:r>
          <w:rPr>
            <w:rFonts w:ascii="Cambria Math" w:hAnsi="Cambria Math" w:cs="Times New Roman"/>
            <w:sz w:val="24"/>
            <w:szCs w:val="24"/>
          </w:rPr>
          <m:t>μ</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e>
        </m:rad>
      </m:oMath>
    </w:p>
    <w:p w14:paraId="7885FED7" w14:textId="0809883C" w:rsidR="0015669C" w:rsidRPr="00031A06" w:rsidRDefault="0015669C" w:rsidP="00031A06">
      <w:pPr>
        <w:wordWrap/>
        <w:spacing w:after="0" w:line="360" w:lineRule="auto"/>
        <w:rPr>
          <w:rFonts w:ascii="Times New Roman" w:eastAsiaTheme="minorHAnsi" w:hAnsi="Times New Roman" w:cs="Times New Roman"/>
          <w:sz w:val="24"/>
          <w:szCs w:val="24"/>
        </w:rPr>
      </w:pPr>
      <w:r w:rsidRPr="00031A06">
        <w:rPr>
          <w:rFonts w:ascii="Times New Roman" w:hAnsi="Times New Roman" w:cs="Times New Roman"/>
          <w:sz w:val="24"/>
          <w:szCs w:val="24"/>
        </w:rPr>
        <w:lastRenderedPageBreak/>
        <w:t xml:space="preserve">The SWCNT/CP films possessed </w:t>
      </w:r>
      <w:r w:rsidRPr="00031A06">
        <w:rPr>
          <w:rFonts w:ascii="Times New Roman" w:hAnsi="Times New Roman" w:cs="Times New Roman"/>
          <w:i/>
          <w:iCs/>
          <w:sz w:val="24"/>
          <w:szCs w:val="24"/>
        </w:rPr>
        <w:t>S</w:t>
      </w:r>
      <w:r w:rsidRPr="00031A06">
        <w:rPr>
          <w:rFonts w:ascii="Times New Roman" w:hAnsi="Times New Roman" w:cs="Times New Roman"/>
          <w:i/>
          <w:iCs/>
          <w:sz w:val="24"/>
          <w:szCs w:val="24"/>
          <w:vertAlign w:val="subscript"/>
        </w:rPr>
        <w:t>11</w:t>
      </w:r>
      <w:r w:rsidRPr="00031A06">
        <w:rPr>
          <w:rFonts w:ascii="Times New Roman" w:hAnsi="Times New Roman" w:cs="Times New Roman"/>
          <w:sz w:val="24"/>
          <w:szCs w:val="24"/>
        </w:rPr>
        <w:t xml:space="preserve"> close to 1 due to high conductivity and reflection; therefore</w:t>
      </w:r>
      <w:r w:rsidR="00031A06">
        <w:rPr>
          <w:rFonts w:ascii="Times New Roman" w:hAnsi="Times New Roman" w:cs="Times New Roman" w:hint="eastAsia"/>
          <w:sz w:val="24"/>
          <w:szCs w:val="24"/>
        </w:rPr>
        <w:t>,</w:t>
      </w:r>
      <w:r w:rsidRPr="00031A06">
        <w:rPr>
          <w:rFonts w:ascii="Times New Roman" w:hAnsi="Times New Roman" w:cs="Times New Roman"/>
          <w:sz w:val="24"/>
          <w:szCs w:val="24"/>
        </w:rPr>
        <w:t xml:space="preserve"> the calculated values of </w:t>
      </w:r>
      <w:r w:rsidRPr="00031A06">
        <w:rPr>
          <w:rFonts w:ascii="Times New Roman" w:eastAsiaTheme="minorHAnsi" w:hAnsi="Times New Roman" w:cs="Times New Roman"/>
          <w:i/>
          <w:iCs/>
          <w:sz w:val="24"/>
          <w:szCs w:val="24"/>
        </w:rPr>
        <w:t>ε</w:t>
      </w:r>
      <w:r w:rsidRPr="00031A06">
        <w:rPr>
          <w:rFonts w:ascii="Times New Roman" w:eastAsiaTheme="minorHAnsi" w:hAnsi="Times New Roman" w:cs="Times New Roman"/>
          <w:sz w:val="24"/>
          <w:szCs w:val="24"/>
        </w:rPr>
        <w:t xml:space="preserve"> and </w:t>
      </w:r>
      <w:r w:rsidRPr="00031A06">
        <w:rPr>
          <w:rFonts w:ascii="Times New Roman" w:eastAsiaTheme="minorHAnsi" w:hAnsi="Times New Roman" w:cs="Times New Roman"/>
          <w:i/>
          <w:iCs/>
          <w:sz w:val="24"/>
          <w:szCs w:val="24"/>
        </w:rPr>
        <w:t>μ</w:t>
      </w:r>
      <w:r w:rsidRPr="00031A06">
        <w:rPr>
          <w:rFonts w:ascii="Times New Roman" w:eastAsiaTheme="minorHAnsi" w:hAnsi="Times New Roman" w:cs="Times New Roman"/>
          <w:sz w:val="24"/>
          <w:szCs w:val="24"/>
        </w:rPr>
        <w:t xml:space="preserve"> were unreliable. To increase the reliability of permittivity and permeability measurements, an SWCNT/PBTTT thin film on a polyamide substrate was mounted and </w:t>
      </w:r>
      <w:r w:rsidRPr="00031A06">
        <w:rPr>
          <w:rFonts w:ascii="Times New Roman" w:eastAsiaTheme="minorHAnsi" w:hAnsi="Times New Roman" w:cs="Times New Roman"/>
          <w:sz w:val="24"/>
          <w:szCs w:val="24"/>
        </w:rPr>
        <w:t>compared in the pristine, F4TCNQ-, and AuCl</w:t>
      </w:r>
      <w:r w:rsidRPr="00031A06">
        <w:rPr>
          <w:rFonts w:ascii="Times New Roman" w:eastAsiaTheme="minorHAnsi" w:hAnsi="Times New Roman" w:cs="Times New Roman"/>
          <w:sz w:val="24"/>
          <w:szCs w:val="24"/>
          <w:vertAlign w:val="subscript"/>
        </w:rPr>
        <w:t>3</w:t>
      </w:r>
      <w:r w:rsidRPr="00031A06">
        <w:rPr>
          <w:rFonts w:ascii="Times New Roman" w:eastAsiaTheme="minorHAnsi" w:hAnsi="Times New Roman" w:cs="Times New Roman"/>
          <w:sz w:val="24"/>
          <w:szCs w:val="24"/>
        </w:rPr>
        <w:t>-doped states. The electrical conductivity of the F4TCNQ- and AuCl</w:t>
      </w:r>
      <w:r w:rsidRPr="00031A06">
        <w:rPr>
          <w:rFonts w:ascii="Times New Roman" w:eastAsiaTheme="minorHAnsi" w:hAnsi="Times New Roman" w:cs="Times New Roman"/>
          <w:sz w:val="24"/>
          <w:szCs w:val="24"/>
          <w:vertAlign w:val="subscript"/>
        </w:rPr>
        <w:t>3</w:t>
      </w:r>
      <w:r w:rsidRPr="00031A06">
        <w:rPr>
          <w:rFonts w:ascii="Times New Roman" w:eastAsiaTheme="minorHAnsi" w:hAnsi="Times New Roman" w:cs="Times New Roman"/>
          <w:sz w:val="24"/>
          <w:szCs w:val="24"/>
        </w:rPr>
        <w:t>-doped CNT/PBTTT thin film was similarly adjusted to 500 S/cm by controlling the concentration of dopant solution (F4TCNQ at 0.005 wt.% and AuCl</w:t>
      </w:r>
      <w:r w:rsidRPr="00031A06">
        <w:rPr>
          <w:rFonts w:ascii="Times New Roman" w:eastAsiaTheme="minorHAnsi" w:hAnsi="Times New Roman" w:cs="Times New Roman"/>
          <w:sz w:val="24"/>
          <w:szCs w:val="24"/>
          <w:vertAlign w:val="subscript"/>
        </w:rPr>
        <w:t>3</w:t>
      </w:r>
      <w:r w:rsidRPr="00031A06">
        <w:rPr>
          <w:rFonts w:ascii="Times New Roman" w:eastAsiaTheme="minorHAnsi" w:hAnsi="Times New Roman" w:cs="Times New Roman"/>
          <w:sz w:val="24"/>
          <w:szCs w:val="24"/>
        </w:rPr>
        <w:t xml:space="preserve"> at 0.0025 wt.%)</w:t>
      </w:r>
      <w:r w:rsidR="00805215" w:rsidRPr="00031A06">
        <w:rPr>
          <w:rFonts w:ascii="Times New Roman" w:eastAsiaTheme="minorHAnsi" w:hAnsi="Times New Roman" w:cs="Times New Roman"/>
          <w:sz w:val="24"/>
          <w:szCs w:val="24"/>
        </w:rPr>
        <w:t xml:space="preserve"> with a soaking time of 10 min</w:t>
      </w:r>
      <w:r w:rsidRPr="00031A06">
        <w:rPr>
          <w:rFonts w:ascii="Times New Roman" w:eastAsiaTheme="minorHAnsi" w:hAnsi="Times New Roman" w:cs="Times New Roman"/>
          <w:sz w:val="24"/>
          <w:szCs w:val="24"/>
        </w:rPr>
        <w:t xml:space="preserve">, to compare </w:t>
      </w:r>
      <w:r w:rsidRPr="00031A06">
        <w:rPr>
          <w:rFonts w:ascii="Times New Roman" w:eastAsiaTheme="minorHAnsi" w:hAnsi="Times New Roman" w:cs="Times New Roman"/>
          <w:i/>
          <w:iCs/>
          <w:sz w:val="24"/>
          <w:szCs w:val="24"/>
        </w:rPr>
        <w:t>ε</w:t>
      </w:r>
      <w:r w:rsidRPr="00031A06">
        <w:rPr>
          <w:rFonts w:ascii="Times New Roman" w:eastAsiaTheme="minorHAnsi" w:hAnsi="Times New Roman" w:cs="Times New Roman"/>
          <w:sz w:val="24"/>
          <w:szCs w:val="24"/>
        </w:rPr>
        <w:t xml:space="preserve"> values at the similar conductivity levels.</w:t>
      </w:r>
    </w:p>
    <w:p w14:paraId="478E692E" w14:textId="77777777" w:rsidR="0015669C" w:rsidRPr="00031A06" w:rsidRDefault="0015669C" w:rsidP="00031A06">
      <w:pPr>
        <w:wordWrap/>
        <w:spacing w:after="0" w:line="480" w:lineRule="auto"/>
        <w:rPr>
          <w:rFonts w:ascii="Times New Roman" w:eastAsiaTheme="minorHAnsi" w:hAnsi="Times New Roman" w:cs="Times New Roman"/>
          <w:sz w:val="24"/>
          <w:szCs w:val="24"/>
        </w:rPr>
      </w:pPr>
    </w:p>
    <w:p w14:paraId="3D65D2EB" w14:textId="77777777" w:rsidR="0015669C" w:rsidRPr="00031A06" w:rsidRDefault="0015669C" w:rsidP="00031A06">
      <w:pPr>
        <w:widowControl/>
        <w:wordWrap/>
        <w:autoSpaceDE/>
        <w:autoSpaceDN/>
        <w:spacing w:line="480" w:lineRule="auto"/>
        <w:rPr>
          <w:rFonts w:ascii="Times New Roman" w:eastAsiaTheme="minorHAnsi" w:hAnsi="Times New Roman" w:cs="Times New Roman"/>
          <w:b/>
          <w:bCs/>
          <w:sz w:val="24"/>
          <w:szCs w:val="24"/>
        </w:rPr>
      </w:pPr>
      <w:r w:rsidRPr="00031A06">
        <w:rPr>
          <w:rFonts w:ascii="Times New Roman" w:eastAsiaTheme="minorHAnsi" w:hAnsi="Times New Roman" w:cs="Times New Roman"/>
          <w:b/>
          <w:bCs/>
          <w:sz w:val="24"/>
          <w:szCs w:val="24"/>
        </w:rPr>
        <w:br w:type="page"/>
      </w:r>
    </w:p>
    <w:p w14:paraId="0659469C" w14:textId="77777777" w:rsidR="0015669C" w:rsidRPr="00031A06" w:rsidRDefault="0015669C" w:rsidP="00031A06">
      <w:pPr>
        <w:wordWrap/>
        <w:spacing w:after="0" w:line="240" w:lineRule="auto"/>
        <w:rPr>
          <w:rFonts w:ascii="Times New Roman" w:eastAsiaTheme="minorHAnsi" w:hAnsi="Times New Roman" w:cs="Times New Roman"/>
          <w:sz w:val="24"/>
          <w:szCs w:val="24"/>
        </w:rPr>
      </w:pPr>
      <w:r w:rsidRPr="00031A06">
        <w:rPr>
          <w:rFonts w:ascii="Times New Roman" w:eastAsiaTheme="minorHAnsi" w:hAnsi="Times New Roman" w:cs="Times New Roman"/>
          <w:b/>
          <w:bCs/>
          <w:sz w:val="24"/>
          <w:szCs w:val="24"/>
        </w:rPr>
        <w:lastRenderedPageBreak/>
        <w:t>Table S1</w:t>
      </w:r>
      <w:r w:rsidRPr="00031A06">
        <w:rPr>
          <w:rFonts w:ascii="Times New Roman" w:eastAsiaTheme="minorHAnsi" w:hAnsi="Times New Roman" w:cs="Times New Roman"/>
          <w:sz w:val="24"/>
          <w:szCs w:val="24"/>
        </w:rPr>
        <w:t xml:space="preserve"> Comparison of EMI shielding performance, mechanical properties, folding reliability of representative EMI shielding materials</w:t>
      </w:r>
    </w:p>
    <w:tbl>
      <w:tblPr>
        <w:tblStyle w:val="a8"/>
        <w:tblW w:w="9018" w:type="dxa"/>
        <w:tblLayout w:type="fixed"/>
        <w:tblLook w:val="04A0" w:firstRow="1" w:lastRow="0" w:firstColumn="1" w:lastColumn="0" w:noHBand="0" w:noVBand="1"/>
      </w:tblPr>
      <w:tblGrid>
        <w:gridCol w:w="1980"/>
        <w:gridCol w:w="1134"/>
        <w:gridCol w:w="992"/>
        <w:gridCol w:w="992"/>
        <w:gridCol w:w="993"/>
        <w:gridCol w:w="1139"/>
        <w:gridCol w:w="992"/>
        <w:gridCol w:w="796"/>
      </w:tblGrid>
      <w:tr w:rsidR="00031A06" w:rsidRPr="00031A06" w14:paraId="6E080D45" w14:textId="77777777" w:rsidTr="00732981">
        <w:trPr>
          <w:trHeight w:val="24"/>
        </w:trPr>
        <w:tc>
          <w:tcPr>
            <w:tcW w:w="1980" w:type="dxa"/>
            <w:tcBorders>
              <w:top w:val="single" w:sz="12" w:space="0" w:color="auto"/>
              <w:left w:val="nil"/>
              <w:bottom w:val="single" w:sz="12" w:space="0" w:color="auto"/>
              <w:right w:val="nil"/>
            </w:tcBorders>
            <w:vAlign w:val="center"/>
          </w:tcPr>
          <w:p w14:paraId="29F67BD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Materials</w:t>
            </w:r>
            <w:r w:rsidRPr="00031A06">
              <w:rPr>
                <w:rFonts w:ascii="Times New Roman" w:eastAsiaTheme="minorHAnsi" w:hAnsi="Times New Roman" w:cs="Times New Roman"/>
                <w:szCs w:val="20"/>
                <w:vertAlign w:val="superscript"/>
              </w:rPr>
              <w:t>1</w:t>
            </w:r>
          </w:p>
        </w:tc>
        <w:tc>
          <w:tcPr>
            <w:tcW w:w="1134" w:type="dxa"/>
            <w:tcBorders>
              <w:top w:val="single" w:sz="12" w:space="0" w:color="auto"/>
              <w:left w:val="nil"/>
              <w:bottom w:val="single" w:sz="12" w:space="0" w:color="auto"/>
              <w:right w:val="nil"/>
            </w:tcBorders>
            <w:vAlign w:val="center"/>
          </w:tcPr>
          <w:p w14:paraId="6FFA485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Thickness</w:t>
            </w:r>
          </w:p>
          <w:p w14:paraId="6FB60BE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lang w:val="de-DE"/>
              </w:rPr>
              <w:t>[</w:t>
            </w:r>
            <w:r w:rsidRPr="00031A06">
              <w:rPr>
                <w:rFonts w:ascii="Times New Roman" w:eastAsiaTheme="minorHAnsi" w:hAnsi="Times New Roman" w:cs="Times New Roman"/>
                <w:szCs w:val="20"/>
                <w:lang w:val="el-GR"/>
              </w:rPr>
              <w:t>μ</w:t>
            </w:r>
            <w:r w:rsidRPr="00031A06">
              <w:rPr>
                <w:rFonts w:ascii="Times New Roman" w:eastAsiaTheme="minorHAnsi" w:hAnsi="Times New Roman" w:cs="Times New Roman"/>
                <w:szCs w:val="20"/>
                <w:lang w:val="de-DE"/>
              </w:rPr>
              <w:t>m]</w:t>
            </w:r>
          </w:p>
        </w:tc>
        <w:tc>
          <w:tcPr>
            <w:tcW w:w="992" w:type="dxa"/>
            <w:tcBorders>
              <w:top w:val="single" w:sz="12" w:space="0" w:color="auto"/>
              <w:left w:val="nil"/>
              <w:bottom w:val="single" w:sz="12" w:space="0" w:color="auto"/>
              <w:right w:val="nil"/>
            </w:tcBorders>
            <w:vAlign w:val="center"/>
          </w:tcPr>
          <w:p w14:paraId="35F3256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EMI SE</w:t>
            </w:r>
          </w:p>
          <w:p w14:paraId="4BEE0EA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[dB]</w:t>
            </w:r>
          </w:p>
        </w:tc>
        <w:tc>
          <w:tcPr>
            <w:tcW w:w="992" w:type="dxa"/>
            <w:tcBorders>
              <w:top w:val="single" w:sz="12" w:space="0" w:color="auto"/>
              <w:left w:val="nil"/>
              <w:bottom w:val="single" w:sz="12" w:space="0" w:color="auto"/>
              <w:right w:val="nil"/>
            </w:tcBorders>
            <w:vAlign w:val="center"/>
          </w:tcPr>
          <w:p w14:paraId="06B5AFC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Young’s modulus</w:t>
            </w:r>
          </w:p>
          <w:p w14:paraId="03264B1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[GPa]</w:t>
            </w:r>
          </w:p>
        </w:tc>
        <w:tc>
          <w:tcPr>
            <w:tcW w:w="993" w:type="dxa"/>
            <w:tcBorders>
              <w:top w:val="single" w:sz="12" w:space="0" w:color="auto"/>
              <w:left w:val="nil"/>
              <w:bottom w:val="single" w:sz="12" w:space="0" w:color="auto"/>
              <w:right w:val="nil"/>
            </w:tcBorders>
            <w:vAlign w:val="center"/>
          </w:tcPr>
          <w:p w14:paraId="6F1AFE8D"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Tensile strength</w:t>
            </w:r>
          </w:p>
          <w:p w14:paraId="79A4619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[MPa]</w:t>
            </w:r>
          </w:p>
        </w:tc>
        <w:tc>
          <w:tcPr>
            <w:tcW w:w="1139" w:type="dxa"/>
            <w:tcBorders>
              <w:top w:val="single" w:sz="12" w:space="0" w:color="auto"/>
              <w:left w:val="nil"/>
              <w:bottom w:val="single" w:sz="12" w:space="0" w:color="auto"/>
              <w:right w:val="nil"/>
            </w:tcBorders>
            <w:vAlign w:val="center"/>
          </w:tcPr>
          <w:p w14:paraId="3240735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Folding reliability</w:t>
            </w:r>
          </w:p>
          <w:p w14:paraId="6D966F5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[Cycles @ radius]</w:t>
            </w:r>
          </w:p>
        </w:tc>
        <w:tc>
          <w:tcPr>
            <w:tcW w:w="992" w:type="dxa"/>
            <w:tcBorders>
              <w:top w:val="single" w:sz="12" w:space="0" w:color="auto"/>
              <w:left w:val="nil"/>
              <w:bottom w:val="single" w:sz="12" w:space="0" w:color="auto"/>
              <w:right w:val="nil"/>
            </w:tcBorders>
            <w:vAlign w:val="center"/>
          </w:tcPr>
          <w:p w14:paraId="3F3AD53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EMI SE</w:t>
            </w:r>
          </w:p>
          <w:p w14:paraId="4F129332"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retention rate [%]</w:t>
            </w:r>
          </w:p>
        </w:tc>
        <w:tc>
          <w:tcPr>
            <w:tcW w:w="796" w:type="dxa"/>
            <w:tcBorders>
              <w:top w:val="single" w:sz="12" w:space="0" w:color="auto"/>
              <w:left w:val="nil"/>
              <w:bottom w:val="single" w:sz="12" w:space="0" w:color="auto"/>
              <w:right w:val="nil"/>
            </w:tcBorders>
            <w:vAlign w:val="center"/>
          </w:tcPr>
          <w:p w14:paraId="16A5B471"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Ref.</w:t>
            </w:r>
          </w:p>
        </w:tc>
      </w:tr>
      <w:tr w:rsidR="00031A06" w:rsidRPr="00031A06" w14:paraId="3B7EE812" w14:textId="77777777" w:rsidTr="00732981">
        <w:trPr>
          <w:trHeight w:val="460"/>
        </w:trPr>
        <w:tc>
          <w:tcPr>
            <w:tcW w:w="1980" w:type="dxa"/>
            <w:tcBorders>
              <w:top w:val="single" w:sz="12" w:space="0" w:color="auto"/>
              <w:left w:val="nil"/>
              <w:bottom w:val="single" w:sz="4" w:space="0" w:color="auto"/>
              <w:right w:val="nil"/>
            </w:tcBorders>
            <w:vAlign w:val="center"/>
          </w:tcPr>
          <w:p w14:paraId="45F1EF1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CNT/NR</w:t>
            </w:r>
          </w:p>
        </w:tc>
        <w:tc>
          <w:tcPr>
            <w:tcW w:w="1134" w:type="dxa"/>
            <w:tcBorders>
              <w:top w:val="single" w:sz="12" w:space="0" w:color="auto"/>
              <w:left w:val="nil"/>
              <w:bottom w:val="single" w:sz="4" w:space="0" w:color="auto"/>
              <w:right w:val="nil"/>
            </w:tcBorders>
            <w:vAlign w:val="center"/>
          </w:tcPr>
          <w:p w14:paraId="6D6D920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2600</w:t>
            </w:r>
          </w:p>
        </w:tc>
        <w:tc>
          <w:tcPr>
            <w:tcW w:w="992" w:type="dxa"/>
            <w:tcBorders>
              <w:top w:val="single" w:sz="12" w:space="0" w:color="auto"/>
              <w:left w:val="nil"/>
              <w:bottom w:val="single" w:sz="4" w:space="0" w:color="auto"/>
              <w:right w:val="nil"/>
            </w:tcBorders>
            <w:vAlign w:val="center"/>
          </w:tcPr>
          <w:p w14:paraId="1F88067D"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43.5</w:t>
            </w:r>
          </w:p>
        </w:tc>
        <w:tc>
          <w:tcPr>
            <w:tcW w:w="992" w:type="dxa"/>
            <w:tcBorders>
              <w:top w:val="single" w:sz="12" w:space="0" w:color="auto"/>
              <w:left w:val="nil"/>
              <w:bottom w:val="single" w:sz="4" w:space="0" w:color="auto"/>
              <w:right w:val="nil"/>
            </w:tcBorders>
            <w:vAlign w:val="center"/>
          </w:tcPr>
          <w:p w14:paraId="406DAB4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0.004</w:t>
            </w:r>
          </w:p>
        </w:tc>
        <w:tc>
          <w:tcPr>
            <w:tcW w:w="993" w:type="dxa"/>
            <w:tcBorders>
              <w:top w:val="single" w:sz="12" w:space="0" w:color="auto"/>
              <w:left w:val="nil"/>
              <w:bottom w:val="single" w:sz="4" w:space="0" w:color="auto"/>
              <w:right w:val="nil"/>
            </w:tcBorders>
            <w:vAlign w:val="center"/>
          </w:tcPr>
          <w:p w14:paraId="4A50694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10.6</w:t>
            </w:r>
          </w:p>
        </w:tc>
        <w:tc>
          <w:tcPr>
            <w:tcW w:w="1139" w:type="dxa"/>
            <w:tcBorders>
              <w:top w:val="single" w:sz="12" w:space="0" w:color="auto"/>
              <w:left w:val="nil"/>
              <w:bottom w:val="single" w:sz="4" w:space="0" w:color="auto"/>
              <w:right w:val="nil"/>
            </w:tcBorders>
            <w:vAlign w:val="center"/>
          </w:tcPr>
          <w:p w14:paraId="09E4BD1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5000</w:t>
            </w:r>
          </w:p>
          <w:p w14:paraId="2737CAF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 2R</w:t>
            </w:r>
          </w:p>
        </w:tc>
        <w:tc>
          <w:tcPr>
            <w:tcW w:w="992" w:type="dxa"/>
            <w:tcBorders>
              <w:top w:val="single" w:sz="12" w:space="0" w:color="auto"/>
              <w:left w:val="nil"/>
              <w:bottom w:val="single" w:sz="4" w:space="0" w:color="auto"/>
              <w:right w:val="nil"/>
            </w:tcBorders>
            <w:vAlign w:val="center"/>
          </w:tcPr>
          <w:p w14:paraId="22723FD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94</w:t>
            </w:r>
          </w:p>
        </w:tc>
        <w:tc>
          <w:tcPr>
            <w:tcW w:w="796" w:type="dxa"/>
            <w:tcBorders>
              <w:top w:val="single" w:sz="12" w:space="0" w:color="auto"/>
              <w:left w:val="nil"/>
              <w:bottom w:val="single" w:sz="4" w:space="0" w:color="auto"/>
              <w:right w:val="nil"/>
            </w:tcBorders>
            <w:vAlign w:val="center"/>
          </w:tcPr>
          <w:p w14:paraId="14091532" w14:textId="41636FC2"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4]</w:t>
            </w:r>
          </w:p>
        </w:tc>
      </w:tr>
      <w:tr w:rsidR="00031A06" w:rsidRPr="00031A06" w14:paraId="3E56CBDC" w14:textId="77777777" w:rsidTr="00732981">
        <w:trPr>
          <w:trHeight w:val="460"/>
        </w:trPr>
        <w:tc>
          <w:tcPr>
            <w:tcW w:w="1980" w:type="dxa"/>
            <w:tcBorders>
              <w:top w:val="single" w:sz="4" w:space="0" w:color="auto"/>
              <w:left w:val="nil"/>
              <w:bottom w:val="single" w:sz="4" w:space="0" w:color="auto"/>
              <w:right w:val="nil"/>
            </w:tcBorders>
            <w:vAlign w:val="center"/>
          </w:tcPr>
          <w:p w14:paraId="0E99CA4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PU-AgNW/CFF</w:t>
            </w:r>
          </w:p>
        </w:tc>
        <w:tc>
          <w:tcPr>
            <w:tcW w:w="1134" w:type="dxa"/>
            <w:tcBorders>
              <w:top w:val="single" w:sz="4" w:space="0" w:color="auto"/>
              <w:left w:val="nil"/>
              <w:bottom w:val="single" w:sz="4" w:space="0" w:color="auto"/>
              <w:right w:val="nil"/>
            </w:tcBorders>
            <w:vAlign w:val="center"/>
          </w:tcPr>
          <w:p w14:paraId="3CF1505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360</w:t>
            </w:r>
          </w:p>
        </w:tc>
        <w:tc>
          <w:tcPr>
            <w:tcW w:w="992" w:type="dxa"/>
            <w:tcBorders>
              <w:top w:val="single" w:sz="4" w:space="0" w:color="auto"/>
              <w:left w:val="nil"/>
              <w:bottom w:val="single" w:sz="4" w:space="0" w:color="auto"/>
              <w:right w:val="nil"/>
            </w:tcBorders>
            <w:vAlign w:val="center"/>
          </w:tcPr>
          <w:p w14:paraId="10A512C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106</w:t>
            </w:r>
          </w:p>
        </w:tc>
        <w:tc>
          <w:tcPr>
            <w:tcW w:w="992" w:type="dxa"/>
            <w:tcBorders>
              <w:top w:val="single" w:sz="4" w:space="0" w:color="auto"/>
              <w:left w:val="nil"/>
              <w:bottom w:val="single" w:sz="4" w:space="0" w:color="auto"/>
              <w:right w:val="nil"/>
            </w:tcBorders>
            <w:vAlign w:val="center"/>
          </w:tcPr>
          <w:p w14:paraId="27CEDE1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0.037</w:t>
            </w:r>
          </w:p>
        </w:tc>
        <w:tc>
          <w:tcPr>
            <w:tcW w:w="993" w:type="dxa"/>
            <w:tcBorders>
              <w:top w:val="single" w:sz="4" w:space="0" w:color="auto"/>
              <w:left w:val="nil"/>
              <w:bottom w:val="single" w:sz="4" w:space="0" w:color="auto"/>
              <w:right w:val="nil"/>
            </w:tcBorders>
            <w:vAlign w:val="center"/>
          </w:tcPr>
          <w:p w14:paraId="462C261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9.6</w:t>
            </w:r>
          </w:p>
        </w:tc>
        <w:tc>
          <w:tcPr>
            <w:tcW w:w="1139" w:type="dxa"/>
            <w:tcBorders>
              <w:top w:val="single" w:sz="4" w:space="0" w:color="auto"/>
              <w:left w:val="nil"/>
              <w:bottom w:val="single" w:sz="4" w:space="0" w:color="auto"/>
              <w:right w:val="nil"/>
            </w:tcBorders>
            <w:vAlign w:val="center"/>
          </w:tcPr>
          <w:p w14:paraId="26BD867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5000</w:t>
            </w:r>
          </w:p>
          <w:p w14:paraId="4FDB40D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 2R</w:t>
            </w:r>
          </w:p>
        </w:tc>
        <w:tc>
          <w:tcPr>
            <w:tcW w:w="992" w:type="dxa"/>
            <w:tcBorders>
              <w:top w:val="single" w:sz="4" w:space="0" w:color="auto"/>
              <w:left w:val="nil"/>
              <w:bottom w:val="single" w:sz="4" w:space="0" w:color="auto"/>
              <w:right w:val="nil"/>
            </w:tcBorders>
            <w:vAlign w:val="center"/>
          </w:tcPr>
          <w:p w14:paraId="295457B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97</w:t>
            </w:r>
          </w:p>
        </w:tc>
        <w:tc>
          <w:tcPr>
            <w:tcW w:w="796" w:type="dxa"/>
            <w:tcBorders>
              <w:top w:val="single" w:sz="4" w:space="0" w:color="auto"/>
              <w:left w:val="nil"/>
              <w:bottom w:val="single" w:sz="4" w:space="0" w:color="auto"/>
              <w:right w:val="nil"/>
            </w:tcBorders>
            <w:vAlign w:val="center"/>
          </w:tcPr>
          <w:p w14:paraId="23B6FEB9" w14:textId="0226252F"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5]</w:t>
            </w:r>
          </w:p>
        </w:tc>
      </w:tr>
      <w:tr w:rsidR="00031A06" w:rsidRPr="00031A06" w14:paraId="5E1B83AD" w14:textId="77777777" w:rsidTr="00732981">
        <w:trPr>
          <w:trHeight w:val="460"/>
        </w:trPr>
        <w:tc>
          <w:tcPr>
            <w:tcW w:w="1980" w:type="dxa"/>
            <w:tcBorders>
              <w:top w:val="single" w:sz="4" w:space="0" w:color="auto"/>
              <w:left w:val="nil"/>
              <w:bottom w:val="single" w:sz="4" w:space="0" w:color="auto"/>
              <w:right w:val="nil"/>
            </w:tcBorders>
            <w:vAlign w:val="center"/>
          </w:tcPr>
          <w:p w14:paraId="22D789C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Ag-CNT</w:t>
            </w:r>
          </w:p>
        </w:tc>
        <w:tc>
          <w:tcPr>
            <w:tcW w:w="1134" w:type="dxa"/>
            <w:tcBorders>
              <w:top w:val="single" w:sz="4" w:space="0" w:color="auto"/>
              <w:left w:val="nil"/>
              <w:bottom w:val="single" w:sz="4" w:space="0" w:color="auto"/>
              <w:right w:val="nil"/>
            </w:tcBorders>
            <w:vAlign w:val="center"/>
          </w:tcPr>
          <w:p w14:paraId="41CE068A"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7.8</w:t>
            </w:r>
          </w:p>
        </w:tc>
        <w:tc>
          <w:tcPr>
            <w:tcW w:w="992" w:type="dxa"/>
            <w:tcBorders>
              <w:top w:val="single" w:sz="4" w:space="0" w:color="auto"/>
              <w:left w:val="nil"/>
              <w:bottom w:val="single" w:sz="4" w:space="0" w:color="auto"/>
              <w:right w:val="nil"/>
            </w:tcBorders>
            <w:vAlign w:val="center"/>
          </w:tcPr>
          <w:p w14:paraId="17DDB52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66</w:t>
            </w:r>
          </w:p>
        </w:tc>
        <w:tc>
          <w:tcPr>
            <w:tcW w:w="992" w:type="dxa"/>
            <w:tcBorders>
              <w:top w:val="single" w:sz="4" w:space="0" w:color="auto"/>
              <w:left w:val="nil"/>
              <w:bottom w:val="single" w:sz="4" w:space="0" w:color="auto"/>
              <w:right w:val="nil"/>
            </w:tcBorders>
            <w:vAlign w:val="center"/>
          </w:tcPr>
          <w:p w14:paraId="2F7B448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8.9</w:t>
            </w:r>
          </w:p>
        </w:tc>
        <w:tc>
          <w:tcPr>
            <w:tcW w:w="993" w:type="dxa"/>
            <w:tcBorders>
              <w:top w:val="single" w:sz="4" w:space="0" w:color="auto"/>
              <w:left w:val="nil"/>
              <w:bottom w:val="single" w:sz="4" w:space="0" w:color="auto"/>
              <w:right w:val="nil"/>
            </w:tcBorders>
            <w:vAlign w:val="center"/>
          </w:tcPr>
          <w:p w14:paraId="2701B595"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76.1</w:t>
            </w:r>
          </w:p>
        </w:tc>
        <w:tc>
          <w:tcPr>
            <w:tcW w:w="1139" w:type="dxa"/>
            <w:tcBorders>
              <w:top w:val="single" w:sz="4" w:space="0" w:color="auto"/>
              <w:left w:val="nil"/>
              <w:bottom w:val="single" w:sz="4" w:space="0" w:color="auto"/>
              <w:right w:val="nil"/>
            </w:tcBorders>
            <w:vAlign w:val="center"/>
          </w:tcPr>
          <w:p w14:paraId="1B43CCED" w14:textId="1935DCF6"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2000</w:t>
            </w:r>
          </w:p>
        </w:tc>
        <w:tc>
          <w:tcPr>
            <w:tcW w:w="992" w:type="dxa"/>
            <w:tcBorders>
              <w:top w:val="single" w:sz="4" w:space="0" w:color="auto"/>
              <w:left w:val="nil"/>
              <w:bottom w:val="single" w:sz="4" w:space="0" w:color="auto"/>
              <w:right w:val="nil"/>
            </w:tcBorders>
            <w:vAlign w:val="center"/>
          </w:tcPr>
          <w:p w14:paraId="1319688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94</w:t>
            </w:r>
          </w:p>
        </w:tc>
        <w:tc>
          <w:tcPr>
            <w:tcW w:w="796" w:type="dxa"/>
            <w:tcBorders>
              <w:top w:val="single" w:sz="4" w:space="0" w:color="auto"/>
              <w:left w:val="nil"/>
              <w:bottom w:val="single" w:sz="4" w:space="0" w:color="auto"/>
              <w:right w:val="nil"/>
            </w:tcBorders>
            <w:vAlign w:val="center"/>
          </w:tcPr>
          <w:p w14:paraId="50CCDBDD" w14:textId="43AF7C52"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6]</w:t>
            </w:r>
          </w:p>
        </w:tc>
      </w:tr>
      <w:tr w:rsidR="00031A06" w:rsidRPr="00031A06" w14:paraId="6F5D5B95" w14:textId="77777777" w:rsidTr="00732981">
        <w:trPr>
          <w:trHeight w:val="460"/>
        </w:trPr>
        <w:tc>
          <w:tcPr>
            <w:tcW w:w="1980" w:type="dxa"/>
            <w:tcBorders>
              <w:top w:val="single" w:sz="4" w:space="0" w:color="auto"/>
              <w:left w:val="nil"/>
              <w:bottom w:val="single" w:sz="4" w:space="0" w:color="auto"/>
              <w:right w:val="nil"/>
            </w:tcBorders>
            <w:vAlign w:val="center"/>
          </w:tcPr>
          <w:p w14:paraId="60976E3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AgNW/Cellulose</w:t>
            </w:r>
          </w:p>
        </w:tc>
        <w:tc>
          <w:tcPr>
            <w:tcW w:w="1134" w:type="dxa"/>
            <w:tcBorders>
              <w:top w:val="single" w:sz="4" w:space="0" w:color="auto"/>
              <w:left w:val="nil"/>
              <w:bottom w:val="single" w:sz="4" w:space="0" w:color="auto"/>
              <w:right w:val="nil"/>
            </w:tcBorders>
            <w:vAlign w:val="center"/>
          </w:tcPr>
          <w:p w14:paraId="2C6D3E0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44.5</w:t>
            </w:r>
          </w:p>
        </w:tc>
        <w:tc>
          <w:tcPr>
            <w:tcW w:w="992" w:type="dxa"/>
            <w:tcBorders>
              <w:top w:val="single" w:sz="4" w:space="0" w:color="auto"/>
              <w:left w:val="nil"/>
              <w:bottom w:val="single" w:sz="4" w:space="0" w:color="auto"/>
              <w:right w:val="nil"/>
            </w:tcBorders>
            <w:vAlign w:val="center"/>
          </w:tcPr>
          <w:p w14:paraId="75F175E5"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101</w:t>
            </w:r>
          </w:p>
        </w:tc>
        <w:tc>
          <w:tcPr>
            <w:tcW w:w="992" w:type="dxa"/>
            <w:tcBorders>
              <w:top w:val="single" w:sz="4" w:space="0" w:color="auto"/>
              <w:left w:val="nil"/>
              <w:bottom w:val="single" w:sz="4" w:space="0" w:color="auto"/>
              <w:right w:val="nil"/>
            </w:tcBorders>
            <w:vAlign w:val="center"/>
          </w:tcPr>
          <w:p w14:paraId="4B44CCD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3.35</w:t>
            </w:r>
          </w:p>
        </w:tc>
        <w:tc>
          <w:tcPr>
            <w:tcW w:w="993" w:type="dxa"/>
            <w:tcBorders>
              <w:top w:val="single" w:sz="4" w:space="0" w:color="auto"/>
              <w:left w:val="nil"/>
              <w:bottom w:val="single" w:sz="4" w:space="0" w:color="auto"/>
              <w:right w:val="nil"/>
            </w:tcBorders>
            <w:vAlign w:val="center"/>
          </w:tcPr>
          <w:p w14:paraId="2973880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60.7</w:t>
            </w:r>
          </w:p>
        </w:tc>
        <w:tc>
          <w:tcPr>
            <w:tcW w:w="1139" w:type="dxa"/>
            <w:tcBorders>
              <w:top w:val="single" w:sz="4" w:space="0" w:color="auto"/>
              <w:left w:val="nil"/>
              <w:bottom w:val="single" w:sz="4" w:space="0" w:color="auto"/>
              <w:right w:val="nil"/>
            </w:tcBorders>
            <w:vAlign w:val="center"/>
          </w:tcPr>
          <w:p w14:paraId="325A7A76" w14:textId="0D189B8E"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1500</w:t>
            </w:r>
          </w:p>
        </w:tc>
        <w:tc>
          <w:tcPr>
            <w:tcW w:w="992" w:type="dxa"/>
            <w:tcBorders>
              <w:top w:val="single" w:sz="4" w:space="0" w:color="auto"/>
              <w:left w:val="nil"/>
              <w:bottom w:val="single" w:sz="4" w:space="0" w:color="auto"/>
              <w:right w:val="nil"/>
            </w:tcBorders>
            <w:vAlign w:val="center"/>
          </w:tcPr>
          <w:p w14:paraId="5418C50D"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94</w:t>
            </w:r>
          </w:p>
        </w:tc>
        <w:tc>
          <w:tcPr>
            <w:tcW w:w="796" w:type="dxa"/>
            <w:tcBorders>
              <w:top w:val="single" w:sz="4" w:space="0" w:color="auto"/>
              <w:left w:val="nil"/>
              <w:bottom w:val="single" w:sz="4" w:space="0" w:color="auto"/>
              <w:right w:val="nil"/>
            </w:tcBorders>
            <w:vAlign w:val="center"/>
          </w:tcPr>
          <w:p w14:paraId="554C68CD" w14:textId="20EE3EAF"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7]</w:t>
            </w:r>
          </w:p>
        </w:tc>
      </w:tr>
      <w:tr w:rsidR="00031A06" w:rsidRPr="00031A06" w14:paraId="7F9F8091" w14:textId="77777777" w:rsidTr="00732981">
        <w:trPr>
          <w:trHeight w:val="460"/>
        </w:trPr>
        <w:tc>
          <w:tcPr>
            <w:tcW w:w="1980" w:type="dxa"/>
            <w:tcBorders>
              <w:top w:val="single" w:sz="4" w:space="0" w:color="auto"/>
              <w:left w:val="nil"/>
              <w:bottom w:val="single" w:sz="4" w:space="0" w:color="auto"/>
              <w:right w:val="nil"/>
            </w:tcBorders>
            <w:vAlign w:val="center"/>
          </w:tcPr>
          <w:p w14:paraId="6B8F5E8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lang w:val="pt-BR"/>
              </w:rPr>
              <w:t>GNS-Fe</w:t>
            </w:r>
            <w:r w:rsidRPr="00031A06">
              <w:rPr>
                <w:rFonts w:ascii="Times New Roman" w:eastAsiaTheme="minorHAnsi" w:hAnsi="Times New Roman" w:cs="Times New Roman"/>
                <w:szCs w:val="20"/>
                <w:vertAlign w:val="subscript"/>
                <w:lang w:val="pt-BR"/>
              </w:rPr>
              <w:t>3</w:t>
            </w:r>
            <w:r w:rsidRPr="00031A06">
              <w:rPr>
                <w:rFonts w:ascii="Times New Roman" w:eastAsiaTheme="minorHAnsi" w:hAnsi="Times New Roman" w:cs="Times New Roman"/>
                <w:szCs w:val="20"/>
                <w:lang w:val="pt-BR"/>
              </w:rPr>
              <w:t>O</w:t>
            </w:r>
            <w:r w:rsidRPr="00031A06">
              <w:rPr>
                <w:rFonts w:ascii="Times New Roman" w:eastAsiaTheme="minorHAnsi" w:hAnsi="Times New Roman" w:cs="Times New Roman"/>
                <w:szCs w:val="20"/>
                <w:vertAlign w:val="subscript"/>
                <w:lang w:val="pt-BR"/>
              </w:rPr>
              <w:t>4</w:t>
            </w:r>
            <w:r w:rsidRPr="00031A06">
              <w:rPr>
                <w:rFonts w:ascii="Times New Roman" w:eastAsiaTheme="minorHAnsi" w:hAnsi="Times New Roman" w:cs="Times New Roman"/>
                <w:szCs w:val="20"/>
                <w:lang w:val="pt-BR"/>
              </w:rPr>
              <w:t>/PVDF</w:t>
            </w:r>
          </w:p>
        </w:tc>
        <w:tc>
          <w:tcPr>
            <w:tcW w:w="1134" w:type="dxa"/>
            <w:tcBorders>
              <w:top w:val="single" w:sz="4" w:space="0" w:color="auto"/>
              <w:left w:val="nil"/>
              <w:bottom w:val="single" w:sz="4" w:space="0" w:color="auto"/>
              <w:right w:val="nil"/>
            </w:tcBorders>
            <w:vAlign w:val="center"/>
          </w:tcPr>
          <w:p w14:paraId="762A8DE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300</w:t>
            </w:r>
          </w:p>
        </w:tc>
        <w:tc>
          <w:tcPr>
            <w:tcW w:w="992" w:type="dxa"/>
            <w:tcBorders>
              <w:top w:val="single" w:sz="4" w:space="0" w:color="auto"/>
              <w:left w:val="nil"/>
              <w:bottom w:val="single" w:sz="4" w:space="0" w:color="auto"/>
              <w:right w:val="nil"/>
            </w:tcBorders>
            <w:vAlign w:val="center"/>
          </w:tcPr>
          <w:p w14:paraId="5992B28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52</w:t>
            </w:r>
          </w:p>
        </w:tc>
        <w:tc>
          <w:tcPr>
            <w:tcW w:w="992" w:type="dxa"/>
            <w:tcBorders>
              <w:top w:val="single" w:sz="4" w:space="0" w:color="auto"/>
              <w:left w:val="nil"/>
              <w:bottom w:val="single" w:sz="4" w:space="0" w:color="auto"/>
              <w:right w:val="nil"/>
            </w:tcBorders>
            <w:vAlign w:val="center"/>
          </w:tcPr>
          <w:p w14:paraId="6BD8D11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0.296</w:t>
            </w:r>
          </w:p>
        </w:tc>
        <w:tc>
          <w:tcPr>
            <w:tcW w:w="993" w:type="dxa"/>
            <w:tcBorders>
              <w:top w:val="single" w:sz="4" w:space="0" w:color="auto"/>
              <w:left w:val="nil"/>
              <w:bottom w:val="single" w:sz="4" w:space="0" w:color="auto"/>
              <w:right w:val="nil"/>
            </w:tcBorders>
            <w:vAlign w:val="center"/>
          </w:tcPr>
          <w:p w14:paraId="77DB5C7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16.6</w:t>
            </w:r>
          </w:p>
        </w:tc>
        <w:tc>
          <w:tcPr>
            <w:tcW w:w="1139" w:type="dxa"/>
            <w:tcBorders>
              <w:top w:val="single" w:sz="4" w:space="0" w:color="auto"/>
              <w:left w:val="nil"/>
              <w:bottom w:val="single" w:sz="4" w:space="0" w:color="auto"/>
              <w:right w:val="nil"/>
            </w:tcBorders>
            <w:vAlign w:val="center"/>
          </w:tcPr>
          <w:p w14:paraId="11DAEBF5" w14:textId="18F15EEB"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1000</w:t>
            </w:r>
          </w:p>
        </w:tc>
        <w:tc>
          <w:tcPr>
            <w:tcW w:w="992" w:type="dxa"/>
            <w:tcBorders>
              <w:top w:val="single" w:sz="4" w:space="0" w:color="auto"/>
              <w:left w:val="nil"/>
              <w:bottom w:val="single" w:sz="4" w:space="0" w:color="auto"/>
              <w:right w:val="nil"/>
            </w:tcBorders>
            <w:vAlign w:val="center"/>
          </w:tcPr>
          <w:p w14:paraId="169AE162"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91.9</w:t>
            </w:r>
          </w:p>
        </w:tc>
        <w:tc>
          <w:tcPr>
            <w:tcW w:w="796" w:type="dxa"/>
            <w:tcBorders>
              <w:top w:val="single" w:sz="4" w:space="0" w:color="auto"/>
              <w:left w:val="nil"/>
              <w:bottom w:val="single" w:sz="4" w:space="0" w:color="auto"/>
              <w:right w:val="nil"/>
            </w:tcBorders>
            <w:vAlign w:val="center"/>
          </w:tcPr>
          <w:p w14:paraId="4EC53C1A" w14:textId="5F5627B6"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8]</w:t>
            </w:r>
          </w:p>
        </w:tc>
      </w:tr>
      <w:tr w:rsidR="00031A06" w:rsidRPr="00031A06" w14:paraId="09A92740" w14:textId="77777777" w:rsidTr="00732981">
        <w:trPr>
          <w:trHeight w:val="460"/>
        </w:trPr>
        <w:tc>
          <w:tcPr>
            <w:tcW w:w="1980" w:type="dxa"/>
            <w:tcBorders>
              <w:top w:val="single" w:sz="4" w:space="0" w:color="auto"/>
              <w:left w:val="nil"/>
              <w:bottom w:val="single" w:sz="4" w:space="0" w:color="auto"/>
              <w:right w:val="nil"/>
            </w:tcBorders>
            <w:vAlign w:val="center"/>
          </w:tcPr>
          <w:p w14:paraId="251433B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Ag/NWF/FeCO</w:t>
            </w:r>
          </w:p>
          <w:p w14:paraId="130FA7E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@rGO/WPU</w:t>
            </w:r>
          </w:p>
        </w:tc>
        <w:tc>
          <w:tcPr>
            <w:tcW w:w="1134" w:type="dxa"/>
            <w:tcBorders>
              <w:top w:val="single" w:sz="4" w:space="0" w:color="auto"/>
              <w:left w:val="nil"/>
              <w:bottom w:val="single" w:sz="4" w:space="0" w:color="auto"/>
              <w:right w:val="nil"/>
            </w:tcBorders>
            <w:vAlign w:val="center"/>
          </w:tcPr>
          <w:p w14:paraId="5AA90EE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400</w:t>
            </w:r>
          </w:p>
        </w:tc>
        <w:tc>
          <w:tcPr>
            <w:tcW w:w="992" w:type="dxa"/>
            <w:tcBorders>
              <w:top w:val="single" w:sz="4" w:space="0" w:color="auto"/>
              <w:left w:val="nil"/>
              <w:bottom w:val="single" w:sz="4" w:space="0" w:color="auto"/>
              <w:right w:val="nil"/>
            </w:tcBorders>
            <w:vAlign w:val="center"/>
          </w:tcPr>
          <w:p w14:paraId="22AD806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77.1</w:t>
            </w:r>
          </w:p>
        </w:tc>
        <w:tc>
          <w:tcPr>
            <w:tcW w:w="992" w:type="dxa"/>
            <w:tcBorders>
              <w:top w:val="single" w:sz="4" w:space="0" w:color="auto"/>
              <w:left w:val="nil"/>
              <w:bottom w:val="single" w:sz="4" w:space="0" w:color="auto"/>
              <w:right w:val="nil"/>
            </w:tcBorders>
            <w:vAlign w:val="center"/>
          </w:tcPr>
          <w:p w14:paraId="7524742A"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0.187</w:t>
            </w:r>
          </w:p>
        </w:tc>
        <w:tc>
          <w:tcPr>
            <w:tcW w:w="993" w:type="dxa"/>
            <w:tcBorders>
              <w:top w:val="single" w:sz="4" w:space="0" w:color="auto"/>
              <w:left w:val="nil"/>
              <w:bottom w:val="single" w:sz="4" w:space="0" w:color="auto"/>
              <w:right w:val="nil"/>
            </w:tcBorders>
            <w:vAlign w:val="center"/>
          </w:tcPr>
          <w:p w14:paraId="128973A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7.8</w:t>
            </w:r>
          </w:p>
        </w:tc>
        <w:tc>
          <w:tcPr>
            <w:tcW w:w="1139" w:type="dxa"/>
            <w:tcBorders>
              <w:top w:val="single" w:sz="4" w:space="0" w:color="auto"/>
              <w:left w:val="nil"/>
              <w:bottom w:val="single" w:sz="4" w:space="0" w:color="auto"/>
              <w:right w:val="nil"/>
            </w:tcBorders>
            <w:vAlign w:val="center"/>
          </w:tcPr>
          <w:p w14:paraId="717B3844" w14:textId="051A0566"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1000</w:t>
            </w:r>
          </w:p>
        </w:tc>
        <w:tc>
          <w:tcPr>
            <w:tcW w:w="992" w:type="dxa"/>
            <w:tcBorders>
              <w:top w:val="single" w:sz="4" w:space="0" w:color="auto"/>
              <w:left w:val="nil"/>
              <w:bottom w:val="single" w:sz="4" w:space="0" w:color="auto"/>
              <w:right w:val="nil"/>
            </w:tcBorders>
            <w:vAlign w:val="center"/>
          </w:tcPr>
          <w:p w14:paraId="1F2A8E2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99.6</w:t>
            </w:r>
          </w:p>
        </w:tc>
        <w:tc>
          <w:tcPr>
            <w:tcW w:w="796" w:type="dxa"/>
            <w:tcBorders>
              <w:top w:val="single" w:sz="4" w:space="0" w:color="auto"/>
              <w:left w:val="nil"/>
              <w:bottom w:val="single" w:sz="4" w:space="0" w:color="auto"/>
              <w:right w:val="nil"/>
            </w:tcBorders>
            <w:vAlign w:val="center"/>
          </w:tcPr>
          <w:p w14:paraId="3E9C34FA" w14:textId="51F01680"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9]</w:t>
            </w:r>
          </w:p>
        </w:tc>
      </w:tr>
      <w:tr w:rsidR="00031A06" w:rsidRPr="00031A06" w14:paraId="1A77130F" w14:textId="77777777" w:rsidTr="00732981">
        <w:trPr>
          <w:trHeight w:val="460"/>
        </w:trPr>
        <w:tc>
          <w:tcPr>
            <w:tcW w:w="1980" w:type="dxa"/>
            <w:tcBorders>
              <w:top w:val="single" w:sz="4" w:space="0" w:color="auto"/>
              <w:left w:val="nil"/>
              <w:bottom w:val="single" w:sz="4" w:space="0" w:color="auto"/>
              <w:right w:val="nil"/>
            </w:tcBorders>
            <w:vAlign w:val="center"/>
          </w:tcPr>
          <w:p w14:paraId="3953803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MXene/ANF</w:t>
            </w:r>
          </w:p>
        </w:tc>
        <w:tc>
          <w:tcPr>
            <w:tcW w:w="1134" w:type="dxa"/>
            <w:tcBorders>
              <w:top w:val="single" w:sz="4" w:space="0" w:color="auto"/>
              <w:left w:val="nil"/>
              <w:bottom w:val="single" w:sz="4" w:space="0" w:color="auto"/>
              <w:right w:val="nil"/>
            </w:tcBorders>
            <w:vAlign w:val="center"/>
          </w:tcPr>
          <w:p w14:paraId="536AA02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14</w:t>
            </w:r>
          </w:p>
        </w:tc>
        <w:tc>
          <w:tcPr>
            <w:tcW w:w="992" w:type="dxa"/>
            <w:tcBorders>
              <w:top w:val="single" w:sz="4" w:space="0" w:color="auto"/>
              <w:left w:val="nil"/>
              <w:bottom w:val="single" w:sz="4" w:space="0" w:color="auto"/>
              <w:right w:val="nil"/>
            </w:tcBorders>
            <w:vAlign w:val="center"/>
          </w:tcPr>
          <w:p w14:paraId="3C8E369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24.1</w:t>
            </w:r>
          </w:p>
        </w:tc>
        <w:tc>
          <w:tcPr>
            <w:tcW w:w="992" w:type="dxa"/>
            <w:tcBorders>
              <w:top w:val="single" w:sz="4" w:space="0" w:color="auto"/>
              <w:left w:val="nil"/>
              <w:bottom w:val="single" w:sz="4" w:space="0" w:color="auto"/>
              <w:right w:val="nil"/>
            </w:tcBorders>
            <w:vAlign w:val="center"/>
          </w:tcPr>
          <w:p w14:paraId="36D1B49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13.6</w:t>
            </w:r>
          </w:p>
        </w:tc>
        <w:tc>
          <w:tcPr>
            <w:tcW w:w="993" w:type="dxa"/>
            <w:tcBorders>
              <w:top w:val="single" w:sz="4" w:space="0" w:color="auto"/>
              <w:left w:val="nil"/>
              <w:bottom w:val="single" w:sz="4" w:space="0" w:color="auto"/>
              <w:right w:val="nil"/>
            </w:tcBorders>
            <w:vAlign w:val="center"/>
          </w:tcPr>
          <w:p w14:paraId="260B093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301</w:t>
            </w:r>
          </w:p>
        </w:tc>
        <w:tc>
          <w:tcPr>
            <w:tcW w:w="1139" w:type="dxa"/>
            <w:tcBorders>
              <w:top w:val="single" w:sz="4" w:space="0" w:color="auto"/>
              <w:left w:val="nil"/>
              <w:bottom w:val="single" w:sz="4" w:space="0" w:color="auto"/>
              <w:right w:val="nil"/>
            </w:tcBorders>
            <w:vAlign w:val="center"/>
          </w:tcPr>
          <w:p w14:paraId="459BBD09" w14:textId="10A70B7E"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10000</w:t>
            </w:r>
          </w:p>
        </w:tc>
        <w:tc>
          <w:tcPr>
            <w:tcW w:w="992" w:type="dxa"/>
            <w:tcBorders>
              <w:top w:val="single" w:sz="4" w:space="0" w:color="auto"/>
              <w:left w:val="nil"/>
              <w:bottom w:val="single" w:sz="4" w:space="0" w:color="auto"/>
              <w:right w:val="nil"/>
            </w:tcBorders>
            <w:vAlign w:val="center"/>
          </w:tcPr>
          <w:p w14:paraId="02AFCCE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96.3</w:t>
            </w:r>
          </w:p>
        </w:tc>
        <w:tc>
          <w:tcPr>
            <w:tcW w:w="796" w:type="dxa"/>
            <w:tcBorders>
              <w:top w:val="single" w:sz="4" w:space="0" w:color="auto"/>
              <w:left w:val="nil"/>
              <w:bottom w:val="single" w:sz="4" w:space="0" w:color="auto"/>
              <w:right w:val="nil"/>
            </w:tcBorders>
            <w:vAlign w:val="center"/>
          </w:tcPr>
          <w:p w14:paraId="2D546A19" w14:textId="5A831859"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10]</w:t>
            </w:r>
          </w:p>
        </w:tc>
      </w:tr>
      <w:tr w:rsidR="00031A06" w:rsidRPr="00031A06" w14:paraId="3F3EE1B9" w14:textId="77777777" w:rsidTr="00732981">
        <w:trPr>
          <w:trHeight w:val="460"/>
        </w:trPr>
        <w:tc>
          <w:tcPr>
            <w:tcW w:w="1980" w:type="dxa"/>
            <w:tcBorders>
              <w:top w:val="single" w:sz="4" w:space="0" w:color="auto"/>
              <w:left w:val="nil"/>
              <w:bottom w:val="single" w:sz="4" w:space="0" w:color="auto"/>
              <w:right w:val="nil"/>
            </w:tcBorders>
            <w:vAlign w:val="center"/>
          </w:tcPr>
          <w:p w14:paraId="6522E5FD"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PIF/MXene</w:t>
            </w:r>
          </w:p>
        </w:tc>
        <w:tc>
          <w:tcPr>
            <w:tcW w:w="1134" w:type="dxa"/>
            <w:tcBorders>
              <w:top w:val="single" w:sz="4" w:space="0" w:color="auto"/>
              <w:left w:val="nil"/>
              <w:bottom w:val="single" w:sz="4" w:space="0" w:color="auto"/>
              <w:right w:val="nil"/>
            </w:tcBorders>
            <w:vAlign w:val="center"/>
          </w:tcPr>
          <w:p w14:paraId="06DDF5F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132</w:t>
            </w:r>
          </w:p>
        </w:tc>
        <w:tc>
          <w:tcPr>
            <w:tcW w:w="992" w:type="dxa"/>
            <w:tcBorders>
              <w:top w:val="single" w:sz="4" w:space="0" w:color="auto"/>
              <w:left w:val="nil"/>
              <w:bottom w:val="single" w:sz="4" w:space="0" w:color="auto"/>
              <w:right w:val="nil"/>
            </w:tcBorders>
            <w:vAlign w:val="center"/>
          </w:tcPr>
          <w:p w14:paraId="0C31395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41.4</w:t>
            </w:r>
          </w:p>
        </w:tc>
        <w:tc>
          <w:tcPr>
            <w:tcW w:w="992" w:type="dxa"/>
            <w:tcBorders>
              <w:top w:val="single" w:sz="4" w:space="0" w:color="auto"/>
              <w:left w:val="nil"/>
              <w:bottom w:val="single" w:sz="4" w:space="0" w:color="auto"/>
              <w:right w:val="nil"/>
            </w:tcBorders>
            <w:vAlign w:val="center"/>
          </w:tcPr>
          <w:p w14:paraId="577215E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0.6</w:t>
            </w:r>
          </w:p>
        </w:tc>
        <w:tc>
          <w:tcPr>
            <w:tcW w:w="993" w:type="dxa"/>
            <w:tcBorders>
              <w:top w:val="single" w:sz="4" w:space="0" w:color="auto"/>
              <w:left w:val="nil"/>
              <w:bottom w:val="single" w:sz="4" w:space="0" w:color="auto"/>
              <w:right w:val="nil"/>
            </w:tcBorders>
            <w:vAlign w:val="center"/>
          </w:tcPr>
          <w:p w14:paraId="4EBE069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12</w:t>
            </w:r>
          </w:p>
        </w:tc>
        <w:tc>
          <w:tcPr>
            <w:tcW w:w="1139" w:type="dxa"/>
            <w:tcBorders>
              <w:top w:val="single" w:sz="4" w:space="0" w:color="auto"/>
              <w:left w:val="nil"/>
              <w:bottom w:val="single" w:sz="4" w:space="0" w:color="auto"/>
              <w:right w:val="nil"/>
            </w:tcBorders>
            <w:vAlign w:val="center"/>
          </w:tcPr>
          <w:p w14:paraId="5978B942" w14:textId="407B725B"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500</w:t>
            </w:r>
          </w:p>
        </w:tc>
        <w:tc>
          <w:tcPr>
            <w:tcW w:w="992" w:type="dxa"/>
            <w:tcBorders>
              <w:top w:val="single" w:sz="4" w:space="0" w:color="auto"/>
              <w:left w:val="nil"/>
              <w:bottom w:val="single" w:sz="4" w:space="0" w:color="auto"/>
              <w:right w:val="nil"/>
            </w:tcBorders>
            <w:vAlign w:val="center"/>
          </w:tcPr>
          <w:p w14:paraId="0767F19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97</w:t>
            </w:r>
          </w:p>
        </w:tc>
        <w:tc>
          <w:tcPr>
            <w:tcW w:w="796" w:type="dxa"/>
            <w:tcBorders>
              <w:top w:val="single" w:sz="4" w:space="0" w:color="auto"/>
              <w:left w:val="nil"/>
              <w:bottom w:val="single" w:sz="4" w:space="0" w:color="auto"/>
              <w:right w:val="nil"/>
            </w:tcBorders>
            <w:vAlign w:val="center"/>
          </w:tcPr>
          <w:p w14:paraId="39AD0FAB" w14:textId="25616B9D"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11]</w:t>
            </w:r>
          </w:p>
        </w:tc>
      </w:tr>
      <w:tr w:rsidR="00031A06" w:rsidRPr="00031A06" w14:paraId="12835720" w14:textId="77777777" w:rsidTr="00732981">
        <w:trPr>
          <w:trHeight w:val="460"/>
        </w:trPr>
        <w:tc>
          <w:tcPr>
            <w:tcW w:w="1980" w:type="dxa"/>
            <w:tcBorders>
              <w:top w:val="single" w:sz="4" w:space="0" w:color="auto"/>
              <w:left w:val="nil"/>
              <w:bottom w:val="single" w:sz="4" w:space="0" w:color="auto"/>
              <w:right w:val="nil"/>
            </w:tcBorders>
            <w:vAlign w:val="center"/>
          </w:tcPr>
          <w:p w14:paraId="6A663E7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FeCoNi/TPU/PPy</w:t>
            </w:r>
          </w:p>
        </w:tc>
        <w:tc>
          <w:tcPr>
            <w:tcW w:w="1134" w:type="dxa"/>
            <w:tcBorders>
              <w:top w:val="single" w:sz="4" w:space="0" w:color="auto"/>
              <w:left w:val="nil"/>
              <w:bottom w:val="single" w:sz="4" w:space="0" w:color="auto"/>
              <w:right w:val="nil"/>
            </w:tcBorders>
            <w:vAlign w:val="center"/>
          </w:tcPr>
          <w:p w14:paraId="6F762C6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200</w:t>
            </w:r>
          </w:p>
        </w:tc>
        <w:tc>
          <w:tcPr>
            <w:tcW w:w="992" w:type="dxa"/>
            <w:tcBorders>
              <w:top w:val="single" w:sz="4" w:space="0" w:color="auto"/>
              <w:left w:val="nil"/>
              <w:bottom w:val="single" w:sz="4" w:space="0" w:color="auto"/>
              <w:right w:val="nil"/>
            </w:tcBorders>
            <w:vAlign w:val="center"/>
          </w:tcPr>
          <w:p w14:paraId="23930DF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26.3</w:t>
            </w:r>
          </w:p>
        </w:tc>
        <w:tc>
          <w:tcPr>
            <w:tcW w:w="992" w:type="dxa"/>
            <w:tcBorders>
              <w:top w:val="single" w:sz="4" w:space="0" w:color="auto"/>
              <w:left w:val="nil"/>
              <w:bottom w:val="single" w:sz="4" w:space="0" w:color="auto"/>
              <w:right w:val="nil"/>
            </w:tcBorders>
            <w:vAlign w:val="center"/>
          </w:tcPr>
          <w:p w14:paraId="5B8C8C55"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w:t>
            </w:r>
          </w:p>
        </w:tc>
        <w:tc>
          <w:tcPr>
            <w:tcW w:w="993" w:type="dxa"/>
            <w:tcBorders>
              <w:top w:val="single" w:sz="4" w:space="0" w:color="auto"/>
              <w:left w:val="nil"/>
              <w:bottom w:val="single" w:sz="4" w:space="0" w:color="auto"/>
              <w:right w:val="nil"/>
            </w:tcBorders>
            <w:vAlign w:val="center"/>
          </w:tcPr>
          <w:p w14:paraId="39F0888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16</w:t>
            </w:r>
          </w:p>
        </w:tc>
        <w:tc>
          <w:tcPr>
            <w:tcW w:w="1139" w:type="dxa"/>
            <w:tcBorders>
              <w:top w:val="single" w:sz="4" w:space="0" w:color="auto"/>
              <w:left w:val="nil"/>
              <w:bottom w:val="single" w:sz="4" w:space="0" w:color="auto"/>
              <w:right w:val="nil"/>
            </w:tcBorders>
            <w:vAlign w:val="center"/>
          </w:tcPr>
          <w:p w14:paraId="61A2D586" w14:textId="316CF856"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10000</w:t>
            </w:r>
          </w:p>
        </w:tc>
        <w:tc>
          <w:tcPr>
            <w:tcW w:w="992" w:type="dxa"/>
            <w:tcBorders>
              <w:top w:val="single" w:sz="4" w:space="0" w:color="auto"/>
              <w:left w:val="nil"/>
              <w:bottom w:val="single" w:sz="4" w:space="0" w:color="auto"/>
              <w:right w:val="nil"/>
            </w:tcBorders>
            <w:vAlign w:val="center"/>
          </w:tcPr>
          <w:p w14:paraId="3EE6643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92.3</w:t>
            </w:r>
          </w:p>
        </w:tc>
        <w:tc>
          <w:tcPr>
            <w:tcW w:w="796" w:type="dxa"/>
            <w:tcBorders>
              <w:top w:val="single" w:sz="4" w:space="0" w:color="auto"/>
              <w:left w:val="nil"/>
              <w:bottom w:val="single" w:sz="4" w:space="0" w:color="auto"/>
              <w:right w:val="nil"/>
            </w:tcBorders>
            <w:vAlign w:val="center"/>
          </w:tcPr>
          <w:p w14:paraId="279ECF4C" w14:textId="3F0B62BB"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12]</w:t>
            </w:r>
          </w:p>
        </w:tc>
      </w:tr>
      <w:tr w:rsidR="00031A06" w:rsidRPr="00031A06" w14:paraId="73341DD8" w14:textId="77777777" w:rsidTr="00732981">
        <w:trPr>
          <w:trHeight w:val="460"/>
        </w:trPr>
        <w:tc>
          <w:tcPr>
            <w:tcW w:w="1980" w:type="dxa"/>
            <w:tcBorders>
              <w:top w:val="single" w:sz="4" w:space="0" w:color="auto"/>
              <w:left w:val="nil"/>
              <w:bottom w:val="single" w:sz="4" w:space="0" w:color="auto"/>
              <w:right w:val="nil"/>
            </w:tcBorders>
            <w:vAlign w:val="center"/>
          </w:tcPr>
          <w:p w14:paraId="53B2292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Cellulose/MXene/GO</w:t>
            </w:r>
          </w:p>
        </w:tc>
        <w:tc>
          <w:tcPr>
            <w:tcW w:w="1134" w:type="dxa"/>
            <w:tcBorders>
              <w:top w:val="single" w:sz="4" w:space="0" w:color="auto"/>
              <w:left w:val="nil"/>
              <w:bottom w:val="single" w:sz="4" w:space="0" w:color="auto"/>
              <w:right w:val="nil"/>
            </w:tcBorders>
            <w:vAlign w:val="center"/>
          </w:tcPr>
          <w:p w14:paraId="74E1EF1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w:t>
            </w:r>
          </w:p>
        </w:tc>
        <w:tc>
          <w:tcPr>
            <w:tcW w:w="992" w:type="dxa"/>
            <w:tcBorders>
              <w:top w:val="single" w:sz="4" w:space="0" w:color="auto"/>
              <w:left w:val="nil"/>
              <w:bottom w:val="single" w:sz="4" w:space="0" w:color="auto"/>
              <w:right w:val="nil"/>
            </w:tcBorders>
            <w:vAlign w:val="center"/>
          </w:tcPr>
          <w:p w14:paraId="1A9F615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54</w:t>
            </w:r>
          </w:p>
        </w:tc>
        <w:tc>
          <w:tcPr>
            <w:tcW w:w="992" w:type="dxa"/>
            <w:tcBorders>
              <w:top w:val="single" w:sz="4" w:space="0" w:color="auto"/>
              <w:left w:val="nil"/>
              <w:bottom w:val="single" w:sz="4" w:space="0" w:color="auto"/>
              <w:right w:val="nil"/>
            </w:tcBorders>
            <w:vAlign w:val="center"/>
          </w:tcPr>
          <w:p w14:paraId="6F65070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14</w:t>
            </w:r>
          </w:p>
        </w:tc>
        <w:tc>
          <w:tcPr>
            <w:tcW w:w="993" w:type="dxa"/>
            <w:tcBorders>
              <w:top w:val="single" w:sz="4" w:space="0" w:color="auto"/>
              <w:left w:val="nil"/>
              <w:bottom w:val="single" w:sz="4" w:space="0" w:color="auto"/>
              <w:right w:val="nil"/>
            </w:tcBorders>
            <w:vAlign w:val="center"/>
          </w:tcPr>
          <w:p w14:paraId="11CAECD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324</w:t>
            </w:r>
          </w:p>
        </w:tc>
        <w:tc>
          <w:tcPr>
            <w:tcW w:w="1139" w:type="dxa"/>
            <w:tcBorders>
              <w:top w:val="single" w:sz="4" w:space="0" w:color="auto"/>
              <w:left w:val="nil"/>
              <w:bottom w:val="single" w:sz="4" w:space="0" w:color="auto"/>
              <w:right w:val="nil"/>
            </w:tcBorders>
            <w:vAlign w:val="center"/>
          </w:tcPr>
          <w:p w14:paraId="7ED7F3F9" w14:textId="0C2D3A30"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5000</w:t>
            </w:r>
          </w:p>
        </w:tc>
        <w:tc>
          <w:tcPr>
            <w:tcW w:w="992" w:type="dxa"/>
            <w:tcBorders>
              <w:top w:val="single" w:sz="4" w:space="0" w:color="auto"/>
              <w:left w:val="nil"/>
              <w:bottom w:val="single" w:sz="4" w:space="0" w:color="auto"/>
              <w:right w:val="nil"/>
            </w:tcBorders>
            <w:vAlign w:val="center"/>
          </w:tcPr>
          <w:p w14:paraId="3DB79F9A"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w:t>
            </w:r>
          </w:p>
        </w:tc>
        <w:tc>
          <w:tcPr>
            <w:tcW w:w="796" w:type="dxa"/>
            <w:tcBorders>
              <w:top w:val="single" w:sz="4" w:space="0" w:color="auto"/>
              <w:left w:val="nil"/>
              <w:bottom w:val="single" w:sz="4" w:space="0" w:color="auto"/>
              <w:right w:val="nil"/>
            </w:tcBorders>
            <w:vAlign w:val="center"/>
          </w:tcPr>
          <w:p w14:paraId="4872B26F" w14:textId="46E93A2E"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13]</w:t>
            </w:r>
          </w:p>
        </w:tc>
      </w:tr>
      <w:tr w:rsidR="00031A06" w:rsidRPr="00031A06" w14:paraId="600A5AB1" w14:textId="77777777" w:rsidTr="00732981">
        <w:trPr>
          <w:trHeight w:val="460"/>
        </w:trPr>
        <w:tc>
          <w:tcPr>
            <w:tcW w:w="1980" w:type="dxa"/>
            <w:tcBorders>
              <w:top w:val="single" w:sz="4" w:space="0" w:color="auto"/>
              <w:left w:val="nil"/>
              <w:bottom w:val="single" w:sz="4" w:space="0" w:color="auto"/>
              <w:right w:val="nil"/>
            </w:tcBorders>
            <w:vAlign w:val="center"/>
          </w:tcPr>
          <w:p w14:paraId="3169D94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MXene sediment/PVA</w:t>
            </w:r>
          </w:p>
        </w:tc>
        <w:tc>
          <w:tcPr>
            <w:tcW w:w="1134" w:type="dxa"/>
            <w:tcBorders>
              <w:top w:val="single" w:sz="4" w:space="0" w:color="auto"/>
              <w:left w:val="nil"/>
              <w:bottom w:val="single" w:sz="4" w:space="0" w:color="auto"/>
              <w:right w:val="nil"/>
            </w:tcBorders>
            <w:vAlign w:val="center"/>
          </w:tcPr>
          <w:p w14:paraId="44C19C1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118</w:t>
            </w:r>
          </w:p>
        </w:tc>
        <w:tc>
          <w:tcPr>
            <w:tcW w:w="992" w:type="dxa"/>
            <w:tcBorders>
              <w:top w:val="single" w:sz="4" w:space="0" w:color="auto"/>
              <w:left w:val="nil"/>
              <w:bottom w:val="single" w:sz="4" w:space="0" w:color="auto"/>
              <w:right w:val="nil"/>
            </w:tcBorders>
            <w:vAlign w:val="center"/>
          </w:tcPr>
          <w:p w14:paraId="528CE3C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30.8</w:t>
            </w:r>
          </w:p>
        </w:tc>
        <w:tc>
          <w:tcPr>
            <w:tcW w:w="992" w:type="dxa"/>
            <w:tcBorders>
              <w:top w:val="single" w:sz="4" w:space="0" w:color="auto"/>
              <w:left w:val="nil"/>
              <w:bottom w:val="single" w:sz="4" w:space="0" w:color="auto"/>
              <w:right w:val="nil"/>
            </w:tcBorders>
            <w:vAlign w:val="center"/>
          </w:tcPr>
          <w:p w14:paraId="020B64E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1.3</w:t>
            </w:r>
          </w:p>
        </w:tc>
        <w:tc>
          <w:tcPr>
            <w:tcW w:w="993" w:type="dxa"/>
            <w:tcBorders>
              <w:top w:val="single" w:sz="4" w:space="0" w:color="auto"/>
              <w:left w:val="nil"/>
              <w:bottom w:val="single" w:sz="4" w:space="0" w:color="auto"/>
              <w:right w:val="nil"/>
            </w:tcBorders>
            <w:vAlign w:val="center"/>
          </w:tcPr>
          <w:p w14:paraId="0A2B6F7B"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19</w:t>
            </w:r>
          </w:p>
        </w:tc>
        <w:tc>
          <w:tcPr>
            <w:tcW w:w="1139" w:type="dxa"/>
            <w:tcBorders>
              <w:top w:val="single" w:sz="4" w:space="0" w:color="auto"/>
              <w:left w:val="nil"/>
              <w:bottom w:val="single" w:sz="4" w:space="0" w:color="auto"/>
              <w:right w:val="nil"/>
            </w:tcBorders>
            <w:vAlign w:val="center"/>
          </w:tcPr>
          <w:p w14:paraId="7098A449" w14:textId="1F59B7E3"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5000</w:t>
            </w:r>
          </w:p>
        </w:tc>
        <w:tc>
          <w:tcPr>
            <w:tcW w:w="992" w:type="dxa"/>
            <w:tcBorders>
              <w:top w:val="single" w:sz="4" w:space="0" w:color="auto"/>
              <w:left w:val="nil"/>
              <w:bottom w:val="single" w:sz="4" w:space="0" w:color="auto"/>
              <w:right w:val="nil"/>
            </w:tcBorders>
            <w:vAlign w:val="center"/>
          </w:tcPr>
          <w:p w14:paraId="2AE36DB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w:t>
            </w:r>
          </w:p>
        </w:tc>
        <w:tc>
          <w:tcPr>
            <w:tcW w:w="796" w:type="dxa"/>
            <w:tcBorders>
              <w:top w:val="single" w:sz="4" w:space="0" w:color="auto"/>
              <w:left w:val="nil"/>
              <w:bottom w:val="single" w:sz="4" w:space="0" w:color="auto"/>
              <w:right w:val="nil"/>
            </w:tcBorders>
            <w:vAlign w:val="center"/>
          </w:tcPr>
          <w:p w14:paraId="71F50694" w14:textId="01040BDA"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noProof/>
                <w:szCs w:val="20"/>
              </w:rPr>
              <w:t>[</w:t>
            </w:r>
            <w:r w:rsidR="00732981">
              <w:rPr>
                <w:rFonts w:ascii="Times New Roman" w:eastAsiaTheme="minorHAnsi" w:hAnsi="Times New Roman" w:cs="Times New Roman" w:hint="eastAsia"/>
                <w:noProof/>
                <w:szCs w:val="20"/>
              </w:rPr>
              <w:t>S</w:t>
            </w:r>
            <w:r w:rsidRPr="00031A06">
              <w:rPr>
                <w:rFonts w:ascii="Times New Roman" w:eastAsiaTheme="minorHAnsi" w:hAnsi="Times New Roman" w:cs="Times New Roman"/>
                <w:noProof/>
                <w:szCs w:val="20"/>
              </w:rPr>
              <w:t>14]</w:t>
            </w:r>
          </w:p>
        </w:tc>
      </w:tr>
      <w:tr w:rsidR="00031A06" w:rsidRPr="00031A06" w14:paraId="106E38C6" w14:textId="77777777" w:rsidTr="00732981">
        <w:trPr>
          <w:trHeight w:val="460"/>
        </w:trPr>
        <w:tc>
          <w:tcPr>
            <w:tcW w:w="1980" w:type="dxa"/>
            <w:tcBorders>
              <w:top w:val="single" w:sz="4" w:space="0" w:color="auto"/>
              <w:left w:val="nil"/>
              <w:bottom w:val="single" w:sz="4" w:space="0" w:color="auto"/>
              <w:right w:val="nil"/>
            </w:tcBorders>
            <w:vAlign w:val="center"/>
          </w:tcPr>
          <w:p w14:paraId="08462D1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SWCNT/PID-BT</w:t>
            </w:r>
          </w:p>
          <w:p w14:paraId="073D9232"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(pristine)</w:t>
            </w:r>
          </w:p>
        </w:tc>
        <w:tc>
          <w:tcPr>
            <w:tcW w:w="1134" w:type="dxa"/>
            <w:tcBorders>
              <w:top w:val="single" w:sz="4" w:space="0" w:color="auto"/>
              <w:left w:val="nil"/>
              <w:bottom w:val="single" w:sz="4" w:space="0" w:color="auto"/>
              <w:right w:val="nil"/>
            </w:tcBorders>
            <w:vAlign w:val="center"/>
          </w:tcPr>
          <w:p w14:paraId="601E47C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23</w:t>
            </w:r>
          </w:p>
        </w:tc>
        <w:tc>
          <w:tcPr>
            <w:tcW w:w="992" w:type="dxa"/>
            <w:tcBorders>
              <w:top w:val="single" w:sz="4" w:space="0" w:color="auto"/>
              <w:left w:val="nil"/>
              <w:bottom w:val="single" w:sz="4" w:space="0" w:color="auto"/>
              <w:right w:val="nil"/>
            </w:tcBorders>
            <w:vAlign w:val="center"/>
          </w:tcPr>
          <w:p w14:paraId="04B47F4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47</w:t>
            </w:r>
          </w:p>
        </w:tc>
        <w:tc>
          <w:tcPr>
            <w:tcW w:w="992" w:type="dxa"/>
            <w:tcBorders>
              <w:top w:val="single" w:sz="4" w:space="0" w:color="auto"/>
              <w:left w:val="nil"/>
              <w:bottom w:val="single" w:sz="4" w:space="0" w:color="auto"/>
              <w:right w:val="nil"/>
            </w:tcBorders>
            <w:vAlign w:val="center"/>
          </w:tcPr>
          <w:p w14:paraId="1B8476E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12.1</w:t>
            </w:r>
          </w:p>
        </w:tc>
        <w:tc>
          <w:tcPr>
            <w:tcW w:w="993" w:type="dxa"/>
            <w:tcBorders>
              <w:top w:val="single" w:sz="4" w:space="0" w:color="auto"/>
              <w:left w:val="nil"/>
              <w:bottom w:val="single" w:sz="4" w:space="0" w:color="auto"/>
              <w:right w:val="nil"/>
            </w:tcBorders>
            <w:vAlign w:val="center"/>
          </w:tcPr>
          <w:p w14:paraId="43D346A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82.6</w:t>
            </w:r>
          </w:p>
        </w:tc>
        <w:tc>
          <w:tcPr>
            <w:tcW w:w="1139" w:type="dxa"/>
            <w:tcBorders>
              <w:top w:val="single" w:sz="4" w:space="0" w:color="auto"/>
              <w:left w:val="nil"/>
              <w:bottom w:val="single" w:sz="4" w:space="0" w:color="auto"/>
              <w:right w:val="nil"/>
            </w:tcBorders>
            <w:vAlign w:val="center"/>
          </w:tcPr>
          <w:p w14:paraId="1B4A455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300000</w:t>
            </w:r>
          </w:p>
          <w:p w14:paraId="0B53F2A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 3R</w:t>
            </w:r>
          </w:p>
        </w:tc>
        <w:tc>
          <w:tcPr>
            <w:tcW w:w="992" w:type="dxa"/>
            <w:tcBorders>
              <w:top w:val="single" w:sz="4" w:space="0" w:color="auto"/>
              <w:left w:val="nil"/>
              <w:bottom w:val="single" w:sz="4" w:space="0" w:color="auto"/>
              <w:right w:val="nil"/>
            </w:tcBorders>
            <w:vAlign w:val="center"/>
          </w:tcPr>
          <w:p w14:paraId="2E91B449"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98.8</w:t>
            </w:r>
          </w:p>
        </w:tc>
        <w:tc>
          <w:tcPr>
            <w:tcW w:w="796" w:type="dxa"/>
            <w:vMerge w:val="restart"/>
            <w:tcBorders>
              <w:top w:val="single" w:sz="4" w:space="0" w:color="auto"/>
              <w:left w:val="nil"/>
              <w:bottom w:val="single" w:sz="12" w:space="0" w:color="auto"/>
              <w:right w:val="nil"/>
            </w:tcBorders>
            <w:vAlign w:val="center"/>
          </w:tcPr>
          <w:p w14:paraId="26BE1B6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This</w:t>
            </w:r>
          </w:p>
          <w:p w14:paraId="662E11D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work</w:t>
            </w:r>
          </w:p>
        </w:tc>
      </w:tr>
      <w:tr w:rsidR="00031A06" w:rsidRPr="00031A06" w14:paraId="4934AD01" w14:textId="77777777" w:rsidTr="00732981">
        <w:trPr>
          <w:trHeight w:val="460"/>
        </w:trPr>
        <w:tc>
          <w:tcPr>
            <w:tcW w:w="1980" w:type="dxa"/>
            <w:tcBorders>
              <w:top w:val="single" w:sz="4" w:space="0" w:color="auto"/>
              <w:left w:val="nil"/>
              <w:bottom w:val="single" w:sz="4" w:space="0" w:color="auto"/>
              <w:right w:val="nil"/>
            </w:tcBorders>
            <w:vAlign w:val="center"/>
          </w:tcPr>
          <w:p w14:paraId="6F84C01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SWCNT/PID-BT</w:t>
            </w:r>
          </w:p>
          <w:p w14:paraId="52CA5373"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(F4TCNQ-doped)</w:t>
            </w:r>
          </w:p>
        </w:tc>
        <w:tc>
          <w:tcPr>
            <w:tcW w:w="1134" w:type="dxa"/>
            <w:tcBorders>
              <w:top w:val="single" w:sz="4" w:space="0" w:color="auto"/>
              <w:left w:val="nil"/>
              <w:bottom w:val="single" w:sz="4" w:space="0" w:color="auto"/>
              <w:right w:val="nil"/>
            </w:tcBorders>
            <w:vAlign w:val="center"/>
          </w:tcPr>
          <w:p w14:paraId="36F050F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22</w:t>
            </w:r>
          </w:p>
        </w:tc>
        <w:tc>
          <w:tcPr>
            <w:tcW w:w="992" w:type="dxa"/>
            <w:tcBorders>
              <w:top w:val="single" w:sz="4" w:space="0" w:color="auto"/>
              <w:left w:val="nil"/>
              <w:bottom w:val="single" w:sz="4" w:space="0" w:color="auto"/>
              <w:right w:val="nil"/>
            </w:tcBorders>
            <w:vAlign w:val="center"/>
          </w:tcPr>
          <w:p w14:paraId="3C6027E5"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63.1</w:t>
            </w:r>
          </w:p>
        </w:tc>
        <w:tc>
          <w:tcPr>
            <w:tcW w:w="992" w:type="dxa"/>
            <w:tcBorders>
              <w:top w:val="single" w:sz="4" w:space="0" w:color="auto"/>
              <w:left w:val="nil"/>
              <w:bottom w:val="single" w:sz="4" w:space="0" w:color="auto"/>
              <w:right w:val="nil"/>
            </w:tcBorders>
            <w:vAlign w:val="center"/>
          </w:tcPr>
          <w:p w14:paraId="4FE74D30"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12.7</w:t>
            </w:r>
          </w:p>
        </w:tc>
        <w:tc>
          <w:tcPr>
            <w:tcW w:w="993" w:type="dxa"/>
            <w:tcBorders>
              <w:top w:val="single" w:sz="4" w:space="0" w:color="auto"/>
              <w:left w:val="nil"/>
              <w:bottom w:val="single" w:sz="4" w:space="0" w:color="auto"/>
              <w:right w:val="nil"/>
            </w:tcBorders>
            <w:vAlign w:val="center"/>
          </w:tcPr>
          <w:p w14:paraId="778911D6"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83.6</w:t>
            </w:r>
          </w:p>
        </w:tc>
        <w:tc>
          <w:tcPr>
            <w:tcW w:w="1139" w:type="dxa"/>
            <w:tcBorders>
              <w:top w:val="single" w:sz="4" w:space="0" w:color="auto"/>
              <w:left w:val="nil"/>
              <w:bottom w:val="single" w:sz="4" w:space="0" w:color="auto"/>
              <w:right w:val="nil"/>
            </w:tcBorders>
            <w:vAlign w:val="center"/>
          </w:tcPr>
          <w:p w14:paraId="607E320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300000</w:t>
            </w:r>
          </w:p>
          <w:p w14:paraId="645331E7"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 3R</w:t>
            </w:r>
          </w:p>
        </w:tc>
        <w:tc>
          <w:tcPr>
            <w:tcW w:w="992" w:type="dxa"/>
            <w:tcBorders>
              <w:top w:val="single" w:sz="4" w:space="0" w:color="auto"/>
              <w:left w:val="nil"/>
              <w:bottom w:val="single" w:sz="4" w:space="0" w:color="auto"/>
              <w:right w:val="nil"/>
            </w:tcBorders>
            <w:vAlign w:val="center"/>
          </w:tcPr>
          <w:p w14:paraId="66AE5D8E"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99.6</w:t>
            </w:r>
          </w:p>
        </w:tc>
        <w:tc>
          <w:tcPr>
            <w:tcW w:w="796" w:type="dxa"/>
            <w:vMerge/>
            <w:tcBorders>
              <w:top w:val="nil"/>
              <w:left w:val="nil"/>
              <w:bottom w:val="single" w:sz="12" w:space="0" w:color="auto"/>
              <w:right w:val="nil"/>
            </w:tcBorders>
            <w:vAlign w:val="center"/>
          </w:tcPr>
          <w:p w14:paraId="4A480D57" w14:textId="77777777" w:rsidR="0015669C" w:rsidRPr="00031A06" w:rsidRDefault="0015669C" w:rsidP="00031A06">
            <w:pPr>
              <w:wordWrap/>
              <w:jc w:val="center"/>
              <w:rPr>
                <w:rFonts w:ascii="Times New Roman" w:eastAsiaTheme="minorHAnsi" w:hAnsi="Times New Roman" w:cs="Times New Roman"/>
                <w:szCs w:val="20"/>
              </w:rPr>
            </w:pPr>
          </w:p>
        </w:tc>
      </w:tr>
      <w:tr w:rsidR="00031A06" w:rsidRPr="00031A06" w14:paraId="5C3195C6" w14:textId="77777777" w:rsidTr="00732981">
        <w:trPr>
          <w:trHeight w:val="460"/>
        </w:trPr>
        <w:tc>
          <w:tcPr>
            <w:tcW w:w="1980" w:type="dxa"/>
            <w:tcBorders>
              <w:top w:val="single" w:sz="4" w:space="0" w:color="auto"/>
              <w:left w:val="nil"/>
              <w:bottom w:val="single" w:sz="12" w:space="0" w:color="auto"/>
              <w:right w:val="nil"/>
            </w:tcBorders>
            <w:vAlign w:val="center"/>
          </w:tcPr>
          <w:p w14:paraId="04DDD682"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SWCNT/PID-BT</w:t>
            </w:r>
          </w:p>
          <w:p w14:paraId="4D7AF638"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(AuCl</w:t>
            </w:r>
            <w:r w:rsidRPr="00031A06">
              <w:rPr>
                <w:rFonts w:ascii="Times New Roman" w:eastAsiaTheme="minorHAnsi" w:hAnsi="Times New Roman" w:cs="Times New Roman"/>
                <w:szCs w:val="20"/>
                <w:vertAlign w:val="subscript"/>
              </w:rPr>
              <w:t>3</w:t>
            </w:r>
            <w:r w:rsidRPr="00031A06">
              <w:rPr>
                <w:rFonts w:ascii="Times New Roman" w:eastAsiaTheme="minorHAnsi" w:hAnsi="Times New Roman" w:cs="Times New Roman"/>
                <w:szCs w:val="20"/>
              </w:rPr>
              <w:t>-doped)</w:t>
            </w:r>
          </w:p>
        </w:tc>
        <w:tc>
          <w:tcPr>
            <w:tcW w:w="1134" w:type="dxa"/>
            <w:tcBorders>
              <w:top w:val="single" w:sz="4" w:space="0" w:color="auto"/>
              <w:left w:val="nil"/>
              <w:bottom w:val="single" w:sz="12" w:space="0" w:color="auto"/>
              <w:right w:val="nil"/>
            </w:tcBorders>
            <w:vAlign w:val="center"/>
          </w:tcPr>
          <w:p w14:paraId="014496A4"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23.8</w:t>
            </w:r>
          </w:p>
        </w:tc>
        <w:tc>
          <w:tcPr>
            <w:tcW w:w="992" w:type="dxa"/>
            <w:tcBorders>
              <w:top w:val="single" w:sz="4" w:space="0" w:color="auto"/>
              <w:left w:val="nil"/>
              <w:bottom w:val="single" w:sz="12" w:space="0" w:color="auto"/>
              <w:right w:val="nil"/>
            </w:tcBorders>
            <w:vAlign w:val="center"/>
          </w:tcPr>
          <w:p w14:paraId="3F53D251"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75.1</w:t>
            </w:r>
          </w:p>
        </w:tc>
        <w:tc>
          <w:tcPr>
            <w:tcW w:w="992" w:type="dxa"/>
            <w:tcBorders>
              <w:top w:val="single" w:sz="4" w:space="0" w:color="auto"/>
              <w:left w:val="nil"/>
              <w:bottom w:val="single" w:sz="12" w:space="0" w:color="auto"/>
              <w:right w:val="nil"/>
            </w:tcBorders>
            <w:vAlign w:val="center"/>
          </w:tcPr>
          <w:p w14:paraId="0DB844DF"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11.3</w:t>
            </w:r>
          </w:p>
        </w:tc>
        <w:tc>
          <w:tcPr>
            <w:tcW w:w="993" w:type="dxa"/>
            <w:tcBorders>
              <w:top w:val="single" w:sz="4" w:space="0" w:color="auto"/>
              <w:left w:val="nil"/>
              <w:bottom w:val="single" w:sz="12" w:space="0" w:color="auto"/>
              <w:right w:val="nil"/>
            </w:tcBorders>
            <w:vAlign w:val="center"/>
          </w:tcPr>
          <w:p w14:paraId="7136DCFA"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76.1</w:t>
            </w:r>
          </w:p>
        </w:tc>
        <w:tc>
          <w:tcPr>
            <w:tcW w:w="1139" w:type="dxa"/>
            <w:tcBorders>
              <w:top w:val="single" w:sz="4" w:space="0" w:color="auto"/>
              <w:left w:val="nil"/>
              <w:bottom w:val="single" w:sz="12" w:space="0" w:color="auto"/>
              <w:right w:val="nil"/>
            </w:tcBorders>
            <w:vAlign w:val="center"/>
          </w:tcPr>
          <w:p w14:paraId="60C844FA"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300000</w:t>
            </w:r>
          </w:p>
          <w:p w14:paraId="7E0B02DC"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 3R</w:t>
            </w:r>
          </w:p>
        </w:tc>
        <w:tc>
          <w:tcPr>
            <w:tcW w:w="992" w:type="dxa"/>
            <w:tcBorders>
              <w:top w:val="single" w:sz="4" w:space="0" w:color="auto"/>
              <w:left w:val="nil"/>
              <w:bottom w:val="single" w:sz="12" w:space="0" w:color="auto"/>
              <w:right w:val="nil"/>
            </w:tcBorders>
            <w:vAlign w:val="center"/>
          </w:tcPr>
          <w:p w14:paraId="07799C2D" w14:textId="77777777" w:rsidR="0015669C" w:rsidRPr="00031A06" w:rsidRDefault="0015669C" w:rsidP="00031A06">
            <w:pPr>
              <w:wordWrap/>
              <w:jc w:val="center"/>
              <w:rPr>
                <w:rFonts w:ascii="Times New Roman" w:eastAsiaTheme="minorHAnsi" w:hAnsi="Times New Roman" w:cs="Times New Roman"/>
                <w:szCs w:val="20"/>
              </w:rPr>
            </w:pPr>
            <w:r w:rsidRPr="00031A06">
              <w:rPr>
                <w:rFonts w:ascii="Times New Roman" w:eastAsiaTheme="minorHAnsi" w:hAnsi="Times New Roman" w:cs="Times New Roman"/>
                <w:szCs w:val="20"/>
              </w:rPr>
              <w:t>101.3</w:t>
            </w:r>
          </w:p>
        </w:tc>
        <w:tc>
          <w:tcPr>
            <w:tcW w:w="796" w:type="dxa"/>
            <w:vMerge/>
            <w:tcBorders>
              <w:top w:val="nil"/>
              <w:left w:val="nil"/>
              <w:bottom w:val="single" w:sz="12" w:space="0" w:color="auto"/>
              <w:right w:val="nil"/>
            </w:tcBorders>
            <w:vAlign w:val="center"/>
          </w:tcPr>
          <w:p w14:paraId="5F690D56" w14:textId="77777777" w:rsidR="0015669C" w:rsidRPr="00031A06" w:rsidRDefault="0015669C" w:rsidP="00031A06">
            <w:pPr>
              <w:wordWrap/>
              <w:jc w:val="center"/>
              <w:rPr>
                <w:rFonts w:ascii="Times New Roman" w:eastAsiaTheme="minorHAnsi" w:hAnsi="Times New Roman" w:cs="Times New Roman"/>
                <w:szCs w:val="20"/>
              </w:rPr>
            </w:pPr>
          </w:p>
        </w:tc>
      </w:tr>
    </w:tbl>
    <w:p w14:paraId="754BBE98" w14:textId="77777777" w:rsidR="0015669C" w:rsidRPr="00031A06" w:rsidRDefault="0015669C" w:rsidP="00031A06">
      <w:pPr>
        <w:wordWrap/>
        <w:spacing w:after="0" w:line="240" w:lineRule="auto"/>
        <w:rPr>
          <w:rFonts w:ascii="Times New Roman" w:hAnsi="Times New Roman" w:cs="Times New Roman"/>
          <w:szCs w:val="20"/>
        </w:rPr>
      </w:pPr>
      <w:r w:rsidRPr="00031A06">
        <w:rPr>
          <w:rFonts w:ascii="Times New Roman" w:hAnsi="Times New Roman" w:cs="Times New Roman"/>
          <w:szCs w:val="20"/>
          <w:vertAlign w:val="superscript"/>
        </w:rPr>
        <w:t>1</w:t>
      </w:r>
      <w:r w:rsidRPr="00031A06">
        <w:rPr>
          <w:rFonts w:ascii="Times New Roman" w:hAnsi="Times New Roman" w:cs="Times New Roman"/>
          <w:szCs w:val="20"/>
        </w:rPr>
        <w:t>Only samples for which the folding evaluation was verified were selected to compare other properties.</w:t>
      </w:r>
    </w:p>
    <w:p w14:paraId="75DBBC1C" w14:textId="77777777" w:rsidR="0015669C" w:rsidRPr="00031A06" w:rsidRDefault="0015669C" w:rsidP="00031A06">
      <w:pPr>
        <w:wordWrap/>
        <w:spacing w:after="0" w:line="240" w:lineRule="auto"/>
        <w:rPr>
          <w:rFonts w:ascii="Times New Roman" w:hAnsi="Times New Roman" w:cs="Times New Roman"/>
          <w:szCs w:val="20"/>
        </w:rPr>
      </w:pPr>
      <w:r w:rsidRPr="00031A06">
        <w:rPr>
          <w:rFonts w:ascii="Times New Roman" w:hAnsi="Times New Roman" w:cs="Times New Roman"/>
          <w:szCs w:val="20"/>
          <w:vertAlign w:val="superscript"/>
        </w:rPr>
        <w:t>2</w:t>
      </w:r>
      <w:r w:rsidRPr="00031A06">
        <w:rPr>
          <w:rFonts w:ascii="Times New Roman" w:hAnsi="Times New Roman" w:cs="Times New Roman"/>
          <w:szCs w:val="20"/>
        </w:rPr>
        <w:t>Only cases where evaluation conditions can be specified are indicated.</w:t>
      </w:r>
    </w:p>
    <w:p w14:paraId="09CC77C9" w14:textId="77777777" w:rsidR="0015669C" w:rsidRPr="00031A06" w:rsidRDefault="0015669C" w:rsidP="00031A06">
      <w:pPr>
        <w:wordWrap/>
        <w:spacing w:line="480" w:lineRule="auto"/>
        <w:rPr>
          <w:rFonts w:ascii="Times New Roman" w:hAnsi="Times New Roman" w:cs="Times New Roman"/>
          <w:sz w:val="24"/>
          <w:szCs w:val="24"/>
        </w:rPr>
      </w:pPr>
    </w:p>
    <w:p w14:paraId="041C0602" w14:textId="77777777" w:rsidR="0015669C" w:rsidRPr="00031A06" w:rsidRDefault="0015669C" w:rsidP="00031A06">
      <w:pPr>
        <w:widowControl/>
        <w:wordWrap/>
        <w:autoSpaceDE/>
        <w:autoSpaceDN/>
        <w:spacing w:line="480" w:lineRule="auto"/>
        <w:rPr>
          <w:rFonts w:ascii="Times New Roman" w:hAnsi="Times New Roman" w:cs="Times New Roman"/>
          <w:sz w:val="24"/>
          <w:szCs w:val="24"/>
        </w:rPr>
      </w:pPr>
    </w:p>
    <w:p w14:paraId="421F1FBE" w14:textId="77777777" w:rsidR="0015669C" w:rsidRPr="00031A06" w:rsidRDefault="0015669C" w:rsidP="00732981">
      <w:pPr>
        <w:wordWrap/>
        <w:spacing w:line="240" w:lineRule="auto"/>
        <w:jc w:val="center"/>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5C09F9D4" wp14:editId="05C227DE">
            <wp:extent cx="5407660" cy="6858635"/>
            <wp:effectExtent l="0" t="0" r="2540" b="0"/>
            <wp:docPr id="9260436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660" cy="6858635"/>
                    </a:xfrm>
                    <a:prstGeom prst="rect">
                      <a:avLst/>
                    </a:prstGeom>
                    <a:noFill/>
                  </pic:spPr>
                </pic:pic>
              </a:graphicData>
            </a:graphic>
          </wp:inline>
        </w:drawing>
      </w:r>
    </w:p>
    <w:p w14:paraId="3F118B86"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S1</w:t>
      </w:r>
      <w:r w:rsidRPr="00031A06">
        <w:rPr>
          <w:rFonts w:ascii="Times New Roman" w:hAnsi="Times New Roman" w:cs="Times New Roman"/>
          <w:sz w:val="24"/>
          <w:szCs w:val="24"/>
        </w:rPr>
        <w:t xml:space="preserve"> (a) </w:t>
      </w:r>
      <w:r w:rsidRPr="00031A06">
        <w:rPr>
          <w:rFonts w:ascii="Times New Roman" w:hAnsi="Times New Roman" w:cs="Times New Roman"/>
          <w:sz w:val="24"/>
          <w:szCs w:val="24"/>
          <w:vertAlign w:val="superscript"/>
        </w:rPr>
        <w:t>1</w:t>
      </w:r>
      <w:r w:rsidRPr="00031A06">
        <w:rPr>
          <w:rFonts w:ascii="Times New Roman" w:hAnsi="Times New Roman" w:cs="Times New Roman"/>
          <w:sz w:val="24"/>
          <w:szCs w:val="24"/>
        </w:rPr>
        <w:t xml:space="preserve">H- and (b) </w:t>
      </w:r>
      <w:r w:rsidRPr="00031A06">
        <w:rPr>
          <w:rFonts w:ascii="Times New Roman" w:hAnsi="Times New Roman" w:cs="Times New Roman"/>
          <w:sz w:val="24"/>
          <w:szCs w:val="24"/>
          <w:vertAlign w:val="superscript"/>
        </w:rPr>
        <w:t>13</w:t>
      </w:r>
      <w:r w:rsidRPr="00031A06">
        <w:rPr>
          <w:rFonts w:ascii="Times New Roman" w:hAnsi="Times New Roman" w:cs="Times New Roman"/>
          <w:sz w:val="24"/>
          <w:szCs w:val="24"/>
        </w:rPr>
        <w:t>C-NMR spectra of Compound 3.</w:t>
      </w:r>
    </w:p>
    <w:p w14:paraId="1F2262CE" w14:textId="77777777" w:rsidR="0015669C" w:rsidRPr="00031A06" w:rsidRDefault="0015669C" w:rsidP="00732981">
      <w:pPr>
        <w:widowControl/>
        <w:wordWrap/>
        <w:autoSpaceDE/>
        <w:autoSpaceDN/>
        <w:spacing w:line="240" w:lineRule="auto"/>
        <w:jc w:val="center"/>
        <w:rPr>
          <w:rFonts w:ascii="Times New Roman" w:hAnsi="Times New Roman" w:cs="Times New Roman"/>
          <w:sz w:val="24"/>
          <w:szCs w:val="24"/>
        </w:rPr>
      </w:pPr>
      <w:r w:rsidRPr="00031A06">
        <w:rPr>
          <w:rFonts w:ascii="Times New Roman" w:hAnsi="Times New Roman" w:cs="Times New Roman"/>
          <w:sz w:val="24"/>
          <w:szCs w:val="24"/>
        </w:rPr>
        <w:br w:type="page"/>
      </w:r>
      <w:r w:rsidRPr="00031A06">
        <w:rPr>
          <w:rFonts w:ascii="Times New Roman" w:hAnsi="Times New Roman" w:cs="Times New Roman"/>
          <w:noProof/>
          <w:sz w:val="24"/>
          <w:szCs w:val="24"/>
        </w:rPr>
        <w:lastRenderedPageBreak/>
        <w:drawing>
          <wp:inline distT="0" distB="0" distL="0" distR="0" wp14:anchorId="0480132B" wp14:editId="406C0FD8">
            <wp:extent cx="5414010" cy="6858635"/>
            <wp:effectExtent l="0" t="0" r="0" b="0"/>
            <wp:docPr id="212847443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010" cy="6858635"/>
                    </a:xfrm>
                    <a:prstGeom prst="rect">
                      <a:avLst/>
                    </a:prstGeom>
                    <a:noFill/>
                  </pic:spPr>
                </pic:pic>
              </a:graphicData>
            </a:graphic>
          </wp:inline>
        </w:drawing>
      </w:r>
    </w:p>
    <w:p w14:paraId="05354B7C"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S2</w:t>
      </w:r>
      <w:r w:rsidRPr="00031A06">
        <w:rPr>
          <w:rFonts w:ascii="Times New Roman" w:hAnsi="Times New Roman" w:cs="Times New Roman"/>
          <w:sz w:val="24"/>
          <w:szCs w:val="24"/>
        </w:rPr>
        <w:t xml:space="preserve"> (a) </w:t>
      </w:r>
      <w:r w:rsidRPr="00031A06">
        <w:rPr>
          <w:rFonts w:ascii="Times New Roman" w:hAnsi="Times New Roman" w:cs="Times New Roman"/>
          <w:sz w:val="24"/>
          <w:szCs w:val="24"/>
          <w:vertAlign w:val="superscript"/>
        </w:rPr>
        <w:t>1</w:t>
      </w:r>
      <w:r w:rsidRPr="00031A06">
        <w:rPr>
          <w:rFonts w:ascii="Times New Roman" w:hAnsi="Times New Roman" w:cs="Times New Roman"/>
          <w:sz w:val="24"/>
          <w:szCs w:val="24"/>
        </w:rPr>
        <w:t xml:space="preserve">H- and (b) </w:t>
      </w:r>
      <w:r w:rsidRPr="00031A06">
        <w:rPr>
          <w:rFonts w:ascii="Times New Roman" w:hAnsi="Times New Roman" w:cs="Times New Roman"/>
          <w:sz w:val="24"/>
          <w:szCs w:val="24"/>
          <w:vertAlign w:val="superscript"/>
        </w:rPr>
        <w:t>13</w:t>
      </w:r>
      <w:r w:rsidRPr="00031A06">
        <w:rPr>
          <w:rFonts w:ascii="Times New Roman" w:hAnsi="Times New Roman" w:cs="Times New Roman"/>
          <w:sz w:val="24"/>
          <w:szCs w:val="24"/>
        </w:rPr>
        <w:t>C-NMR spectra of compound 4</w:t>
      </w:r>
    </w:p>
    <w:p w14:paraId="689D94EF" w14:textId="77777777" w:rsidR="0015669C" w:rsidRPr="00031A06" w:rsidRDefault="0015669C" w:rsidP="00732981">
      <w:pPr>
        <w:widowControl/>
        <w:wordWrap/>
        <w:autoSpaceDE/>
        <w:autoSpaceDN/>
        <w:spacing w:line="240" w:lineRule="auto"/>
        <w:jc w:val="center"/>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0CA8A64B" wp14:editId="3D003009">
            <wp:extent cx="5584190" cy="6816090"/>
            <wp:effectExtent l="0" t="0" r="0" b="3810"/>
            <wp:docPr id="141751561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6816090"/>
                    </a:xfrm>
                    <a:prstGeom prst="rect">
                      <a:avLst/>
                    </a:prstGeom>
                    <a:noFill/>
                  </pic:spPr>
                </pic:pic>
              </a:graphicData>
            </a:graphic>
          </wp:inline>
        </w:drawing>
      </w:r>
    </w:p>
    <w:p w14:paraId="00677A35" w14:textId="77777777" w:rsidR="0015669C" w:rsidRPr="00031A06" w:rsidRDefault="0015669C" w:rsidP="00732981">
      <w:pPr>
        <w:widowControl/>
        <w:wordWrap/>
        <w:autoSpaceDE/>
        <w:autoSpaceDN/>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S3</w:t>
      </w:r>
      <w:r w:rsidRPr="00031A06">
        <w:rPr>
          <w:rFonts w:ascii="Times New Roman" w:hAnsi="Times New Roman" w:cs="Times New Roman"/>
          <w:sz w:val="24"/>
          <w:szCs w:val="24"/>
        </w:rPr>
        <w:t xml:space="preserve"> High resolution LC-MS analysis of (a) Compound 3 and (b) Compound 4.</w:t>
      </w:r>
      <w:r w:rsidRPr="00031A06">
        <w:rPr>
          <w:rFonts w:ascii="Times New Roman" w:hAnsi="Times New Roman" w:cs="Times New Roman"/>
          <w:sz w:val="24"/>
          <w:szCs w:val="24"/>
        </w:rPr>
        <w:br w:type="page"/>
      </w:r>
    </w:p>
    <w:p w14:paraId="1CC7ED84"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4B3FAA3A" wp14:editId="64724E8E">
            <wp:extent cx="5731510" cy="3561715"/>
            <wp:effectExtent l="0" t="0" r="0" b="635"/>
            <wp:docPr id="211144836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61715"/>
                    </a:xfrm>
                    <a:prstGeom prst="rect">
                      <a:avLst/>
                    </a:prstGeom>
                    <a:noFill/>
                    <a:ln>
                      <a:noFill/>
                    </a:ln>
                  </pic:spPr>
                </pic:pic>
              </a:graphicData>
            </a:graphic>
          </wp:inline>
        </w:drawing>
      </w:r>
    </w:p>
    <w:p w14:paraId="3CEFA584"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S4</w:t>
      </w:r>
      <w:r w:rsidRPr="00031A06">
        <w:rPr>
          <w:rFonts w:ascii="Times New Roman" w:hAnsi="Times New Roman" w:cs="Times New Roman"/>
          <w:sz w:val="24"/>
          <w:szCs w:val="24"/>
        </w:rPr>
        <w:t xml:space="preserve"> UV–Vis absorption spectra of each CP before and after doping. (a) PFO, b) PID-BTO4, (c) P3HT, (d) PID-BT, and (e) PBTTT.</w:t>
      </w:r>
    </w:p>
    <w:p w14:paraId="50AD8288" w14:textId="77777777" w:rsidR="0015669C" w:rsidRPr="00031A06" w:rsidRDefault="0015669C" w:rsidP="00031A06">
      <w:pPr>
        <w:wordWrap/>
        <w:spacing w:line="480" w:lineRule="auto"/>
        <w:rPr>
          <w:rFonts w:ascii="Times New Roman" w:hAnsi="Times New Roman" w:cs="Times New Roman"/>
          <w:sz w:val="24"/>
          <w:szCs w:val="24"/>
        </w:rPr>
      </w:pPr>
    </w:p>
    <w:p w14:paraId="2B75837C"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103C9579" wp14:editId="7F3F0E68">
            <wp:extent cx="5731510" cy="4542155"/>
            <wp:effectExtent l="0" t="0" r="0" b="0"/>
            <wp:docPr id="169106302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542155"/>
                    </a:xfrm>
                    <a:prstGeom prst="rect">
                      <a:avLst/>
                    </a:prstGeom>
                    <a:noFill/>
                    <a:ln>
                      <a:noFill/>
                    </a:ln>
                  </pic:spPr>
                </pic:pic>
              </a:graphicData>
            </a:graphic>
          </wp:inline>
        </w:drawing>
      </w:r>
    </w:p>
    <w:p w14:paraId="5641EAFC"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S5</w:t>
      </w:r>
      <w:r w:rsidRPr="00031A06">
        <w:rPr>
          <w:rFonts w:ascii="Times New Roman" w:hAnsi="Times New Roman" w:cs="Times New Roman"/>
          <w:sz w:val="24"/>
          <w:szCs w:val="24"/>
        </w:rPr>
        <w:t xml:space="preserve"> Electrical conductivity of doped CPs using (a) F4TCNQ and (b) AuCl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 xml:space="preserve"> as dopant. (c) Energy level diagram of the applied CPs (HOMO) and F4TCNQ (LUMO).</w:t>
      </w:r>
    </w:p>
    <w:p w14:paraId="39E0B591" w14:textId="77777777" w:rsidR="0015669C" w:rsidRPr="00031A06" w:rsidRDefault="0015669C" w:rsidP="00031A06">
      <w:pPr>
        <w:wordWrap/>
        <w:spacing w:line="480" w:lineRule="auto"/>
        <w:rPr>
          <w:rFonts w:ascii="Times New Roman" w:hAnsi="Times New Roman" w:cs="Times New Roman"/>
          <w:sz w:val="24"/>
          <w:szCs w:val="24"/>
        </w:rPr>
      </w:pPr>
    </w:p>
    <w:p w14:paraId="7CA2445A" w14:textId="77777777" w:rsidR="0015669C" w:rsidRPr="00031A06" w:rsidRDefault="0015669C" w:rsidP="00732981">
      <w:pPr>
        <w:wordWrap/>
        <w:spacing w:after="0" w:line="240" w:lineRule="auto"/>
        <w:rPr>
          <w:rFonts w:ascii="Times New Roman" w:hAnsi="Times New Roman" w:cs="Times New Roman"/>
          <w:sz w:val="24"/>
          <w:szCs w:val="24"/>
        </w:rPr>
      </w:pPr>
      <w:r w:rsidRPr="00031A06">
        <w:rPr>
          <w:rFonts w:ascii="Times New Roman" w:hAnsi="Times New Roman" w:cs="Times New Roman"/>
          <w:noProof/>
          <w:sz w:val="24"/>
          <w:szCs w:val="24"/>
        </w:rPr>
        <w:drawing>
          <wp:inline distT="0" distB="0" distL="0" distR="0" wp14:anchorId="3118A89D" wp14:editId="1A095A31">
            <wp:extent cx="5731510" cy="2638425"/>
            <wp:effectExtent l="0" t="0" r="2540" b="0"/>
            <wp:docPr id="1588921717"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38425"/>
                    </a:xfrm>
                    <a:prstGeom prst="rect">
                      <a:avLst/>
                    </a:prstGeom>
                    <a:noFill/>
                    <a:ln>
                      <a:noFill/>
                    </a:ln>
                  </pic:spPr>
                </pic:pic>
              </a:graphicData>
            </a:graphic>
          </wp:inline>
        </w:drawing>
      </w:r>
    </w:p>
    <w:p w14:paraId="7825383D"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S6</w:t>
      </w:r>
      <w:r w:rsidRPr="00031A06">
        <w:rPr>
          <w:rFonts w:ascii="Times New Roman" w:hAnsi="Times New Roman" w:cs="Times New Roman"/>
          <w:sz w:val="24"/>
          <w:szCs w:val="24"/>
        </w:rPr>
        <w:t xml:space="preserve"> photoelectron spectra of (a) PID-BT and (b) PID-BTO4.</w:t>
      </w:r>
    </w:p>
    <w:p w14:paraId="46EB6CA1" w14:textId="77777777" w:rsidR="0015669C" w:rsidRPr="00031A06" w:rsidRDefault="0015669C" w:rsidP="00732981">
      <w:pPr>
        <w:widowControl/>
        <w:wordWrap/>
        <w:autoSpaceDE/>
        <w:autoSpaceDN/>
        <w:spacing w:after="0" w:line="240" w:lineRule="auto"/>
        <w:jc w:val="center"/>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73D5C464" wp14:editId="6ADC322D">
            <wp:extent cx="5329555" cy="5329555"/>
            <wp:effectExtent l="0" t="0" r="0" b="0"/>
            <wp:docPr id="143367666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9555" cy="5329555"/>
                    </a:xfrm>
                    <a:prstGeom prst="rect">
                      <a:avLst/>
                    </a:prstGeom>
                    <a:noFill/>
                    <a:ln>
                      <a:noFill/>
                    </a:ln>
                  </pic:spPr>
                </pic:pic>
              </a:graphicData>
            </a:graphic>
          </wp:inline>
        </w:drawing>
      </w:r>
    </w:p>
    <w:p w14:paraId="50B328B1"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S7</w:t>
      </w:r>
      <w:r w:rsidRPr="00031A06">
        <w:rPr>
          <w:rFonts w:ascii="Times New Roman" w:hAnsi="Times New Roman" w:cs="Times New Roman"/>
          <w:sz w:val="24"/>
          <w:szCs w:val="24"/>
        </w:rPr>
        <w:t xml:space="preserve"> Comparison of UV–Vis absorption spectra PID-BT (solution and film), PID-BT@SWCNT, and SWCNT/PID-BT containing different amounts of SWCNT.</w:t>
      </w:r>
    </w:p>
    <w:p w14:paraId="042CDDBB" w14:textId="77777777" w:rsidR="0015669C" w:rsidRPr="00031A06" w:rsidRDefault="0015669C" w:rsidP="00031A06">
      <w:pPr>
        <w:widowControl/>
        <w:wordWrap/>
        <w:autoSpaceDE/>
        <w:autoSpaceDN/>
        <w:spacing w:after="0" w:line="480" w:lineRule="auto"/>
        <w:jc w:val="center"/>
        <w:rPr>
          <w:rFonts w:ascii="Times New Roman" w:hAnsi="Times New Roman" w:cs="Times New Roman"/>
          <w:sz w:val="24"/>
          <w:szCs w:val="24"/>
        </w:rPr>
      </w:pPr>
      <w:r w:rsidRPr="00031A06">
        <w:rPr>
          <w:rFonts w:ascii="Times New Roman" w:hAnsi="Times New Roman" w:cs="Times New Roman"/>
          <w:sz w:val="24"/>
          <w:szCs w:val="24"/>
        </w:rPr>
        <w:br w:type="page"/>
      </w:r>
    </w:p>
    <w:p w14:paraId="4842F0BA"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1C7DE04F" wp14:editId="24130933">
            <wp:extent cx="5731510" cy="2363470"/>
            <wp:effectExtent l="0" t="0" r="0" b="0"/>
            <wp:docPr id="1977516972"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363470"/>
                    </a:xfrm>
                    <a:prstGeom prst="rect">
                      <a:avLst/>
                    </a:prstGeom>
                    <a:noFill/>
                    <a:ln>
                      <a:noFill/>
                    </a:ln>
                  </pic:spPr>
                </pic:pic>
              </a:graphicData>
            </a:graphic>
          </wp:inline>
        </w:drawing>
      </w:r>
    </w:p>
    <w:p w14:paraId="4B19E656"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S8</w:t>
      </w:r>
      <w:r w:rsidRPr="00031A06">
        <w:rPr>
          <w:rFonts w:ascii="Times New Roman" w:hAnsi="Times New Roman" w:cs="Times New Roman"/>
          <w:sz w:val="24"/>
          <w:szCs w:val="24"/>
        </w:rPr>
        <w:t xml:space="preserve"> EMI SE performances of SWCNT/PID-BT composites for (a) pristine and (b) AuCl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-doped free-standing films.</w:t>
      </w:r>
    </w:p>
    <w:p w14:paraId="3BA6581F" w14:textId="77777777" w:rsidR="0015669C" w:rsidRPr="00031A06" w:rsidRDefault="0015669C" w:rsidP="00031A06">
      <w:pPr>
        <w:wordWrap/>
        <w:spacing w:line="480" w:lineRule="auto"/>
        <w:rPr>
          <w:rFonts w:ascii="Times New Roman" w:hAnsi="Times New Roman" w:cs="Times New Roman"/>
          <w:sz w:val="24"/>
          <w:szCs w:val="24"/>
        </w:rPr>
      </w:pPr>
    </w:p>
    <w:p w14:paraId="778F5FCC" w14:textId="3EBEAD79" w:rsidR="0015669C" w:rsidRPr="00031A06" w:rsidRDefault="00732981" w:rsidP="00732981">
      <w:pPr>
        <w:wordWrap/>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D5E48" wp14:editId="37D3891E">
            <wp:extent cx="5654675" cy="3747135"/>
            <wp:effectExtent l="0" t="0" r="3175" b="5715"/>
            <wp:docPr id="101707547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4675" cy="3747135"/>
                    </a:xfrm>
                    <a:prstGeom prst="rect">
                      <a:avLst/>
                    </a:prstGeom>
                    <a:noFill/>
                    <a:ln>
                      <a:noFill/>
                    </a:ln>
                  </pic:spPr>
                </pic:pic>
              </a:graphicData>
            </a:graphic>
          </wp:inline>
        </w:drawing>
      </w:r>
    </w:p>
    <w:p w14:paraId="525AFA56"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S9</w:t>
      </w:r>
      <w:r w:rsidRPr="00031A06">
        <w:rPr>
          <w:rFonts w:ascii="Times New Roman" w:hAnsi="Times New Roman" w:cs="Times New Roman"/>
          <w:sz w:val="24"/>
          <w:szCs w:val="24"/>
        </w:rPr>
        <w:t xml:space="preserve"> SEM images of the SWCNT/CP composite films containing 50 wt.% SWCNT. (a) SWCNT/PFO, (b) SWCNT/PID-BTO4, (c) SWCNT/P3HT, and (d) SWCNT/PBTTT.</w:t>
      </w:r>
    </w:p>
    <w:p w14:paraId="07429E5F" w14:textId="77777777" w:rsidR="0015669C" w:rsidRPr="00031A06" w:rsidRDefault="0015669C" w:rsidP="00031A06">
      <w:pPr>
        <w:wordWrap/>
        <w:spacing w:line="480" w:lineRule="auto"/>
        <w:rPr>
          <w:rFonts w:ascii="Times New Roman" w:hAnsi="Times New Roman" w:cs="Times New Roman"/>
          <w:sz w:val="24"/>
          <w:szCs w:val="24"/>
        </w:rPr>
      </w:pPr>
    </w:p>
    <w:p w14:paraId="21C24FEC" w14:textId="77777777" w:rsidR="0015669C" w:rsidRPr="00031A06" w:rsidRDefault="0015669C" w:rsidP="00031A06">
      <w:pPr>
        <w:wordWrap/>
        <w:spacing w:line="480" w:lineRule="auto"/>
        <w:rPr>
          <w:rFonts w:ascii="Times New Roman" w:hAnsi="Times New Roman" w:cs="Times New Roman"/>
          <w:sz w:val="24"/>
          <w:szCs w:val="24"/>
        </w:rPr>
      </w:pPr>
    </w:p>
    <w:p w14:paraId="05615861"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45FFAA6D" wp14:editId="7C39E332">
            <wp:extent cx="5731510" cy="1515745"/>
            <wp:effectExtent l="0" t="0" r="0" b="8255"/>
            <wp:docPr id="103917969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515745"/>
                    </a:xfrm>
                    <a:prstGeom prst="rect">
                      <a:avLst/>
                    </a:prstGeom>
                    <a:noFill/>
                    <a:ln>
                      <a:noFill/>
                    </a:ln>
                  </pic:spPr>
                </pic:pic>
              </a:graphicData>
            </a:graphic>
          </wp:inline>
        </w:drawing>
      </w:r>
    </w:p>
    <w:p w14:paraId="0288311F"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S10</w:t>
      </w:r>
      <w:r w:rsidRPr="00031A06">
        <w:rPr>
          <w:rFonts w:ascii="Times New Roman" w:hAnsi="Times New Roman" w:cs="Times New Roman"/>
          <w:sz w:val="24"/>
          <w:szCs w:val="24"/>
        </w:rPr>
        <w:t xml:space="preserve"> EMI SE performances of SWCNT/CP composites containing 50 wt.% SWCNT for (a) pristine and (b) F4TCNQ-doped, and (c) AuCl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-doped free-standing films.</w:t>
      </w:r>
    </w:p>
    <w:p w14:paraId="3DD1285C" w14:textId="77777777" w:rsidR="0015669C" w:rsidRPr="00031A06" w:rsidRDefault="0015669C" w:rsidP="00031A06">
      <w:pPr>
        <w:wordWrap/>
        <w:spacing w:line="480" w:lineRule="auto"/>
        <w:rPr>
          <w:rFonts w:ascii="Times New Roman" w:hAnsi="Times New Roman" w:cs="Times New Roman"/>
          <w:sz w:val="24"/>
          <w:szCs w:val="24"/>
        </w:rPr>
      </w:pPr>
    </w:p>
    <w:p w14:paraId="1C0630CF"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drawing>
          <wp:inline distT="0" distB="0" distL="0" distR="0" wp14:anchorId="53CDFFEE" wp14:editId="20E03696">
            <wp:extent cx="5731510" cy="2061845"/>
            <wp:effectExtent l="0" t="0" r="0" b="0"/>
            <wp:docPr id="88919164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61845"/>
                    </a:xfrm>
                    <a:prstGeom prst="rect">
                      <a:avLst/>
                    </a:prstGeom>
                    <a:noFill/>
                    <a:ln>
                      <a:noFill/>
                    </a:ln>
                  </pic:spPr>
                </pic:pic>
              </a:graphicData>
            </a:graphic>
          </wp:inline>
        </w:drawing>
      </w:r>
    </w:p>
    <w:p w14:paraId="348B4872"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S11</w:t>
      </w:r>
      <w:r w:rsidRPr="00031A06">
        <w:rPr>
          <w:rFonts w:ascii="Times New Roman" w:hAnsi="Times New Roman" w:cs="Times New Roman"/>
          <w:sz w:val="24"/>
          <w:szCs w:val="24"/>
        </w:rPr>
        <w:t xml:space="preserve"> Comparison of (a) the tensile stress-strain curve of the SWCNT/PID-BT composite containing 50 wt.% SWCNT and (b) mechanical properties before and after doping.</w:t>
      </w:r>
    </w:p>
    <w:p w14:paraId="5E670FAF" w14:textId="77777777" w:rsidR="0015669C" w:rsidRPr="00031A06" w:rsidRDefault="0015669C" w:rsidP="00031A06">
      <w:pPr>
        <w:wordWrap/>
        <w:spacing w:line="480" w:lineRule="auto"/>
        <w:rPr>
          <w:rFonts w:ascii="Times New Roman" w:hAnsi="Times New Roman" w:cs="Times New Roman"/>
          <w:sz w:val="24"/>
          <w:szCs w:val="24"/>
        </w:rPr>
      </w:pPr>
    </w:p>
    <w:p w14:paraId="32D19759"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lastRenderedPageBreak/>
        <w:drawing>
          <wp:inline distT="0" distB="0" distL="0" distR="0" wp14:anchorId="549AEC43" wp14:editId="5666A306">
            <wp:extent cx="5731510" cy="3399155"/>
            <wp:effectExtent l="0" t="0" r="0" b="0"/>
            <wp:docPr id="39550638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99155"/>
                    </a:xfrm>
                    <a:prstGeom prst="rect">
                      <a:avLst/>
                    </a:prstGeom>
                    <a:noFill/>
                    <a:ln>
                      <a:noFill/>
                    </a:ln>
                  </pic:spPr>
                </pic:pic>
              </a:graphicData>
            </a:graphic>
          </wp:inline>
        </w:drawing>
      </w:r>
    </w:p>
    <w:p w14:paraId="2DA804F4"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S12</w:t>
      </w:r>
      <w:r w:rsidRPr="00031A06">
        <w:rPr>
          <w:rFonts w:ascii="Times New Roman" w:hAnsi="Times New Roman" w:cs="Times New Roman"/>
          <w:sz w:val="24"/>
          <w:szCs w:val="24"/>
        </w:rPr>
        <w:t xml:space="preserve"> The change in EMI SE before and after folding-unfolding cycles at a folding radius of 3R for (a) pristine, (b) F4TCNQ-doped, and (c) AuCl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-doped SWCNT/PID-BT, and at a folding radius of 1R for (d) pristine, (e) F4TCNQ-doped, and (f) AuCl</w:t>
      </w:r>
      <w:r w:rsidRPr="00031A06">
        <w:rPr>
          <w:rFonts w:ascii="Times New Roman" w:hAnsi="Times New Roman" w:cs="Times New Roman"/>
          <w:sz w:val="24"/>
          <w:szCs w:val="24"/>
          <w:vertAlign w:val="subscript"/>
        </w:rPr>
        <w:t>3</w:t>
      </w:r>
      <w:r w:rsidRPr="00031A06">
        <w:rPr>
          <w:rFonts w:ascii="Times New Roman" w:hAnsi="Times New Roman" w:cs="Times New Roman"/>
          <w:sz w:val="24"/>
          <w:szCs w:val="24"/>
        </w:rPr>
        <w:t>-doped SWCNT/PID-BT containing 50 wt.% SWCNT.</w:t>
      </w:r>
    </w:p>
    <w:p w14:paraId="21D2D364" w14:textId="77777777" w:rsidR="0015669C" w:rsidRPr="00031A06" w:rsidRDefault="0015669C" w:rsidP="00031A06">
      <w:pPr>
        <w:wordWrap/>
        <w:spacing w:line="480" w:lineRule="auto"/>
        <w:rPr>
          <w:rFonts w:ascii="Times New Roman" w:hAnsi="Times New Roman" w:cs="Times New Roman"/>
          <w:sz w:val="24"/>
          <w:szCs w:val="24"/>
        </w:rPr>
      </w:pPr>
    </w:p>
    <w:p w14:paraId="3004797F" w14:textId="77777777" w:rsidR="0015669C" w:rsidRPr="00031A06" w:rsidRDefault="0015669C" w:rsidP="00031A06">
      <w:pPr>
        <w:wordWrap/>
        <w:spacing w:line="480" w:lineRule="auto"/>
        <w:rPr>
          <w:rFonts w:ascii="Times New Roman" w:hAnsi="Times New Roman" w:cs="Times New Roman"/>
          <w:sz w:val="24"/>
          <w:szCs w:val="24"/>
        </w:rPr>
      </w:pPr>
    </w:p>
    <w:p w14:paraId="36B5D2A1" w14:textId="77777777" w:rsidR="0015669C" w:rsidRPr="00031A06" w:rsidRDefault="0015669C" w:rsidP="00732981">
      <w:pPr>
        <w:wordWrap/>
        <w:spacing w:line="240" w:lineRule="auto"/>
        <w:jc w:val="center"/>
        <w:rPr>
          <w:rFonts w:ascii="Times New Roman" w:hAnsi="Times New Roman" w:cs="Times New Roman"/>
          <w:sz w:val="24"/>
          <w:szCs w:val="24"/>
        </w:rPr>
      </w:pPr>
      <w:r w:rsidRPr="00031A06">
        <w:rPr>
          <w:rFonts w:ascii="Times New Roman" w:hAnsi="Times New Roman" w:cs="Times New Roman"/>
          <w:noProof/>
          <w:sz w:val="24"/>
          <w:szCs w:val="24"/>
        </w:rPr>
        <w:drawing>
          <wp:inline distT="0" distB="0" distL="0" distR="0" wp14:anchorId="3A891178" wp14:editId="376FFED6">
            <wp:extent cx="3321050" cy="1391285"/>
            <wp:effectExtent l="0" t="0" r="0" b="0"/>
            <wp:docPr id="105945234"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050" cy="1391285"/>
                    </a:xfrm>
                    <a:prstGeom prst="rect">
                      <a:avLst/>
                    </a:prstGeom>
                    <a:noFill/>
                    <a:ln>
                      <a:noFill/>
                    </a:ln>
                  </pic:spPr>
                </pic:pic>
              </a:graphicData>
            </a:graphic>
          </wp:inline>
        </w:drawing>
      </w:r>
    </w:p>
    <w:p w14:paraId="785E4DFD"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b/>
          <w:bCs/>
          <w:sz w:val="24"/>
          <w:szCs w:val="24"/>
        </w:rPr>
        <w:t>Fig. S13</w:t>
      </w:r>
      <w:r w:rsidRPr="00031A06">
        <w:rPr>
          <w:rFonts w:ascii="Times New Roman" w:hAnsi="Times New Roman" w:cs="Times New Roman"/>
          <w:sz w:val="24"/>
          <w:szCs w:val="24"/>
        </w:rPr>
        <w:t xml:space="preserve"> Apparent change of the SWCNT/PID-BT composite film containing 50 wt.% SWCNT after 300,000 folding-unfolding cycles.</w:t>
      </w:r>
    </w:p>
    <w:p w14:paraId="54E2EB81" w14:textId="77777777" w:rsidR="0015669C" w:rsidRPr="00031A06" w:rsidRDefault="0015669C" w:rsidP="00031A06">
      <w:pPr>
        <w:widowControl/>
        <w:wordWrap/>
        <w:autoSpaceDE/>
        <w:autoSpaceDN/>
        <w:spacing w:line="480" w:lineRule="auto"/>
        <w:rPr>
          <w:rFonts w:ascii="Times New Roman" w:hAnsi="Times New Roman" w:cs="Times New Roman"/>
          <w:sz w:val="24"/>
          <w:szCs w:val="24"/>
        </w:rPr>
      </w:pPr>
      <w:r w:rsidRPr="00031A06">
        <w:rPr>
          <w:rFonts w:ascii="Times New Roman" w:hAnsi="Times New Roman" w:cs="Times New Roman"/>
          <w:sz w:val="24"/>
          <w:szCs w:val="24"/>
        </w:rPr>
        <w:br w:type="page"/>
      </w:r>
    </w:p>
    <w:p w14:paraId="2C255652" w14:textId="6251B47E" w:rsidR="0015669C" w:rsidRPr="00031A06" w:rsidRDefault="0015669C" w:rsidP="00031A06">
      <w:pPr>
        <w:widowControl/>
        <w:wordWrap/>
        <w:autoSpaceDE/>
        <w:autoSpaceDN/>
        <w:spacing w:line="480" w:lineRule="auto"/>
        <w:rPr>
          <w:rFonts w:ascii="Times New Roman" w:hAnsi="Times New Roman" w:cs="Times New Roman"/>
          <w:sz w:val="24"/>
          <w:szCs w:val="24"/>
        </w:rPr>
      </w:pPr>
    </w:p>
    <w:p w14:paraId="2F6D580A" w14:textId="77777777" w:rsidR="0015669C" w:rsidRPr="00031A06" w:rsidRDefault="0015669C" w:rsidP="00732981">
      <w:pPr>
        <w:wordWrap/>
        <w:spacing w:line="240" w:lineRule="auto"/>
        <w:rPr>
          <w:rFonts w:ascii="Times New Roman" w:hAnsi="Times New Roman" w:cs="Times New Roman"/>
          <w:sz w:val="24"/>
          <w:szCs w:val="24"/>
        </w:rPr>
      </w:pPr>
      <w:r w:rsidRPr="00031A06">
        <w:rPr>
          <w:rFonts w:ascii="Times New Roman" w:hAnsi="Times New Roman" w:cs="Times New Roman"/>
          <w:noProof/>
          <w:sz w:val="24"/>
          <w:szCs w:val="24"/>
        </w:rPr>
        <w:drawing>
          <wp:inline distT="0" distB="0" distL="0" distR="0" wp14:anchorId="351D2E42" wp14:editId="3B846DAC">
            <wp:extent cx="5731510" cy="2701925"/>
            <wp:effectExtent l="0" t="0" r="2540" b="317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01925"/>
                    </a:xfrm>
                    <a:prstGeom prst="rect">
                      <a:avLst/>
                    </a:prstGeom>
                    <a:noFill/>
                  </pic:spPr>
                </pic:pic>
              </a:graphicData>
            </a:graphic>
          </wp:inline>
        </w:drawing>
      </w:r>
    </w:p>
    <w:p w14:paraId="10D73FB8" w14:textId="05D52137" w:rsidR="0015669C" w:rsidRPr="00031A06" w:rsidRDefault="0015669C" w:rsidP="00732981">
      <w:pPr>
        <w:wordWrap/>
        <w:spacing w:line="240" w:lineRule="auto"/>
        <w:rPr>
          <w:rFonts w:ascii="Times New Roman" w:hAnsi="Times New Roman" w:cs="Times New Roman"/>
          <w:noProof/>
          <w:sz w:val="24"/>
          <w:szCs w:val="24"/>
        </w:rPr>
      </w:pPr>
      <w:r w:rsidRPr="00732981">
        <w:rPr>
          <w:rFonts w:ascii="Times New Roman" w:hAnsi="Times New Roman" w:cs="Times New Roman"/>
          <w:b/>
          <w:sz w:val="24"/>
          <w:szCs w:val="24"/>
        </w:rPr>
        <w:t>Fig</w:t>
      </w:r>
      <w:r w:rsidR="00F2138D" w:rsidRPr="00732981">
        <w:rPr>
          <w:rFonts w:ascii="Times New Roman" w:hAnsi="Times New Roman" w:cs="Times New Roman"/>
          <w:b/>
          <w:sz w:val="24"/>
          <w:szCs w:val="24"/>
        </w:rPr>
        <w:t>.</w:t>
      </w:r>
      <w:r w:rsidRPr="00732981">
        <w:rPr>
          <w:rFonts w:ascii="Times New Roman" w:hAnsi="Times New Roman" w:cs="Times New Roman"/>
          <w:b/>
          <w:sz w:val="24"/>
          <w:szCs w:val="24"/>
        </w:rPr>
        <w:t xml:space="preserve"> S12</w:t>
      </w:r>
      <w:r w:rsidRPr="00031A06">
        <w:rPr>
          <w:rFonts w:ascii="Times New Roman" w:hAnsi="Times New Roman" w:cs="Times New Roman"/>
          <w:sz w:val="24"/>
          <w:szCs w:val="24"/>
        </w:rPr>
        <w:t xml:space="preserve"> SEM images of CNT/CP films with (a) PFO, (b) PID-BTO4, (c) P3HT, (d) PID-BT, and (e) PBTTT.</w:t>
      </w:r>
      <w:r w:rsidRPr="00031A06">
        <w:rPr>
          <w:rFonts w:ascii="Times New Roman" w:hAnsi="Times New Roman" w:cs="Times New Roman"/>
          <w:noProof/>
          <w:sz w:val="24"/>
          <w:szCs w:val="24"/>
        </w:rPr>
        <w:t xml:space="preserve"> </w:t>
      </w:r>
    </w:p>
    <w:p w14:paraId="1520D1CB" w14:textId="77777777" w:rsidR="0015669C" w:rsidRPr="00031A06" w:rsidRDefault="0015669C" w:rsidP="00031A06">
      <w:pPr>
        <w:wordWrap/>
        <w:spacing w:line="480" w:lineRule="auto"/>
        <w:rPr>
          <w:rFonts w:ascii="Times New Roman" w:hAnsi="Times New Roman" w:cs="Times New Roman"/>
          <w:sz w:val="24"/>
          <w:szCs w:val="24"/>
        </w:rPr>
      </w:pPr>
    </w:p>
    <w:p w14:paraId="2BBB15C3" w14:textId="77777777" w:rsidR="0015669C" w:rsidRPr="00B13800" w:rsidRDefault="0015669C" w:rsidP="00B13800">
      <w:pPr>
        <w:wordWrap/>
        <w:spacing w:line="360" w:lineRule="auto"/>
        <w:rPr>
          <w:rFonts w:ascii="Times New Roman" w:hAnsi="Times New Roman" w:cs="Times New Roman"/>
          <w:b/>
          <w:sz w:val="24"/>
          <w:szCs w:val="24"/>
        </w:rPr>
      </w:pPr>
      <w:r w:rsidRPr="00031A06">
        <w:rPr>
          <w:rFonts w:ascii="Times New Roman" w:hAnsi="Times New Roman" w:cs="Times New Roman"/>
          <w:b/>
          <w:sz w:val="24"/>
          <w:szCs w:val="24"/>
        </w:rPr>
        <w:t>Reference</w:t>
      </w:r>
      <w:r w:rsidR="00EE5156" w:rsidRPr="00031A06">
        <w:rPr>
          <w:rFonts w:ascii="Times New Roman" w:hAnsi="Times New Roman" w:cs="Times New Roman"/>
          <w:b/>
          <w:sz w:val="24"/>
          <w:szCs w:val="24"/>
        </w:rPr>
        <w:t>s</w:t>
      </w:r>
    </w:p>
    <w:p w14:paraId="433E99AE" w14:textId="40841EE9"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w:t>
      </w:r>
      <w:r w:rsidRPr="00031A06">
        <w:rPr>
          <w:rFonts w:ascii="Times New Roman" w:hAnsi="Times New Roman" w:cs="Times New Roman"/>
          <w:sz w:val="24"/>
          <w:szCs w:val="24"/>
        </w:rPr>
        <w:tab/>
        <w:t>In YR, Han JM, Kwon JE, Kim B-G, Moon HC (2022) Rational molecular design of electrochromic conjugated polymers: Toward high-performance systems with ultrahigh coloration efficiency. Chem Eng J 433:133808. https://doi.org/10.1016/j.cej.2021.133808</w:t>
      </w:r>
    </w:p>
    <w:p w14:paraId="539A78C2" w14:textId="27A29761"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2.</w:t>
      </w:r>
      <w:r w:rsidRPr="00031A06">
        <w:rPr>
          <w:rFonts w:ascii="Times New Roman" w:hAnsi="Times New Roman" w:cs="Times New Roman"/>
          <w:sz w:val="24"/>
          <w:szCs w:val="24"/>
        </w:rPr>
        <w:tab/>
        <w:t>Park J, Yoon SE, Kang Y, Lee I, Kim JH, Kim B-G (2019) Doping characteristics of isoindoloindole-based conjugated polymer toward robust transformable organic conductor. Org Electron 75:105435. https://doi.org/10.1016/j.orgel.2019.105435</w:t>
      </w:r>
    </w:p>
    <w:p w14:paraId="68178E6E" w14:textId="77777777"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3.</w:t>
      </w:r>
      <w:r w:rsidRPr="00031A06">
        <w:rPr>
          <w:rFonts w:ascii="Times New Roman" w:hAnsi="Times New Roman" w:cs="Times New Roman"/>
          <w:sz w:val="24"/>
          <w:szCs w:val="24"/>
        </w:rPr>
        <w:tab/>
        <w:t>Kondawar SB, Modak PR (2020) Chapter 2 - Theory of EMI shielding. In: Joseph K, Wilson R, George G (eds) Materials for Potential EMI Shielding Applications. Elsevier, p 9-25</w:t>
      </w:r>
    </w:p>
    <w:p w14:paraId="5C91B92D" w14:textId="77777777" w:rsidR="00073FB8"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4.</w:t>
      </w:r>
      <w:r w:rsidRPr="00031A06">
        <w:rPr>
          <w:rFonts w:ascii="Times New Roman" w:hAnsi="Times New Roman" w:cs="Times New Roman"/>
          <w:sz w:val="24"/>
          <w:szCs w:val="24"/>
        </w:rPr>
        <w:tab/>
        <w:t>Jia L-C, Yan D-X, Yang Y, Zhou D, Cui C-H, Bianco E, Lou J, Vajtai R, Li B, Ajayan PM, Li Z-M (2017) High Strain Tolerant EMI Shielding Using Carbon Nanotube Network Stabilized Rubber Composite. Advanced Materials Technologies 2:1700078.</w:t>
      </w:r>
    </w:p>
    <w:p w14:paraId="6ABFF7A3" w14:textId="52CA7A1D" w:rsidR="0015669C" w:rsidRPr="00031A06" w:rsidRDefault="0015669C" w:rsidP="00B13800">
      <w:pPr>
        <w:pStyle w:val="EndNoteBibliography"/>
        <w:spacing w:after="0" w:line="360" w:lineRule="auto"/>
        <w:ind w:left="426"/>
        <w:rPr>
          <w:rFonts w:ascii="Times New Roman" w:hAnsi="Times New Roman" w:cs="Times New Roman"/>
          <w:sz w:val="24"/>
          <w:szCs w:val="24"/>
        </w:rPr>
      </w:pPr>
      <w:r w:rsidRPr="00031A06">
        <w:rPr>
          <w:rFonts w:ascii="Times New Roman" w:hAnsi="Times New Roman" w:cs="Times New Roman"/>
          <w:sz w:val="24"/>
          <w:szCs w:val="24"/>
        </w:rPr>
        <w:t>https://doi.org/10.1002/admt.201700078</w:t>
      </w:r>
    </w:p>
    <w:p w14:paraId="618C14B6" w14:textId="3CBB8C51"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5.</w:t>
      </w:r>
      <w:r w:rsidRPr="00031A06">
        <w:rPr>
          <w:rFonts w:ascii="Times New Roman" w:hAnsi="Times New Roman" w:cs="Times New Roman"/>
          <w:sz w:val="24"/>
          <w:szCs w:val="24"/>
        </w:rPr>
        <w:tab/>
        <w:t>Jia L-C, Xu L, Ren F, Ren P-G, Yan D-X, Li Z-M (2019) Stretchable and durable conductive fabric for ultrahigh performance electromagnetic interference shielding. Carbon 144:101-108. https://doi.org/10.1016/j.carbon.2018.12.034</w:t>
      </w:r>
    </w:p>
    <w:p w14:paraId="5603648E" w14:textId="77777777"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lastRenderedPageBreak/>
        <w:t>6.</w:t>
      </w:r>
      <w:r w:rsidRPr="00031A06">
        <w:rPr>
          <w:rFonts w:ascii="Times New Roman" w:hAnsi="Times New Roman" w:cs="Times New Roman"/>
          <w:sz w:val="24"/>
          <w:szCs w:val="24"/>
        </w:rPr>
        <w:tab/>
        <w:t>Shi Y-Y, Liao S-Y, Wang Q-F, Xu X-Y, Wang X-Y, Gu X-Y, Hu Y-G, Zhu P-L, Sun R, Wan Y-J (2024) Enhancing the Interaction of Carbon Nanotubes by Metal–Organic Decomposition with Improved Mechanical Strength and Ultra-Broadband EMI Shielding Performance. Nano-Micro Lett 16:134. https://doi.org/10.1007/s40820-024-01344-1</w:t>
      </w:r>
    </w:p>
    <w:p w14:paraId="5B357EA4" w14:textId="64420DED"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7.</w:t>
      </w:r>
      <w:r w:rsidRPr="00031A06">
        <w:rPr>
          <w:rFonts w:ascii="Times New Roman" w:hAnsi="Times New Roman" w:cs="Times New Roman"/>
          <w:sz w:val="24"/>
          <w:szCs w:val="24"/>
        </w:rPr>
        <w:tab/>
        <w:t>Liang C, Ruan K, Zhang Y, Gu J (2020) Multifunctional Flexible Electromagnetic Interference Shielding Silver Nanowires/Cellulose Films with Excellent Thermal Management and Joule Heating Performances. ACS Appl Mater Interfaces 12:18023-18031.</w:t>
      </w:r>
      <w:r w:rsidR="00B13800">
        <w:rPr>
          <w:rFonts w:ascii="Times New Roman" w:hAnsi="Times New Roman" w:cs="Times New Roman" w:hint="eastAsia"/>
          <w:sz w:val="24"/>
          <w:szCs w:val="24"/>
        </w:rPr>
        <w:t xml:space="preserve"> </w:t>
      </w:r>
      <w:r w:rsidRPr="00031A06">
        <w:rPr>
          <w:rFonts w:ascii="Times New Roman" w:hAnsi="Times New Roman" w:cs="Times New Roman"/>
          <w:sz w:val="24"/>
          <w:szCs w:val="24"/>
        </w:rPr>
        <w:t>https://doi.org/10.1021/acsami.0c04482</w:t>
      </w:r>
    </w:p>
    <w:p w14:paraId="2E48385D" w14:textId="429234A9"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8.</w:t>
      </w:r>
      <w:r w:rsidRPr="00031A06">
        <w:rPr>
          <w:rFonts w:ascii="Times New Roman" w:hAnsi="Times New Roman" w:cs="Times New Roman"/>
          <w:sz w:val="24"/>
          <w:szCs w:val="24"/>
        </w:rPr>
        <w:tab/>
        <w:t>Guo Z, Ren P, Fu B, Ren F, Jin Y, Sun Z (2020) Multi-layered graphene-Fe3O4/poly (vinylidene fluoride) hybrid composite films for high-efficient electromagnetic shielding. Polymer Testing 89:106652. https://doi.org/10.1016/j.polymertesting.2020.106652</w:t>
      </w:r>
    </w:p>
    <w:p w14:paraId="621464D3" w14:textId="77777777" w:rsidR="00073FB8"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9.</w:t>
      </w:r>
      <w:r w:rsidRPr="00031A06">
        <w:rPr>
          <w:rFonts w:ascii="Times New Roman" w:hAnsi="Times New Roman" w:cs="Times New Roman"/>
          <w:sz w:val="24"/>
          <w:szCs w:val="24"/>
        </w:rPr>
        <w:tab/>
        <w:t>Ren W, Zhu H, Yang Y, Chen Y, Duan H, Zhao G, Liu Y (2020) Flexible and robust silver coated non-woven fabric reinforced waterborne polyurethane films for ultra-efficient electromagnetic shielding. Compos B Eng 184:107745.</w:t>
      </w:r>
    </w:p>
    <w:p w14:paraId="23A71902" w14:textId="22474531" w:rsidR="0015669C" w:rsidRPr="00031A06" w:rsidRDefault="0015669C" w:rsidP="00B13800">
      <w:pPr>
        <w:pStyle w:val="EndNoteBibliography"/>
        <w:spacing w:after="0" w:line="360" w:lineRule="auto"/>
        <w:ind w:left="426"/>
        <w:rPr>
          <w:rFonts w:ascii="Times New Roman" w:hAnsi="Times New Roman" w:cs="Times New Roman"/>
          <w:sz w:val="24"/>
          <w:szCs w:val="24"/>
        </w:rPr>
      </w:pPr>
      <w:r w:rsidRPr="00031A06">
        <w:rPr>
          <w:rFonts w:ascii="Times New Roman" w:hAnsi="Times New Roman" w:cs="Times New Roman"/>
          <w:sz w:val="24"/>
          <w:szCs w:val="24"/>
        </w:rPr>
        <w:t>https://doi.org/10.1016/j.compositesb.2020.107745</w:t>
      </w:r>
    </w:p>
    <w:p w14:paraId="5C7737AB" w14:textId="77777777"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10.</w:t>
      </w:r>
      <w:r w:rsidRPr="00031A06">
        <w:rPr>
          <w:rFonts w:ascii="Times New Roman" w:hAnsi="Times New Roman" w:cs="Times New Roman"/>
          <w:sz w:val="24"/>
          <w:szCs w:val="24"/>
        </w:rPr>
        <w:tab/>
        <w:t>Lei C, Zhang Y, Liu D, Wu K, Fu Q (2020) Metal-Level Robust, Folding Endurance, and Highly Temperature-Stable MXene-Based Film with Engineered Aramid Nanofiber for Extreme-Condition Electromagnetic Interference Shielding Applications. ACS Appl Mater Interfaces 12:26485-26495. https://doi.org/10.1021/acsami.0c07387</w:t>
      </w:r>
    </w:p>
    <w:p w14:paraId="649F8212" w14:textId="77777777"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11.</w:t>
      </w:r>
      <w:r w:rsidRPr="00031A06">
        <w:rPr>
          <w:rFonts w:ascii="Times New Roman" w:hAnsi="Times New Roman" w:cs="Times New Roman"/>
          <w:sz w:val="24"/>
          <w:szCs w:val="24"/>
        </w:rPr>
        <w:tab/>
        <w:t>Sun K, Wang F, Yang W, Liu H, Pan C, Guo Z, Liu C, Shen C (2021) Flexible Conductive Polyimide Fiber/MXene Composite Film for Electromagnetic Interference Shielding and Joule Heating with Excellent Harsh Environment Tolerance. ACS Appl Mater Interfaces 13:50368-50380. https://doi.org/10.1021/acsami.1c15467</w:t>
      </w:r>
    </w:p>
    <w:p w14:paraId="564DDC68" w14:textId="77777777" w:rsidR="0015669C"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12.</w:t>
      </w:r>
      <w:r w:rsidRPr="00031A06">
        <w:rPr>
          <w:rFonts w:ascii="Times New Roman" w:hAnsi="Times New Roman" w:cs="Times New Roman"/>
          <w:sz w:val="24"/>
          <w:szCs w:val="24"/>
        </w:rPr>
        <w:tab/>
        <w:t>Zhao W, Zhao B, Wu Z, Pei K, Qian Y, Luo K, Xu C, Liu M, Wang M, Zhang J, Che R (2023) Dopant Engineering of Flexible MNPs/TPU/PPy Core–Shell Films for Controllable Electromagnetic Interference Shielding. ACS Appl Mater Interfaces 15:28410-28420. https://doi.org/10.1021/acsami.3c02454</w:t>
      </w:r>
    </w:p>
    <w:p w14:paraId="0ADAF7D2" w14:textId="77777777" w:rsidR="00073FB8" w:rsidRPr="00031A06" w:rsidRDefault="0015669C" w:rsidP="00B13800">
      <w:pPr>
        <w:pStyle w:val="EndNoteBibliography"/>
        <w:spacing w:after="0"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13.</w:t>
      </w:r>
      <w:r w:rsidRPr="00031A06">
        <w:rPr>
          <w:rFonts w:ascii="Times New Roman" w:hAnsi="Times New Roman" w:cs="Times New Roman"/>
          <w:sz w:val="24"/>
          <w:szCs w:val="24"/>
        </w:rPr>
        <w:tab/>
        <w:t>Li B, Wu N, Yang Y, Pan F, Wang C, Wang G, Xiao L, Liu W, Liu J, Zeng Z (2023) Graphene Oxide-Assisted Multiple Cross-Linking of MXene for Large-Area, High-Strength, Oxidation-Resistant, and Multifunctional Films. Adv Funct Mater 33:2213357.</w:t>
      </w:r>
    </w:p>
    <w:p w14:paraId="040D62E4" w14:textId="7099826D" w:rsidR="0015669C" w:rsidRPr="00031A06" w:rsidRDefault="0015669C" w:rsidP="00B13800">
      <w:pPr>
        <w:pStyle w:val="EndNoteBibliography"/>
        <w:spacing w:after="0" w:line="360" w:lineRule="auto"/>
        <w:ind w:left="426"/>
        <w:rPr>
          <w:rFonts w:ascii="Times New Roman" w:hAnsi="Times New Roman" w:cs="Times New Roman"/>
          <w:sz w:val="24"/>
          <w:szCs w:val="24"/>
        </w:rPr>
      </w:pPr>
      <w:r w:rsidRPr="00031A06">
        <w:rPr>
          <w:rFonts w:ascii="Times New Roman" w:hAnsi="Times New Roman" w:cs="Times New Roman"/>
          <w:sz w:val="24"/>
          <w:szCs w:val="24"/>
        </w:rPr>
        <w:t>https://doi.org/10.1002/adfm.202213357</w:t>
      </w:r>
    </w:p>
    <w:p w14:paraId="109787E4" w14:textId="77777777" w:rsidR="0015669C" w:rsidRPr="00031A06" w:rsidRDefault="0015669C" w:rsidP="00B13800">
      <w:pPr>
        <w:pStyle w:val="EndNoteBibliography"/>
        <w:spacing w:line="360" w:lineRule="auto"/>
        <w:ind w:left="426" w:hanging="426"/>
        <w:rPr>
          <w:rFonts w:ascii="Times New Roman" w:hAnsi="Times New Roman" w:cs="Times New Roman"/>
          <w:sz w:val="24"/>
          <w:szCs w:val="24"/>
        </w:rPr>
      </w:pPr>
      <w:r w:rsidRPr="00031A06">
        <w:rPr>
          <w:rFonts w:ascii="Times New Roman" w:hAnsi="Times New Roman" w:cs="Times New Roman"/>
          <w:sz w:val="24"/>
          <w:szCs w:val="24"/>
        </w:rPr>
        <w:t>14.</w:t>
      </w:r>
      <w:r w:rsidRPr="00031A06">
        <w:rPr>
          <w:rFonts w:ascii="Times New Roman" w:hAnsi="Times New Roman" w:cs="Times New Roman"/>
          <w:sz w:val="24"/>
          <w:szCs w:val="24"/>
        </w:rPr>
        <w:tab/>
        <w:t xml:space="preserve">Zheng S, Wu N, Liu Y, Wu Q, Yang Y, Li B, Hu C, Liu J, Zeng Z (2023) Multifunctional flexible, crosslinked composites composed of trashed MXene sediment with high </w:t>
      </w:r>
      <w:r w:rsidRPr="00031A06">
        <w:rPr>
          <w:rFonts w:ascii="Times New Roman" w:hAnsi="Times New Roman" w:cs="Times New Roman"/>
          <w:sz w:val="24"/>
          <w:szCs w:val="24"/>
        </w:rPr>
        <w:lastRenderedPageBreak/>
        <w:t>electromagnetic interference shielding performance. Advanced Composites and Hybrid Materials 6:161. https://doi.org/10.1007/s42114-023-00741-1</w:t>
      </w:r>
    </w:p>
    <w:p w14:paraId="2044FF1C" w14:textId="77777777" w:rsidR="0015669C" w:rsidRPr="00031A06" w:rsidRDefault="0015669C" w:rsidP="00031A06">
      <w:pPr>
        <w:wordWrap/>
        <w:spacing w:line="480" w:lineRule="auto"/>
        <w:rPr>
          <w:rFonts w:ascii="Times New Roman" w:hAnsi="Times New Roman" w:cs="Times New Roman"/>
          <w:sz w:val="24"/>
          <w:szCs w:val="24"/>
        </w:rPr>
      </w:pPr>
    </w:p>
    <w:p w14:paraId="11FBA161" w14:textId="77777777" w:rsidR="00C54391" w:rsidRPr="00031A06" w:rsidRDefault="00C54391" w:rsidP="00031A06">
      <w:pPr>
        <w:spacing w:line="480" w:lineRule="auto"/>
        <w:rPr>
          <w:rFonts w:ascii="Times New Roman" w:hAnsi="Times New Roman" w:cs="Times New Roman"/>
          <w:sz w:val="24"/>
          <w:szCs w:val="24"/>
        </w:rPr>
      </w:pPr>
    </w:p>
    <w:sectPr w:rsidR="00C54391" w:rsidRPr="00031A06" w:rsidSect="00031A06">
      <w:footerReference w:type="default" r:id="rId24"/>
      <w:pgSz w:w="11906" w:h="16838"/>
      <w:pgMar w:top="1701" w:right="1440" w:bottom="1440" w:left="1440"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83F1D" w14:textId="77777777" w:rsidR="0008607C" w:rsidRDefault="0008607C">
      <w:pPr>
        <w:spacing w:after="0" w:line="240" w:lineRule="auto"/>
      </w:pPr>
      <w:r>
        <w:separator/>
      </w:r>
    </w:p>
  </w:endnote>
  <w:endnote w:type="continuationSeparator" w:id="0">
    <w:p w14:paraId="2547E300" w14:textId="77777777" w:rsidR="0008607C" w:rsidRDefault="00086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285646"/>
      <w:docPartObj>
        <w:docPartGallery w:val="Page Numbers (Bottom of Page)"/>
        <w:docPartUnique/>
      </w:docPartObj>
    </w:sdtPr>
    <w:sdtContent>
      <w:p w14:paraId="49762C67" w14:textId="6635D522" w:rsidR="00031A06" w:rsidRDefault="00031A06">
        <w:pPr>
          <w:pStyle w:val="a4"/>
          <w:jc w:val="center"/>
        </w:pPr>
        <w:r>
          <w:fldChar w:fldCharType="begin"/>
        </w:r>
        <w:r>
          <w:instrText>PAGE   \* MERGEFORMAT</w:instrText>
        </w:r>
        <w:r>
          <w:fldChar w:fldCharType="separate"/>
        </w:r>
        <w:r>
          <w:rPr>
            <w:lang w:val="ko-KR"/>
          </w:rPr>
          <w:t>2</w:t>
        </w:r>
        <w:r>
          <w:fldChar w:fldCharType="end"/>
        </w:r>
      </w:p>
    </w:sdtContent>
  </w:sdt>
  <w:p w14:paraId="654F5825" w14:textId="77777777" w:rsidR="00805215" w:rsidRDefault="0080521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994A2" w14:textId="77777777" w:rsidR="0008607C" w:rsidRDefault="0008607C">
      <w:pPr>
        <w:spacing w:after="0" w:line="240" w:lineRule="auto"/>
      </w:pPr>
      <w:r>
        <w:separator/>
      </w:r>
    </w:p>
  </w:footnote>
  <w:footnote w:type="continuationSeparator" w:id="0">
    <w:p w14:paraId="3776A963" w14:textId="77777777" w:rsidR="0008607C" w:rsidRDefault="000860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669C"/>
    <w:rsid w:val="00031A06"/>
    <w:rsid w:val="00073FB8"/>
    <w:rsid w:val="0008607C"/>
    <w:rsid w:val="0015669C"/>
    <w:rsid w:val="001728FB"/>
    <w:rsid w:val="003060A3"/>
    <w:rsid w:val="0055469F"/>
    <w:rsid w:val="005B134C"/>
    <w:rsid w:val="006F60E2"/>
    <w:rsid w:val="0072214C"/>
    <w:rsid w:val="00732981"/>
    <w:rsid w:val="007A0A9A"/>
    <w:rsid w:val="00805215"/>
    <w:rsid w:val="009C33B9"/>
    <w:rsid w:val="00A11AB1"/>
    <w:rsid w:val="00A72AE8"/>
    <w:rsid w:val="00AF754E"/>
    <w:rsid w:val="00B13800"/>
    <w:rsid w:val="00B54204"/>
    <w:rsid w:val="00C54391"/>
    <w:rsid w:val="00CC32DC"/>
    <w:rsid w:val="00E251C2"/>
    <w:rsid w:val="00E93DFA"/>
    <w:rsid w:val="00EE5156"/>
    <w:rsid w:val="00EE5812"/>
    <w:rsid w:val="00F2138D"/>
    <w:rsid w:val="00FA1A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50E7B"/>
  <w15:chartTrackingRefBased/>
  <w15:docId w15:val="{3E91D26E-AC9A-4099-94BB-25396111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69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669C"/>
    <w:pPr>
      <w:tabs>
        <w:tab w:val="center" w:pos="4513"/>
        <w:tab w:val="right" w:pos="9026"/>
      </w:tabs>
      <w:snapToGrid w:val="0"/>
    </w:pPr>
  </w:style>
  <w:style w:type="character" w:customStyle="1" w:styleId="Char">
    <w:name w:val="머리글 Char"/>
    <w:basedOn w:val="a0"/>
    <w:link w:val="a3"/>
    <w:uiPriority w:val="99"/>
    <w:rsid w:val="0015669C"/>
  </w:style>
  <w:style w:type="paragraph" w:styleId="a4">
    <w:name w:val="footer"/>
    <w:basedOn w:val="a"/>
    <w:link w:val="Char0"/>
    <w:uiPriority w:val="99"/>
    <w:unhideWhenUsed/>
    <w:rsid w:val="0015669C"/>
    <w:pPr>
      <w:tabs>
        <w:tab w:val="center" w:pos="4513"/>
        <w:tab w:val="right" w:pos="9026"/>
      </w:tabs>
      <w:snapToGrid w:val="0"/>
    </w:pPr>
  </w:style>
  <w:style w:type="character" w:customStyle="1" w:styleId="Char0">
    <w:name w:val="바닥글 Char"/>
    <w:basedOn w:val="a0"/>
    <w:link w:val="a4"/>
    <w:uiPriority w:val="99"/>
    <w:rsid w:val="0015669C"/>
  </w:style>
  <w:style w:type="paragraph" w:styleId="a5">
    <w:name w:val="Normal (Web)"/>
    <w:basedOn w:val="a"/>
    <w:uiPriority w:val="99"/>
    <w:semiHidden/>
    <w:unhideWhenUsed/>
    <w:rsid w:val="0015669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Placeholder Text"/>
    <w:basedOn w:val="a0"/>
    <w:uiPriority w:val="99"/>
    <w:semiHidden/>
    <w:rsid w:val="0015669C"/>
    <w:rPr>
      <w:color w:val="808080"/>
    </w:rPr>
  </w:style>
  <w:style w:type="paragraph" w:styleId="a7">
    <w:name w:val="List Paragraph"/>
    <w:basedOn w:val="a"/>
    <w:uiPriority w:val="52"/>
    <w:qFormat/>
    <w:rsid w:val="0015669C"/>
    <w:pPr>
      <w:ind w:left="720"/>
      <w:contextualSpacing/>
    </w:pPr>
  </w:style>
  <w:style w:type="table" w:styleId="a8">
    <w:name w:val="Table Grid"/>
    <w:basedOn w:val="a1"/>
    <w:uiPriority w:val="57"/>
    <w:rsid w:val="001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15669C"/>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15669C"/>
    <w:rPr>
      <w:rFonts w:ascii="맑은 고딕" w:eastAsia="맑은 고딕" w:hAnsi="맑은 고딕"/>
      <w:noProof/>
    </w:rPr>
  </w:style>
  <w:style w:type="paragraph" w:customStyle="1" w:styleId="EndNoteBibliography">
    <w:name w:val="EndNote Bibliography"/>
    <w:basedOn w:val="a"/>
    <w:link w:val="EndNoteBibliographyChar"/>
    <w:rsid w:val="0015669C"/>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15669C"/>
    <w:rPr>
      <w:rFonts w:ascii="맑은 고딕" w:eastAsia="맑은 고딕" w:hAnsi="맑은 고딕"/>
      <w:noProof/>
    </w:rPr>
  </w:style>
  <w:style w:type="character" w:styleId="a9">
    <w:name w:val="Hyperlink"/>
    <w:basedOn w:val="a0"/>
    <w:uiPriority w:val="99"/>
    <w:unhideWhenUsed/>
    <w:rsid w:val="0015669C"/>
    <w:rPr>
      <w:color w:val="0563C1" w:themeColor="hyperlink"/>
      <w:u w:val="single"/>
    </w:rPr>
  </w:style>
  <w:style w:type="character" w:styleId="aa">
    <w:name w:val="Unresolved Mention"/>
    <w:basedOn w:val="a0"/>
    <w:uiPriority w:val="99"/>
    <w:semiHidden/>
    <w:unhideWhenUsed/>
    <w:rsid w:val="0015669C"/>
    <w:rPr>
      <w:color w:val="605E5C"/>
      <w:shd w:val="clear" w:color="auto" w:fill="E1DFDD"/>
    </w:rPr>
  </w:style>
  <w:style w:type="paragraph" w:styleId="ab">
    <w:name w:val="Balloon Text"/>
    <w:basedOn w:val="a"/>
    <w:link w:val="Char1"/>
    <w:uiPriority w:val="99"/>
    <w:semiHidden/>
    <w:unhideWhenUsed/>
    <w:rsid w:val="0015669C"/>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b"/>
    <w:uiPriority w:val="99"/>
    <w:semiHidden/>
    <w:rsid w:val="0015669C"/>
    <w:rPr>
      <w:rFonts w:asciiTheme="majorHAnsi" w:eastAsiaTheme="majorEastAsia" w:hAnsiTheme="majorHAnsi" w:cstheme="majorBidi"/>
      <w:sz w:val="18"/>
      <w:szCs w:val="18"/>
    </w:rPr>
  </w:style>
  <w:style w:type="paragraph" w:styleId="ac">
    <w:name w:val="Revision"/>
    <w:hidden/>
    <w:uiPriority w:val="99"/>
    <w:semiHidden/>
    <w:rsid w:val="00E251C2"/>
    <w:pPr>
      <w:spacing w:after="0" w:line="240" w:lineRule="auto"/>
      <w:jc w:val="left"/>
    </w:pPr>
  </w:style>
  <w:style w:type="character" w:styleId="ad">
    <w:name w:val="annotation reference"/>
    <w:basedOn w:val="a0"/>
    <w:uiPriority w:val="99"/>
    <w:semiHidden/>
    <w:unhideWhenUsed/>
    <w:rsid w:val="00E251C2"/>
    <w:rPr>
      <w:sz w:val="16"/>
      <w:szCs w:val="16"/>
    </w:rPr>
  </w:style>
  <w:style w:type="paragraph" w:styleId="ae">
    <w:name w:val="annotation text"/>
    <w:basedOn w:val="a"/>
    <w:link w:val="Char2"/>
    <w:uiPriority w:val="99"/>
    <w:unhideWhenUsed/>
    <w:rsid w:val="00E251C2"/>
    <w:pPr>
      <w:spacing w:line="240" w:lineRule="auto"/>
    </w:pPr>
    <w:rPr>
      <w:szCs w:val="20"/>
    </w:rPr>
  </w:style>
  <w:style w:type="character" w:customStyle="1" w:styleId="Char2">
    <w:name w:val="메모 텍스트 Char"/>
    <w:basedOn w:val="a0"/>
    <w:link w:val="ae"/>
    <w:uiPriority w:val="99"/>
    <w:rsid w:val="00E251C2"/>
    <w:rPr>
      <w:szCs w:val="20"/>
    </w:rPr>
  </w:style>
  <w:style w:type="paragraph" w:styleId="af">
    <w:name w:val="annotation subject"/>
    <w:basedOn w:val="ae"/>
    <w:next w:val="ae"/>
    <w:link w:val="Char3"/>
    <w:uiPriority w:val="99"/>
    <w:semiHidden/>
    <w:unhideWhenUsed/>
    <w:rsid w:val="00E251C2"/>
    <w:rPr>
      <w:b/>
      <w:bCs/>
    </w:rPr>
  </w:style>
  <w:style w:type="character" w:customStyle="1" w:styleId="Char3">
    <w:name w:val="메모 주제 Char"/>
    <w:basedOn w:val="Char2"/>
    <w:link w:val="af"/>
    <w:uiPriority w:val="99"/>
    <w:semiHidden/>
    <w:rsid w:val="00E251C2"/>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kim2015@konkuk.ac.kr" TargetMode="External"/><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mailto:swhong@kitech.re.kr"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77864-5ADE-4258-B656-F63D48BF7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2040</Words>
  <Characters>11630</Characters>
  <Application>Microsoft Office Word</Application>
  <DocSecurity>0</DocSecurity>
  <Lines>96</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김민선</dc:creator>
  <cp:keywords/>
  <dc:description/>
  <cp:lastModifiedBy>김봉기</cp:lastModifiedBy>
  <cp:revision>3</cp:revision>
  <dcterms:created xsi:type="dcterms:W3CDTF">2025-04-30T08:09:00Z</dcterms:created>
  <dcterms:modified xsi:type="dcterms:W3CDTF">2025-05-02T04:04:00Z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a2f9baf1-c00a-46ff-a372-2e590e018cde</vt:lpwstr>
  </property>
</Properties>
</file>