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C5C4" w14:textId="1DBB0CEB" w:rsidR="006057F5" w:rsidRPr="00641BA8" w:rsidRDefault="006057F5" w:rsidP="00641BA8">
      <w:pPr>
        <w:pStyle w:val="Heading4"/>
      </w:pPr>
      <w:r w:rsidRPr="00425A38">
        <w:t xml:space="preserve">Supplementary </w:t>
      </w:r>
      <w:r w:rsidR="00FC10CE">
        <w:t>tables and figures</w:t>
      </w:r>
      <w:r w:rsidRPr="00425A38">
        <w:t xml:space="preserve"> for the cohort paper </w:t>
      </w:r>
    </w:p>
    <w:p w14:paraId="3786A34D" w14:textId="77777777" w:rsidR="00425A38" w:rsidRDefault="00425A38" w:rsidP="006057F5">
      <w:pPr>
        <w:rPr>
          <w:rFonts w:ascii="Cambria" w:hAnsi="Cambria"/>
          <w:sz w:val="22"/>
        </w:rPr>
      </w:pPr>
    </w:p>
    <w:p w14:paraId="2B994853" w14:textId="77777777" w:rsidR="00425A38" w:rsidRPr="00425A38" w:rsidRDefault="00425A38" w:rsidP="006057F5">
      <w:pPr>
        <w:rPr>
          <w:rFonts w:ascii="Cambria" w:hAnsi="Cambria"/>
          <w:sz w:val="22"/>
        </w:rPr>
      </w:pPr>
    </w:p>
    <w:p w14:paraId="221DDD00" w14:textId="77777777" w:rsidR="006057F5" w:rsidRPr="00425A38" w:rsidRDefault="006057F5" w:rsidP="006057F5">
      <w:pPr>
        <w:rPr>
          <w:rFonts w:ascii="Cambria" w:hAnsi="Cambria"/>
          <w:sz w:val="22"/>
        </w:rPr>
      </w:pPr>
    </w:p>
    <w:p w14:paraId="6EB418F2" w14:textId="77777777" w:rsidR="006057F5" w:rsidRPr="00425A38" w:rsidRDefault="006057F5" w:rsidP="006057F5">
      <w:pPr>
        <w:rPr>
          <w:rFonts w:ascii="Cambria" w:hAnsi="Cambria"/>
          <w:sz w:val="22"/>
        </w:rPr>
      </w:pPr>
    </w:p>
    <w:p w14:paraId="0E2DF4DA" w14:textId="77777777" w:rsidR="006057F5" w:rsidRPr="00425A38" w:rsidRDefault="006057F5" w:rsidP="006057F5">
      <w:pPr>
        <w:rPr>
          <w:rFonts w:ascii="Cambria" w:hAnsi="Cambria"/>
          <w:sz w:val="22"/>
        </w:rPr>
      </w:pPr>
    </w:p>
    <w:p w14:paraId="14170945" w14:textId="77777777" w:rsidR="006057F5" w:rsidRPr="00425A38" w:rsidRDefault="006057F5" w:rsidP="006057F5">
      <w:pPr>
        <w:rPr>
          <w:rFonts w:ascii="Cambria" w:hAnsi="Cambria"/>
          <w:sz w:val="22"/>
        </w:rPr>
      </w:pPr>
      <w:r w:rsidRPr="00425A38">
        <w:rPr>
          <w:rFonts w:ascii="Cambria" w:hAnsi="Cambria"/>
          <w:noProof/>
          <w:sz w:val="22"/>
        </w:rPr>
        <w:drawing>
          <wp:inline distT="0" distB="0" distL="0" distR="0" wp14:anchorId="5B67084C" wp14:editId="1AB63ACE">
            <wp:extent cx="5731510" cy="3898265"/>
            <wp:effectExtent l="0" t="0" r="0" b="635"/>
            <wp:docPr id="304198201" name="Picture 1" descr="A graph of different colored column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198201" name="Picture 1" descr="A graph of different colored column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B46C6" w14:textId="5678C77F" w:rsidR="006057F5" w:rsidRDefault="001A6E35" w:rsidP="006057F5">
      <w:pPr>
        <w:rPr>
          <w:rFonts w:ascii="Cambria" w:hAnsi="Cambria"/>
          <w:sz w:val="22"/>
        </w:rPr>
      </w:pPr>
      <w:r w:rsidRPr="00425A38">
        <w:rPr>
          <w:rFonts w:ascii="Cambria" w:hAnsi="Cambria"/>
          <w:sz w:val="22"/>
        </w:rPr>
        <w:t>Supplementary Figure 1</w:t>
      </w:r>
      <w:r w:rsidR="006057F5" w:rsidRPr="00425A38">
        <w:rPr>
          <w:rFonts w:ascii="Cambria" w:hAnsi="Cambria"/>
          <w:sz w:val="22"/>
        </w:rPr>
        <w:t xml:space="preserve">. Distribution of family history by diagnostic age group and sex. Bar chart showing the percentage distribution of first-degree family history. Numbers above bars indicate actual counts. </w:t>
      </w:r>
    </w:p>
    <w:p w14:paraId="50BCFA53" w14:textId="77777777" w:rsidR="00425A38" w:rsidRDefault="00425A38" w:rsidP="006057F5">
      <w:pPr>
        <w:rPr>
          <w:rFonts w:ascii="Cambria" w:hAnsi="Cambria"/>
          <w:sz w:val="22"/>
        </w:rPr>
      </w:pPr>
    </w:p>
    <w:p w14:paraId="25B453B8" w14:textId="77777777" w:rsidR="00425A38" w:rsidRDefault="00425A38" w:rsidP="006057F5">
      <w:pPr>
        <w:rPr>
          <w:rFonts w:ascii="Cambria" w:hAnsi="Cambria"/>
          <w:sz w:val="22"/>
        </w:rPr>
      </w:pPr>
    </w:p>
    <w:p w14:paraId="20110563" w14:textId="77777777" w:rsidR="00425A38" w:rsidRDefault="00425A38" w:rsidP="006057F5">
      <w:pPr>
        <w:rPr>
          <w:rFonts w:ascii="Cambria" w:hAnsi="Cambria"/>
          <w:sz w:val="22"/>
        </w:rPr>
      </w:pPr>
    </w:p>
    <w:p w14:paraId="089B7803" w14:textId="77777777" w:rsidR="00425A38" w:rsidRDefault="00425A38" w:rsidP="006057F5">
      <w:pPr>
        <w:rPr>
          <w:rFonts w:ascii="Cambria" w:hAnsi="Cambria"/>
          <w:sz w:val="22"/>
        </w:rPr>
      </w:pPr>
    </w:p>
    <w:p w14:paraId="757883DC" w14:textId="77777777" w:rsidR="00425A38" w:rsidRDefault="00425A38" w:rsidP="006057F5">
      <w:pPr>
        <w:rPr>
          <w:rFonts w:ascii="Cambria" w:hAnsi="Cambria"/>
          <w:sz w:val="22"/>
        </w:rPr>
      </w:pPr>
    </w:p>
    <w:p w14:paraId="3EAB5338" w14:textId="77777777" w:rsidR="00425A38" w:rsidRPr="00425A38" w:rsidRDefault="00425A38" w:rsidP="006057F5">
      <w:pPr>
        <w:rPr>
          <w:rFonts w:ascii="Cambria" w:hAnsi="Cambria"/>
          <w:sz w:val="22"/>
        </w:rPr>
      </w:pPr>
    </w:p>
    <w:p w14:paraId="3D1F8B19" w14:textId="77777777" w:rsidR="001A6E35" w:rsidRPr="00425A38" w:rsidRDefault="001A6E35" w:rsidP="00D678F3">
      <w:pPr>
        <w:rPr>
          <w:rFonts w:ascii="Cambria" w:hAnsi="Cambria"/>
          <w:sz w:val="22"/>
        </w:rPr>
      </w:pPr>
    </w:p>
    <w:p w14:paraId="641BFF8A" w14:textId="77777777" w:rsidR="001A6E35" w:rsidRPr="00425A38" w:rsidRDefault="001A6E35" w:rsidP="00D678F3">
      <w:pPr>
        <w:rPr>
          <w:rFonts w:ascii="Cambria" w:hAnsi="Cambria"/>
          <w:sz w:val="22"/>
        </w:rPr>
      </w:pPr>
    </w:p>
    <w:p w14:paraId="1665C247" w14:textId="42ED7015" w:rsidR="00D678F3" w:rsidRPr="00425A38" w:rsidRDefault="00D678F3" w:rsidP="7E3BEFFB">
      <w:pPr>
        <w:rPr>
          <w:rFonts w:ascii="Cambria" w:hAnsi="Cambria"/>
          <w:sz w:val="22"/>
        </w:rPr>
      </w:pPr>
      <w:r>
        <w:rPr>
          <w:noProof/>
        </w:rPr>
        <w:lastRenderedPageBreak/>
        <w:drawing>
          <wp:inline distT="0" distB="0" distL="0" distR="0" wp14:anchorId="23EA9085" wp14:editId="3F46CA2C">
            <wp:extent cx="5731510" cy="3898265"/>
            <wp:effectExtent l="0" t="0" r="0" b="635"/>
            <wp:docPr id="1022409996" name="Picture 1" descr="A graph of different stages of develop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E3BEFFB" w:rsidRPr="7E3BEFFB">
        <w:rPr>
          <w:rFonts w:ascii="Cambria" w:hAnsi="Cambria"/>
          <w:sz w:val="22"/>
        </w:rPr>
        <w:t xml:space="preserve">Supplementary Figure 2. Post-diagnosis IQ scores stratified by (A) developmental milestone status and (B) comorbidity status, split by sex. </w:t>
      </w:r>
    </w:p>
    <w:p w14:paraId="0688DB1A" w14:textId="2EA543A3" w:rsidR="00D678F3" w:rsidRPr="00425A38" w:rsidRDefault="00D678F3" w:rsidP="7E3BEFFB">
      <w:pPr>
        <w:rPr>
          <w:rFonts w:ascii="Cambria" w:hAnsi="Cambria"/>
          <w:sz w:val="22"/>
        </w:rPr>
      </w:pPr>
    </w:p>
    <w:p w14:paraId="6C1A94F4" w14:textId="3A361332" w:rsidR="00D678F3" w:rsidRPr="00425A38" w:rsidRDefault="7E3BEFFB" w:rsidP="7E3BEFFB">
      <w:pPr>
        <w:rPr>
          <w:rFonts w:ascii="Cambria" w:hAnsi="Cambria"/>
          <w:sz w:val="22"/>
        </w:rPr>
      </w:pPr>
      <w:r w:rsidRPr="7E3BEFFB">
        <w:rPr>
          <w:rFonts w:ascii="Cambria" w:hAnsi="Cambria"/>
          <w:sz w:val="22"/>
        </w:rPr>
        <w:t xml:space="preserve">Developmental milestone status was derived from a combination of clinical records and parental interviews conducted at the time of recruitment. Classification of ‘delayed’ milestones was based on either a recorded symptom e.g. speech delay/ developmental delay or parental reports of early speech, motor or other developmental concerns. </w:t>
      </w:r>
    </w:p>
    <w:p w14:paraId="4F54E2EB" w14:textId="386A5844" w:rsidR="00D678F3" w:rsidRPr="00425A38" w:rsidRDefault="00D678F3" w:rsidP="7E3BEFFB">
      <w:pPr>
        <w:rPr>
          <w:rFonts w:ascii="Cambria" w:hAnsi="Cambria"/>
          <w:sz w:val="22"/>
        </w:rPr>
      </w:pPr>
    </w:p>
    <w:p w14:paraId="3327F2DE" w14:textId="2C452CEE" w:rsidR="00D678F3" w:rsidRPr="00425A38" w:rsidRDefault="7E3BEFFB" w:rsidP="7E3BEFFB">
      <w:pPr>
        <w:rPr>
          <w:rFonts w:ascii="Cambria" w:hAnsi="Cambria"/>
          <w:sz w:val="22"/>
        </w:rPr>
      </w:pPr>
      <w:r w:rsidRPr="7E3BEFFB">
        <w:rPr>
          <w:rFonts w:ascii="Cambria" w:hAnsi="Cambria"/>
          <w:sz w:val="22"/>
        </w:rPr>
        <w:t xml:space="preserve">This plot suggests that individuals, particularly males with a history of delayed developmental milestones showed lower post-diagnosis IQ scores compared to those without delays. A similar pattern was observed for individuals with comorbid diagnoses though the magnitude of the difference between comorbid and non-comorbid groups appeared smaller. </w:t>
      </w:r>
    </w:p>
    <w:p w14:paraId="005C7CCA" w14:textId="7D922CE9" w:rsidR="00D678F3" w:rsidRPr="00425A38" w:rsidRDefault="00D678F3" w:rsidP="7E3BEFFB">
      <w:pPr>
        <w:rPr>
          <w:rFonts w:ascii="Cambria" w:hAnsi="Cambria"/>
          <w:sz w:val="22"/>
        </w:rPr>
      </w:pPr>
    </w:p>
    <w:p w14:paraId="5933665B" w14:textId="77777777" w:rsidR="00D678F3" w:rsidRPr="00425A38" w:rsidRDefault="00D678F3" w:rsidP="00D678F3">
      <w:pPr>
        <w:rPr>
          <w:rFonts w:ascii="Cambria" w:hAnsi="Cambria"/>
          <w:sz w:val="22"/>
        </w:rPr>
      </w:pPr>
    </w:p>
    <w:p w14:paraId="58C519FB" w14:textId="67145F95" w:rsidR="006057F5" w:rsidRPr="00425A38" w:rsidRDefault="006057F5" w:rsidP="7E3BEFFB">
      <w:pPr>
        <w:spacing w:before="240" w:after="240"/>
        <w:rPr>
          <w:rFonts w:ascii="Cambria" w:eastAsia="Cambria" w:hAnsi="Cambria" w:cs="Cambria"/>
          <w:color w:val="000000" w:themeColor="text1"/>
          <w:sz w:val="22"/>
        </w:rPr>
      </w:pPr>
    </w:p>
    <w:p w14:paraId="57E38C9C" w14:textId="77777777" w:rsidR="006057F5" w:rsidRPr="00425A38" w:rsidRDefault="006057F5">
      <w:pPr>
        <w:rPr>
          <w:rFonts w:ascii="Cambria" w:hAnsi="Cambria"/>
          <w:sz w:val="22"/>
        </w:rPr>
      </w:pPr>
    </w:p>
    <w:p w14:paraId="4BC23312" w14:textId="77777777" w:rsidR="006057F5" w:rsidRPr="00425A38" w:rsidRDefault="006057F5">
      <w:pPr>
        <w:rPr>
          <w:rFonts w:ascii="Cambria" w:hAnsi="Cambria"/>
          <w:sz w:val="22"/>
        </w:rPr>
      </w:pPr>
    </w:p>
    <w:p w14:paraId="4021A1A1" w14:textId="77777777" w:rsidR="006057F5" w:rsidRPr="00425A38" w:rsidRDefault="006057F5">
      <w:pPr>
        <w:rPr>
          <w:rFonts w:ascii="Cambria" w:hAnsi="Cambria"/>
          <w:sz w:val="22"/>
        </w:rPr>
      </w:pPr>
    </w:p>
    <w:p w14:paraId="30DF1801" w14:textId="5E682AB2" w:rsidR="006057F5" w:rsidRPr="00425A38" w:rsidRDefault="006057F5" w:rsidP="3A76A3DF">
      <w:pPr>
        <w:rPr>
          <w:rFonts w:ascii="Cambria" w:hAnsi="Cambria"/>
          <w:sz w:val="22"/>
        </w:rPr>
      </w:pPr>
      <w:r>
        <w:rPr>
          <w:noProof/>
        </w:rPr>
        <w:lastRenderedPageBreak/>
        <w:drawing>
          <wp:inline distT="0" distB="0" distL="0" distR="0" wp14:anchorId="18DF4042" wp14:editId="2E52C260">
            <wp:extent cx="5731510" cy="4161790"/>
            <wp:effectExtent l="0" t="0" r="0" b="0"/>
            <wp:docPr id="1779591764" name="Picture 1" descr="A graph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4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76A3DF" w:rsidRPr="3A76A3DF">
        <w:rPr>
          <w:rFonts w:ascii="Cambria" w:hAnsi="Cambria"/>
          <w:sz w:val="22"/>
        </w:rPr>
        <w:t xml:space="preserve">Supplementary Figure 3. Clozapine </w:t>
      </w:r>
      <w:proofErr w:type="gramStart"/>
      <w:r w:rsidR="3A76A3DF" w:rsidRPr="3A76A3DF">
        <w:rPr>
          <w:rFonts w:ascii="Cambria" w:hAnsi="Cambria"/>
          <w:sz w:val="22"/>
        </w:rPr>
        <w:t>use</w:t>
      </w:r>
      <w:proofErr w:type="gramEnd"/>
      <w:r w:rsidR="3A76A3DF" w:rsidRPr="3A76A3DF">
        <w:rPr>
          <w:rFonts w:ascii="Cambria" w:hAnsi="Cambria"/>
          <w:sz w:val="22"/>
        </w:rPr>
        <w:t xml:space="preserve"> by sex. The y-axis shows the numbers of probands with observed counts displayed on the bars. Statistical comparison yielded nonsignificant differences (X</w:t>
      </w:r>
      <w:r w:rsidR="3A76A3DF" w:rsidRPr="3A76A3DF">
        <w:rPr>
          <w:rFonts w:ascii="Cambria" w:hAnsi="Cambria"/>
          <w:sz w:val="22"/>
          <w:vertAlign w:val="superscript"/>
        </w:rPr>
        <w:t>2</w:t>
      </w:r>
      <w:r w:rsidR="3A76A3DF" w:rsidRPr="3A76A3DF">
        <w:rPr>
          <w:rFonts w:ascii="Cambria" w:hAnsi="Cambria"/>
          <w:sz w:val="22"/>
        </w:rPr>
        <w:t xml:space="preserve">=0.195, p=0.659) in clozapine use between genders.  </w:t>
      </w:r>
    </w:p>
    <w:p w14:paraId="79A8B846" w14:textId="77777777" w:rsidR="006057F5" w:rsidRPr="00425A38" w:rsidRDefault="006057F5" w:rsidP="006057F5">
      <w:pPr>
        <w:rPr>
          <w:rFonts w:ascii="Cambria" w:hAnsi="Cambria"/>
          <w:sz w:val="22"/>
        </w:rPr>
      </w:pPr>
    </w:p>
    <w:p w14:paraId="1CE0FCA1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3CB29494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16BABB77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37AAE5F6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1659A447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0030C4E6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5C68A069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5EE716FE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179DC84F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5811EDDD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01FFD18B" w14:textId="77777777" w:rsidR="001A6E35" w:rsidRDefault="001A6E35" w:rsidP="006057F5">
      <w:pPr>
        <w:rPr>
          <w:rFonts w:ascii="Cambria" w:hAnsi="Cambria"/>
          <w:sz w:val="22"/>
        </w:rPr>
      </w:pPr>
    </w:p>
    <w:p w14:paraId="341B8CA8" w14:textId="77777777" w:rsidR="00425A38" w:rsidRDefault="00425A38" w:rsidP="006057F5">
      <w:pPr>
        <w:rPr>
          <w:rFonts w:ascii="Cambria" w:hAnsi="Cambria"/>
          <w:sz w:val="22"/>
        </w:rPr>
      </w:pPr>
    </w:p>
    <w:p w14:paraId="4EEE0D0E" w14:textId="77777777" w:rsidR="00425A38" w:rsidRDefault="00425A38" w:rsidP="006057F5">
      <w:pPr>
        <w:rPr>
          <w:rFonts w:ascii="Cambria" w:hAnsi="Cambria"/>
          <w:sz w:val="22"/>
        </w:rPr>
      </w:pPr>
    </w:p>
    <w:p w14:paraId="1655AEE1" w14:textId="77777777" w:rsidR="00425A38" w:rsidRDefault="00425A38" w:rsidP="006057F5">
      <w:pPr>
        <w:rPr>
          <w:rFonts w:ascii="Cambria" w:hAnsi="Cambria"/>
          <w:sz w:val="22"/>
        </w:rPr>
      </w:pPr>
    </w:p>
    <w:p w14:paraId="7E838AA3" w14:textId="77777777" w:rsidR="00425A38" w:rsidRDefault="00425A38" w:rsidP="3A76A3DF">
      <w:pPr>
        <w:rPr>
          <w:rFonts w:ascii="Cambria" w:hAnsi="Cambria"/>
          <w:sz w:val="22"/>
        </w:rPr>
      </w:pPr>
    </w:p>
    <w:p w14:paraId="3C4D0463" w14:textId="7EE60B6E" w:rsidR="3A76A3DF" w:rsidRDefault="3A76A3DF" w:rsidP="3A76A3DF">
      <w:pPr>
        <w:rPr>
          <w:rFonts w:ascii="Cambria" w:hAnsi="Cambria"/>
          <w:sz w:val="22"/>
        </w:rPr>
      </w:pPr>
    </w:p>
    <w:p w14:paraId="7A553284" w14:textId="666E9D11" w:rsidR="3A76A3DF" w:rsidRDefault="3A76A3DF" w:rsidP="3A76A3DF">
      <w:pPr>
        <w:rPr>
          <w:rFonts w:ascii="Cambria" w:hAnsi="Cambria"/>
          <w:sz w:val="22"/>
        </w:rPr>
      </w:pPr>
    </w:p>
    <w:p w14:paraId="6C8B9EF2" w14:textId="77777777" w:rsidR="00425A38" w:rsidRPr="00425A38" w:rsidRDefault="00425A38" w:rsidP="006057F5">
      <w:pPr>
        <w:rPr>
          <w:rFonts w:ascii="Cambria" w:hAnsi="Cambria"/>
          <w:sz w:val="22"/>
        </w:rPr>
      </w:pPr>
    </w:p>
    <w:p w14:paraId="4E9805DF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0746252B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659BCF96" w14:textId="77777777" w:rsidR="001A6E35" w:rsidRPr="00425A38" w:rsidRDefault="001A6E35" w:rsidP="006057F5">
      <w:pPr>
        <w:rPr>
          <w:rFonts w:ascii="Cambria" w:hAnsi="Cambria"/>
          <w:sz w:val="22"/>
        </w:rPr>
      </w:pP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1852"/>
        <w:gridCol w:w="1852"/>
        <w:gridCol w:w="1852"/>
        <w:gridCol w:w="1852"/>
        <w:gridCol w:w="1852"/>
      </w:tblGrid>
      <w:tr w:rsidR="00641BA8" w:rsidRPr="00641BA8" w14:paraId="4A020108" w14:textId="77777777" w:rsidTr="47275FF3">
        <w:trPr>
          <w:trHeight w:val="325"/>
        </w:trPr>
        <w:tc>
          <w:tcPr>
            <w:tcW w:w="1852" w:type="dxa"/>
            <w:noWrap/>
            <w:hideMark/>
          </w:tcPr>
          <w:p w14:paraId="250D32ED" w14:textId="77777777" w:rsidR="00641BA8" w:rsidRPr="00641BA8" w:rsidRDefault="00641BA8" w:rsidP="00641BA8">
            <w:pPr>
              <w:rPr>
                <w:rFonts w:ascii="Cambria" w:hAnsi="Cambria"/>
                <w:sz w:val="22"/>
              </w:rPr>
            </w:pPr>
            <w:r w:rsidRPr="00641BA8">
              <w:rPr>
                <w:rFonts w:ascii="Cambria" w:hAnsi="Cambria"/>
                <w:sz w:val="22"/>
              </w:rPr>
              <w:t>Age at Diagnosis</w:t>
            </w:r>
          </w:p>
        </w:tc>
        <w:tc>
          <w:tcPr>
            <w:tcW w:w="1852" w:type="dxa"/>
            <w:noWrap/>
            <w:hideMark/>
          </w:tcPr>
          <w:p w14:paraId="06677043" w14:textId="77777777" w:rsidR="00641BA8" w:rsidRPr="00641BA8" w:rsidRDefault="00641BA8">
            <w:pPr>
              <w:rPr>
                <w:rFonts w:ascii="Cambria" w:hAnsi="Cambria"/>
                <w:sz w:val="22"/>
              </w:rPr>
            </w:pPr>
            <w:r w:rsidRPr="00641BA8">
              <w:rPr>
                <w:rFonts w:ascii="Cambria" w:hAnsi="Cambria"/>
                <w:sz w:val="22"/>
              </w:rPr>
              <w:t>On Clozapine (M/F)</w:t>
            </w:r>
          </w:p>
        </w:tc>
        <w:tc>
          <w:tcPr>
            <w:tcW w:w="1852" w:type="dxa"/>
            <w:noWrap/>
            <w:hideMark/>
          </w:tcPr>
          <w:p w14:paraId="494A7CBA" w14:textId="77777777" w:rsidR="00641BA8" w:rsidRPr="00641BA8" w:rsidRDefault="00641BA8">
            <w:pPr>
              <w:rPr>
                <w:rFonts w:ascii="Cambria" w:hAnsi="Cambria"/>
                <w:sz w:val="22"/>
              </w:rPr>
            </w:pPr>
            <w:r w:rsidRPr="00641BA8">
              <w:rPr>
                <w:rFonts w:ascii="Cambria" w:hAnsi="Cambria"/>
                <w:sz w:val="22"/>
              </w:rPr>
              <w:t>Not on Clozapine (M/F)</w:t>
            </w:r>
          </w:p>
        </w:tc>
        <w:tc>
          <w:tcPr>
            <w:tcW w:w="1852" w:type="dxa"/>
            <w:noWrap/>
            <w:hideMark/>
          </w:tcPr>
          <w:p w14:paraId="499FC2DD" w14:textId="7E76DDBA" w:rsidR="00641BA8" w:rsidRPr="00641BA8" w:rsidRDefault="47275FF3" w:rsidP="47275FF3">
            <w:pPr>
              <w:rPr>
                <w:rFonts w:ascii="Cambria" w:hAnsi="Cambria"/>
                <w:sz w:val="22"/>
              </w:rPr>
            </w:pPr>
            <w:r w:rsidRPr="47275FF3">
              <w:rPr>
                <w:rFonts w:ascii="Cambria" w:hAnsi="Cambria"/>
                <w:sz w:val="22"/>
              </w:rPr>
              <w:t>% On (of age group)</w:t>
            </w:r>
          </w:p>
        </w:tc>
        <w:tc>
          <w:tcPr>
            <w:tcW w:w="1852" w:type="dxa"/>
            <w:noWrap/>
            <w:hideMark/>
          </w:tcPr>
          <w:p w14:paraId="11036337" w14:textId="20563DCA" w:rsidR="00641BA8" w:rsidRPr="00641BA8" w:rsidRDefault="47275FF3" w:rsidP="47275FF3">
            <w:pPr>
              <w:rPr>
                <w:rFonts w:ascii="Cambria" w:hAnsi="Cambria"/>
                <w:sz w:val="22"/>
              </w:rPr>
            </w:pPr>
            <w:r w:rsidRPr="47275FF3">
              <w:rPr>
                <w:rFonts w:ascii="Cambria" w:hAnsi="Cambria"/>
                <w:sz w:val="22"/>
              </w:rPr>
              <w:t>% Not on (of age group)</w:t>
            </w:r>
          </w:p>
        </w:tc>
      </w:tr>
      <w:tr w:rsidR="00641BA8" w:rsidRPr="00641BA8" w14:paraId="2640FE56" w14:textId="77777777" w:rsidTr="47275FF3">
        <w:trPr>
          <w:trHeight w:val="325"/>
        </w:trPr>
        <w:tc>
          <w:tcPr>
            <w:tcW w:w="1852" w:type="dxa"/>
            <w:noWrap/>
            <w:hideMark/>
          </w:tcPr>
          <w:p w14:paraId="49EE77C2" w14:textId="07AE45B5" w:rsidR="00641BA8" w:rsidRPr="00641BA8" w:rsidRDefault="00641BA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8-9</w:t>
            </w:r>
          </w:p>
        </w:tc>
        <w:tc>
          <w:tcPr>
            <w:tcW w:w="1852" w:type="dxa"/>
            <w:noWrap/>
            <w:hideMark/>
          </w:tcPr>
          <w:p w14:paraId="5C751DE0" w14:textId="151C9B79" w:rsidR="00641BA8" w:rsidRPr="00641BA8" w:rsidRDefault="00641BA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2/0</w:t>
            </w:r>
          </w:p>
        </w:tc>
        <w:tc>
          <w:tcPr>
            <w:tcW w:w="1852" w:type="dxa"/>
            <w:noWrap/>
            <w:hideMark/>
          </w:tcPr>
          <w:p w14:paraId="1407F065" w14:textId="67040841" w:rsidR="00641BA8" w:rsidRPr="00641BA8" w:rsidRDefault="00641BA8" w:rsidP="00641BA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5/2</w:t>
            </w:r>
          </w:p>
        </w:tc>
        <w:tc>
          <w:tcPr>
            <w:tcW w:w="1852" w:type="dxa"/>
            <w:noWrap/>
            <w:hideMark/>
          </w:tcPr>
          <w:p w14:paraId="0F9E1A40" w14:textId="04162A33" w:rsidR="00641BA8" w:rsidRPr="00641BA8" w:rsidRDefault="47275FF3" w:rsidP="47275FF3">
            <w:pPr>
              <w:rPr>
                <w:rFonts w:ascii="Cambria" w:hAnsi="Cambria"/>
                <w:sz w:val="22"/>
              </w:rPr>
            </w:pPr>
            <w:r w:rsidRPr="47275FF3">
              <w:rPr>
                <w:rFonts w:ascii="Cambria" w:hAnsi="Cambria"/>
                <w:sz w:val="22"/>
              </w:rPr>
              <w:t>22%</w:t>
            </w:r>
          </w:p>
        </w:tc>
        <w:tc>
          <w:tcPr>
            <w:tcW w:w="1852" w:type="dxa"/>
            <w:noWrap/>
            <w:hideMark/>
          </w:tcPr>
          <w:p w14:paraId="3F61CEA2" w14:textId="049F7F0F" w:rsidR="00641BA8" w:rsidRPr="00641BA8" w:rsidRDefault="47275FF3" w:rsidP="47275FF3">
            <w:pPr>
              <w:rPr>
                <w:rFonts w:ascii="Cambria" w:hAnsi="Cambria"/>
                <w:sz w:val="22"/>
              </w:rPr>
            </w:pPr>
            <w:r w:rsidRPr="47275FF3">
              <w:rPr>
                <w:rFonts w:ascii="Cambria" w:hAnsi="Cambria"/>
                <w:sz w:val="22"/>
              </w:rPr>
              <w:t>78%</w:t>
            </w:r>
          </w:p>
        </w:tc>
      </w:tr>
      <w:tr w:rsidR="00641BA8" w:rsidRPr="00641BA8" w14:paraId="70D47F48" w14:textId="77777777" w:rsidTr="47275FF3">
        <w:trPr>
          <w:trHeight w:val="325"/>
        </w:trPr>
        <w:tc>
          <w:tcPr>
            <w:tcW w:w="1852" w:type="dxa"/>
            <w:noWrap/>
            <w:hideMark/>
          </w:tcPr>
          <w:p w14:paraId="2669E8C9" w14:textId="01D0E551" w:rsidR="00641BA8" w:rsidRPr="00641BA8" w:rsidRDefault="00641BA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10-11</w:t>
            </w:r>
          </w:p>
        </w:tc>
        <w:tc>
          <w:tcPr>
            <w:tcW w:w="1852" w:type="dxa"/>
            <w:noWrap/>
            <w:hideMark/>
          </w:tcPr>
          <w:p w14:paraId="48141BB2" w14:textId="3EE3C5C8" w:rsidR="00641BA8" w:rsidRPr="00641BA8" w:rsidRDefault="00641BA8">
            <w:pPr>
              <w:rPr>
                <w:rFonts w:ascii="Cambria" w:hAnsi="Cambria"/>
                <w:sz w:val="22"/>
              </w:rPr>
            </w:pPr>
            <w:r w:rsidRPr="00641BA8">
              <w:rPr>
                <w:rFonts w:ascii="Cambria" w:hAnsi="Cambria"/>
                <w:sz w:val="22"/>
              </w:rPr>
              <w:t>0</w:t>
            </w:r>
            <w:r>
              <w:rPr>
                <w:rFonts w:ascii="Cambria" w:hAnsi="Cambria"/>
                <w:sz w:val="22"/>
              </w:rPr>
              <w:t>/3</w:t>
            </w:r>
          </w:p>
        </w:tc>
        <w:tc>
          <w:tcPr>
            <w:tcW w:w="1852" w:type="dxa"/>
            <w:noWrap/>
            <w:hideMark/>
          </w:tcPr>
          <w:p w14:paraId="467749BD" w14:textId="61E808C8" w:rsidR="00641BA8" w:rsidRPr="00641BA8" w:rsidRDefault="00641BA8" w:rsidP="00641BA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4/3</w:t>
            </w:r>
          </w:p>
        </w:tc>
        <w:tc>
          <w:tcPr>
            <w:tcW w:w="1852" w:type="dxa"/>
            <w:noWrap/>
            <w:hideMark/>
          </w:tcPr>
          <w:p w14:paraId="6954BBD6" w14:textId="329B52C1" w:rsidR="00641BA8" w:rsidRPr="00641BA8" w:rsidRDefault="47275FF3" w:rsidP="47275FF3">
            <w:pPr>
              <w:rPr>
                <w:rFonts w:ascii="Cambria" w:hAnsi="Cambria"/>
                <w:sz w:val="22"/>
              </w:rPr>
            </w:pPr>
            <w:r w:rsidRPr="47275FF3">
              <w:rPr>
                <w:rFonts w:ascii="Cambria" w:hAnsi="Cambria"/>
                <w:sz w:val="22"/>
              </w:rPr>
              <w:t>30%</w:t>
            </w:r>
          </w:p>
        </w:tc>
        <w:tc>
          <w:tcPr>
            <w:tcW w:w="1852" w:type="dxa"/>
            <w:noWrap/>
            <w:hideMark/>
          </w:tcPr>
          <w:p w14:paraId="72B6FB52" w14:textId="321886AB" w:rsidR="00641BA8" w:rsidRPr="00641BA8" w:rsidRDefault="47275FF3" w:rsidP="47275FF3">
            <w:pPr>
              <w:rPr>
                <w:rFonts w:ascii="Cambria" w:hAnsi="Cambria"/>
                <w:sz w:val="22"/>
              </w:rPr>
            </w:pPr>
            <w:r w:rsidRPr="47275FF3">
              <w:rPr>
                <w:rFonts w:ascii="Cambria" w:hAnsi="Cambria"/>
                <w:sz w:val="22"/>
              </w:rPr>
              <w:t>70%</w:t>
            </w:r>
          </w:p>
        </w:tc>
      </w:tr>
      <w:tr w:rsidR="00641BA8" w:rsidRPr="00641BA8" w14:paraId="48AD604D" w14:textId="77777777" w:rsidTr="47275FF3">
        <w:trPr>
          <w:trHeight w:val="325"/>
        </w:trPr>
        <w:tc>
          <w:tcPr>
            <w:tcW w:w="1852" w:type="dxa"/>
            <w:noWrap/>
            <w:hideMark/>
          </w:tcPr>
          <w:p w14:paraId="2323EF29" w14:textId="43158171" w:rsidR="00641BA8" w:rsidRPr="00641BA8" w:rsidRDefault="00641BA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12-13</w:t>
            </w:r>
          </w:p>
        </w:tc>
        <w:tc>
          <w:tcPr>
            <w:tcW w:w="1852" w:type="dxa"/>
            <w:noWrap/>
            <w:hideMark/>
          </w:tcPr>
          <w:p w14:paraId="349AB111" w14:textId="06A1AF17" w:rsidR="00641BA8" w:rsidRPr="00641BA8" w:rsidRDefault="00641BA8" w:rsidP="00641BA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2/6</w:t>
            </w:r>
          </w:p>
        </w:tc>
        <w:tc>
          <w:tcPr>
            <w:tcW w:w="1852" w:type="dxa"/>
            <w:noWrap/>
            <w:hideMark/>
          </w:tcPr>
          <w:p w14:paraId="2D87A35B" w14:textId="624D3E6E" w:rsidR="00641BA8" w:rsidRPr="00641BA8" w:rsidRDefault="00641BA8" w:rsidP="00641BA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2/9</w:t>
            </w:r>
          </w:p>
        </w:tc>
        <w:tc>
          <w:tcPr>
            <w:tcW w:w="1852" w:type="dxa"/>
            <w:noWrap/>
            <w:hideMark/>
          </w:tcPr>
          <w:p w14:paraId="4792AD27" w14:textId="51A7CCF7" w:rsidR="00641BA8" w:rsidRPr="00641BA8" w:rsidRDefault="47275FF3" w:rsidP="47275FF3">
            <w:pPr>
              <w:rPr>
                <w:rFonts w:ascii="Cambria" w:hAnsi="Cambria"/>
                <w:sz w:val="22"/>
              </w:rPr>
            </w:pPr>
            <w:r w:rsidRPr="47275FF3">
              <w:rPr>
                <w:rFonts w:ascii="Cambria" w:hAnsi="Cambria"/>
                <w:sz w:val="22"/>
              </w:rPr>
              <w:t>42%</w:t>
            </w:r>
          </w:p>
        </w:tc>
        <w:tc>
          <w:tcPr>
            <w:tcW w:w="1852" w:type="dxa"/>
            <w:noWrap/>
            <w:hideMark/>
          </w:tcPr>
          <w:p w14:paraId="61099BDD" w14:textId="435A32B2" w:rsidR="00641BA8" w:rsidRPr="00641BA8" w:rsidRDefault="47275FF3" w:rsidP="47275FF3">
            <w:pPr>
              <w:rPr>
                <w:rFonts w:ascii="Cambria" w:hAnsi="Cambria"/>
                <w:sz w:val="22"/>
              </w:rPr>
            </w:pPr>
            <w:r w:rsidRPr="47275FF3">
              <w:rPr>
                <w:rFonts w:ascii="Cambria" w:hAnsi="Cambria"/>
                <w:sz w:val="22"/>
              </w:rPr>
              <w:t>58%</w:t>
            </w:r>
          </w:p>
        </w:tc>
      </w:tr>
    </w:tbl>
    <w:p w14:paraId="762232F4" w14:textId="4F747FA4" w:rsidR="001A6E35" w:rsidRPr="00425A38" w:rsidRDefault="47275FF3" w:rsidP="47275FF3">
      <w:pPr>
        <w:rPr>
          <w:rFonts w:ascii="Cambria" w:hAnsi="Cambria"/>
          <w:sz w:val="22"/>
        </w:rPr>
      </w:pPr>
      <w:r w:rsidRPr="47275FF3">
        <w:rPr>
          <w:rFonts w:ascii="Cambria" w:hAnsi="Cambria"/>
          <w:sz w:val="22"/>
        </w:rPr>
        <w:t xml:space="preserve">Supplementary Table 1. Counts and percentages of individuals stratified by age at diagnosis, clozapine treatment status (on vs not on) and sex. Each cell shows the number of males/females in each group. Percentages reflect the proportion of individuals within each age group who were on or not on clozapine.  group. </w:t>
      </w:r>
    </w:p>
    <w:p w14:paraId="2280429A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783D8405" w14:textId="77777777" w:rsidR="001A6E35" w:rsidRPr="00425A38" w:rsidRDefault="001A6E35" w:rsidP="006057F5">
      <w:pPr>
        <w:rPr>
          <w:rFonts w:ascii="Cambria" w:hAnsi="Cambria"/>
          <w:sz w:val="22"/>
        </w:rPr>
      </w:pPr>
    </w:p>
    <w:p w14:paraId="1C00911C" w14:textId="77777777" w:rsidR="006057F5" w:rsidRPr="00425A38" w:rsidRDefault="006057F5" w:rsidP="006057F5">
      <w:pPr>
        <w:rPr>
          <w:rFonts w:ascii="Cambria" w:hAnsi="Cambria"/>
          <w:sz w:val="22"/>
        </w:rPr>
      </w:pPr>
    </w:p>
    <w:p w14:paraId="0C7A514D" w14:textId="77777777" w:rsidR="006057F5" w:rsidRPr="00425A38" w:rsidRDefault="006057F5" w:rsidP="006057F5">
      <w:pPr>
        <w:rPr>
          <w:rFonts w:ascii="Cambria" w:hAnsi="Cambria"/>
          <w:sz w:val="22"/>
        </w:rPr>
      </w:pPr>
    </w:p>
    <w:p w14:paraId="4C8CA4B0" w14:textId="77777777" w:rsidR="006057F5" w:rsidRPr="00425A38" w:rsidRDefault="006057F5" w:rsidP="006057F5">
      <w:pPr>
        <w:rPr>
          <w:rFonts w:ascii="Cambria" w:hAnsi="Cambria"/>
          <w:sz w:val="22"/>
        </w:rPr>
      </w:pPr>
    </w:p>
    <w:p w14:paraId="4A96DE69" w14:textId="77777777" w:rsidR="006057F5" w:rsidRPr="00425A38" w:rsidRDefault="006057F5" w:rsidP="006057F5">
      <w:pPr>
        <w:rPr>
          <w:rFonts w:ascii="Cambria" w:hAnsi="Cambria"/>
          <w:color w:val="4472C4" w:themeColor="accent1"/>
          <w:sz w:val="22"/>
        </w:rPr>
      </w:pPr>
      <w:r w:rsidRPr="00425A38">
        <w:rPr>
          <w:rFonts w:ascii="Cambria" w:hAnsi="Cambria"/>
          <w:color w:val="4472C4" w:themeColor="accent1"/>
          <w:sz w:val="22"/>
        </w:rPr>
        <w:t xml:space="preserve"> </w:t>
      </w:r>
    </w:p>
    <w:p w14:paraId="3ECF46E2" w14:textId="77777777" w:rsidR="006057F5" w:rsidRPr="00425A38" w:rsidRDefault="006057F5" w:rsidP="2FDF3EB0">
      <w:pPr>
        <w:rPr>
          <w:rFonts w:ascii="Cambria" w:hAnsi="Cambria"/>
          <w:sz w:val="22"/>
        </w:rPr>
      </w:pPr>
    </w:p>
    <w:tbl>
      <w:tblPr>
        <w:tblStyle w:val="TableGrid"/>
        <w:tblW w:w="9490" w:type="dxa"/>
        <w:tblInd w:w="-5" w:type="dxa"/>
        <w:tblLook w:val="04A0" w:firstRow="1" w:lastRow="0" w:firstColumn="1" w:lastColumn="0" w:noHBand="0" w:noVBand="1"/>
      </w:tblPr>
      <w:tblGrid>
        <w:gridCol w:w="1842"/>
        <w:gridCol w:w="1982"/>
        <w:gridCol w:w="1982"/>
        <w:gridCol w:w="1842"/>
        <w:gridCol w:w="1842"/>
      </w:tblGrid>
      <w:tr w:rsidR="008975DF" w:rsidRPr="008975DF" w14:paraId="14FB55B7" w14:textId="77777777" w:rsidTr="2FDF3EB0">
        <w:trPr>
          <w:trHeight w:val="332"/>
        </w:trPr>
        <w:tc>
          <w:tcPr>
            <w:tcW w:w="1842" w:type="dxa"/>
            <w:noWrap/>
            <w:hideMark/>
          </w:tcPr>
          <w:p w14:paraId="00957CF4" w14:textId="77777777" w:rsidR="008975DF" w:rsidRPr="008975DF" w:rsidRDefault="008975DF" w:rsidP="008975DF">
            <w:pPr>
              <w:pStyle w:val="NormalWeb"/>
              <w:rPr>
                <w:rFonts w:ascii="Cambria" w:hAnsi="Cambria"/>
                <w:sz w:val="22"/>
              </w:rPr>
            </w:pPr>
            <w:r w:rsidRPr="008975DF">
              <w:rPr>
                <w:rFonts w:ascii="Cambria" w:hAnsi="Cambria"/>
                <w:sz w:val="22"/>
              </w:rPr>
              <w:t>Age at Diagnosis</w:t>
            </w:r>
          </w:p>
        </w:tc>
        <w:tc>
          <w:tcPr>
            <w:tcW w:w="1982" w:type="dxa"/>
            <w:noWrap/>
            <w:hideMark/>
          </w:tcPr>
          <w:p w14:paraId="01E759C9" w14:textId="77777777" w:rsidR="008975DF" w:rsidRPr="008975DF" w:rsidRDefault="008975DF" w:rsidP="008975DF">
            <w:pPr>
              <w:pStyle w:val="NormalWeb"/>
              <w:rPr>
                <w:rFonts w:ascii="Cambria" w:hAnsi="Cambria"/>
                <w:sz w:val="22"/>
              </w:rPr>
            </w:pPr>
            <w:r w:rsidRPr="008975DF">
              <w:rPr>
                <w:rFonts w:ascii="Cambria" w:hAnsi="Cambria"/>
                <w:sz w:val="22"/>
              </w:rPr>
              <w:t>With Comorbidity (M/F)</w:t>
            </w:r>
          </w:p>
        </w:tc>
        <w:tc>
          <w:tcPr>
            <w:tcW w:w="1982" w:type="dxa"/>
            <w:noWrap/>
            <w:hideMark/>
          </w:tcPr>
          <w:p w14:paraId="236C2FE4" w14:textId="77777777" w:rsidR="008975DF" w:rsidRPr="008975DF" w:rsidRDefault="008975DF" w:rsidP="008975DF">
            <w:pPr>
              <w:pStyle w:val="NormalWeb"/>
              <w:rPr>
                <w:rFonts w:ascii="Cambria" w:hAnsi="Cambria"/>
                <w:sz w:val="22"/>
              </w:rPr>
            </w:pPr>
            <w:r w:rsidRPr="008975DF">
              <w:rPr>
                <w:rFonts w:ascii="Cambria" w:hAnsi="Cambria"/>
                <w:sz w:val="22"/>
              </w:rPr>
              <w:t>Without Comorbidity (M/F)</w:t>
            </w:r>
          </w:p>
        </w:tc>
        <w:tc>
          <w:tcPr>
            <w:tcW w:w="1842" w:type="dxa"/>
            <w:noWrap/>
            <w:hideMark/>
          </w:tcPr>
          <w:p w14:paraId="087601D4" w14:textId="11150FEF" w:rsidR="008975DF" w:rsidRPr="008975DF" w:rsidRDefault="2FDF3EB0" w:rsidP="2FDF3EB0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2FDF3EB0">
              <w:rPr>
                <w:rFonts w:ascii="Cambria" w:hAnsi="Cambria"/>
                <w:sz w:val="22"/>
                <w:szCs w:val="22"/>
              </w:rPr>
              <w:t>% With (of age group)</w:t>
            </w:r>
          </w:p>
        </w:tc>
        <w:tc>
          <w:tcPr>
            <w:tcW w:w="1842" w:type="dxa"/>
            <w:noWrap/>
            <w:hideMark/>
          </w:tcPr>
          <w:p w14:paraId="3230CB7D" w14:textId="2DA58E52" w:rsidR="008975DF" w:rsidRPr="008975DF" w:rsidRDefault="2FDF3EB0" w:rsidP="2FDF3EB0">
            <w:pPr>
              <w:pStyle w:val="NormalWeb"/>
            </w:pPr>
            <w:r w:rsidRPr="2FDF3EB0">
              <w:rPr>
                <w:rFonts w:ascii="Cambria" w:hAnsi="Cambria"/>
                <w:sz w:val="22"/>
                <w:szCs w:val="22"/>
              </w:rPr>
              <w:t>% Without (of age group)</w:t>
            </w:r>
          </w:p>
        </w:tc>
      </w:tr>
      <w:tr w:rsidR="008975DF" w:rsidRPr="008975DF" w14:paraId="494A1A74" w14:textId="77777777" w:rsidTr="2FDF3EB0">
        <w:trPr>
          <w:trHeight w:val="332"/>
        </w:trPr>
        <w:tc>
          <w:tcPr>
            <w:tcW w:w="1842" w:type="dxa"/>
            <w:noWrap/>
            <w:hideMark/>
          </w:tcPr>
          <w:p w14:paraId="0913FA67" w14:textId="1E1B8319" w:rsidR="008975DF" w:rsidRPr="008975DF" w:rsidRDefault="008975DF" w:rsidP="008975DF">
            <w:pPr>
              <w:pStyle w:val="NormalWeb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8-9</w:t>
            </w:r>
          </w:p>
        </w:tc>
        <w:tc>
          <w:tcPr>
            <w:tcW w:w="1982" w:type="dxa"/>
            <w:noWrap/>
            <w:hideMark/>
          </w:tcPr>
          <w:p w14:paraId="5E7A03FD" w14:textId="60F4B6AC" w:rsidR="008975DF" w:rsidRPr="008975DF" w:rsidRDefault="008975DF" w:rsidP="008975DF">
            <w:pPr>
              <w:pStyle w:val="NormalWeb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5/2</w:t>
            </w:r>
          </w:p>
        </w:tc>
        <w:tc>
          <w:tcPr>
            <w:tcW w:w="1982" w:type="dxa"/>
            <w:noWrap/>
            <w:hideMark/>
          </w:tcPr>
          <w:p w14:paraId="09F7FCCF" w14:textId="124E3E15" w:rsidR="008975DF" w:rsidRPr="008975DF" w:rsidRDefault="008975DF" w:rsidP="008975DF">
            <w:pPr>
              <w:pStyle w:val="NormalWeb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2/0</w:t>
            </w:r>
          </w:p>
        </w:tc>
        <w:tc>
          <w:tcPr>
            <w:tcW w:w="1842" w:type="dxa"/>
            <w:noWrap/>
            <w:hideMark/>
          </w:tcPr>
          <w:p w14:paraId="09AA3EAF" w14:textId="57B6DFB4" w:rsidR="008975DF" w:rsidRPr="008975DF" w:rsidRDefault="2FDF3EB0" w:rsidP="2FDF3EB0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2FDF3EB0">
              <w:rPr>
                <w:rFonts w:ascii="Cambria" w:hAnsi="Cambria"/>
                <w:sz w:val="22"/>
                <w:szCs w:val="22"/>
              </w:rPr>
              <w:t>78%</w:t>
            </w:r>
          </w:p>
        </w:tc>
        <w:tc>
          <w:tcPr>
            <w:tcW w:w="1842" w:type="dxa"/>
            <w:noWrap/>
            <w:hideMark/>
          </w:tcPr>
          <w:p w14:paraId="63337CDD" w14:textId="12F02626" w:rsidR="008975DF" w:rsidRPr="008975DF" w:rsidRDefault="2FDF3EB0" w:rsidP="2FDF3EB0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2FDF3EB0">
              <w:rPr>
                <w:rFonts w:ascii="Cambria" w:hAnsi="Cambria"/>
                <w:sz w:val="22"/>
                <w:szCs w:val="22"/>
              </w:rPr>
              <w:t>22%</w:t>
            </w:r>
          </w:p>
        </w:tc>
      </w:tr>
      <w:tr w:rsidR="008975DF" w:rsidRPr="008975DF" w14:paraId="622F1D66" w14:textId="77777777" w:rsidTr="2FDF3EB0">
        <w:trPr>
          <w:trHeight w:val="332"/>
        </w:trPr>
        <w:tc>
          <w:tcPr>
            <w:tcW w:w="1842" w:type="dxa"/>
            <w:noWrap/>
            <w:hideMark/>
          </w:tcPr>
          <w:p w14:paraId="3AE5AAC2" w14:textId="1249F9C3" w:rsidR="008975DF" w:rsidRPr="008975DF" w:rsidRDefault="008975DF" w:rsidP="008975DF">
            <w:pPr>
              <w:pStyle w:val="NormalWeb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10-11</w:t>
            </w:r>
          </w:p>
        </w:tc>
        <w:tc>
          <w:tcPr>
            <w:tcW w:w="1982" w:type="dxa"/>
            <w:noWrap/>
            <w:hideMark/>
          </w:tcPr>
          <w:p w14:paraId="17D4AD6B" w14:textId="4E08C80D" w:rsidR="008975DF" w:rsidRPr="008975DF" w:rsidRDefault="008975DF" w:rsidP="008975DF">
            <w:pPr>
              <w:pStyle w:val="NormalWeb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3/3</w:t>
            </w:r>
          </w:p>
        </w:tc>
        <w:tc>
          <w:tcPr>
            <w:tcW w:w="1982" w:type="dxa"/>
            <w:noWrap/>
            <w:hideMark/>
          </w:tcPr>
          <w:p w14:paraId="550DACA6" w14:textId="28DB06B0" w:rsidR="008975DF" w:rsidRPr="008975DF" w:rsidRDefault="008975DF" w:rsidP="008975DF">
            <w:pPr>
              <w:pStyle w:val="NormalWeb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1/3</w:t>
            </w:r>
          </w:p>
        </w:tc>
        <w:tc>
          <w:tcPr>
            <w:tcW w:w="1842" w:type="dxa"/>
            <w:noWrap/>
            <w:hideMark/>
          </w:tcPr>
          <w:p w14:paraId="08A540CA" w14:textId="1EF687E3" w:rsidR="008975DF" w:rsidRPr="008975DF" w:rsidRDefault="2FDF3EB0" w:rsidP="2FDF3EB0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2FDF3EB0">
              <w:rPr>
                <w:rFonts w:ascii="Cambria" w:hAnsi="Cambria"/>
                <w:sz w:val="22"/>
                <w:szCs w:val="22"/>
              </w:rPr>
              <w:t>60%</w:t>
            </w:r>
          </w:p>
        </w:tc>
        <w:tc>
          <w:tcPr>
            <w:tcW w:w="1842" w:type="dxa"/>
            <w:noWrap/>
            <w:hideMark/>
          </w:tcPr>
          <w:p w14:paraId="46B328C0" w14:textId="27A9F30E" w:rsidR="008975DF" w:rsidRPr="008975DF" w:rsidRDefault="2FDF3EB0" w:rsidP="2FDF3EB0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2FDF3EB0">
              <w:rPr>
                <w:rFonts w:ascii="Cambria" w:hAnsi="Cambria"/>
                <w:sz w:val="22"/>
                <w:szCs w:val="22"/>
              </w:rPr>
              <w:t>40%</w:t>
            </w:r>
          </w:p>
        </w:tc>
      </w:tr>
      <w:tr w:rsidR="008975DF" w:rsidRPr="008975DF" w14:paraId="150580FD" w14:textId="77777777" w:rsidTr="2FDF3EB0">
        <w:trPr>
          <w:trHeight w:val="332"/>
        </w:trPr>
        <w:tc>
          <w:tcPr>
            <w:tcW w:w="1842" w:type="dxa"/>
            <w:noWrap/>
            <w:hideMark/>
          </w:tcPr>
          <w:p w14:paraId="4487AF1E" w14:textId="7211746C" w:rsidR="008975DF" w:rsidRPr="008975DF" w:rsidRDefault="008975DF" w:rsidP="008975DF">
            <w:pPr>
              <w:pStyle w:val="NormalWeb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12-13</w:t>
            </w:r>
          </w:p>
        </w:tc>
        <w:tc>
          <w:tcPr>
            <w:tcW w:w="1982" w:type="dxa"/>
            <w:noWrap/>
            <w:hideMark/>
          </w:tcPr>
          <w:p w14:paraId="2455DC4E" w14:textId="64E0C9F8" w:rsidR="008975DF" w:rsidRPr="008975DF" w:rsidRDefault="008975DF" w:rsidP="008975DF">
            <w:pPr>
              <w:pStyle w:val="NormalWeb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3/10</w:t>
            </w:r>
          </w:p>
        </w:tc>
        <w:tc>
          <w:tcPr>
            <w:tcW w:w="1982" w:type="dxa"/>
            <w:noWrap/>
            <w:hideMark/>
          </w:tcPr>
          <w:p w14:paraId="0CF15DFA" w14:textId="4308648D" w:rsidR="008975DF" w:rsidRPr="008975DF" w:rsidRDefault="008975DF" w:rsidP="008975DF">
            <w:pPr>
              <w:pStyle w:val="NormalWeb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2/5</w:t>
            </w:r>
          </w:p>
        </w:tc>
        <w:tc>
          <w:tcPr>
            <w:tcW w:w="1842" w:type="dxa"/>
            <w:noWrap/>
            <w:hideMark/>
          </w:tcPr>
          <w:p w14:paraId="22AEF7CB" w14:textId="74845EA1" w:rsidR="008975DF" w:rsidRPr="008975DF" w:rsidRDefault="2FDF3EB0" w:rsidP="2FDF3EB0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2FDF3EB0">
              <w:rPr>
                <w:rFonts w:ascii="Cambria" w:hAnsi="Cambria"/>
                <w:sz w:val="22"/>
                <w:szCs w:val="22"/>
              </w:rPr>
              <w:t>65%</w:t>
            </w:r>
          </w:p>
        </w:tc>
        <w:tc>
          <w:tcPr>
            <w:tcW w:w="1842" w:type="dxa"/>
            <w:noWrap/>
            <w:hideMark/>
          </w:tcPr>
          <w:p w14:paraId="2D64F486" w14:textId="082B3206" w:rsidR="008975DF" w:rsidRPr="008975DF" w:rsidRDefault="2FDF3EB0" w:rsidP="2FDF3EB0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2FDF3EB0">
              <w:rPr>
                <w:rFonts w:ascii="Cambria" w:hAnsi="Cambria"/>
                <w:sz w:val="22"/>
                <w:szCs w:val="22"/>
              </w:rPr>
              <w:t>35%</w:t>
            </w:r>
          </w:p>
        </w:tc>
      </w:tr>
    </w:tbl>
    <w:p w14:paraId="7E08694E" w14:textId="5E30BA49" w:rsidR="2FDF3EB0" w:rsidRDefault="2FDF3EB0"/>
    <w:p w14:paraId="2E297BA1" w14:textId="73CB7A02" w:rsidR="008975DF" w:rsidRPr="00425A38" w:rsidRDefault="2FDF3EB0" w:rsidP="2FDF3EB0">
      <w:pPr>
        <w:rPr>
          <w:rFonts w:ascii="Cambria" w:hAnsi="Cambria"/>
          <w:sz w:val="22"/>
        </w:rPr>
      </w:pPr>
      <w:r w:rsidRPr="2FDF3EB0">
        <w:rPr>
          <w:rFonts w:ascii="Cambria" w:hAnsi="Cambria"/>
          <w:sz w:val="22"/>
        </w:rPr>
        <w:t>Supplementary Table 2. Counts and percentages of individuals stratified by age at diagnosis, comorbidity status (with vs. without), and sex. Each cell presents the number of males/females in each category. Percentages reflect the proportion of individuals within each age group who had or did not have comorbidities. A chi-square test (χ² = 0.0, p = 1.0) showed no statistically significant difference in the distribution of comorbidities between males and females, suggesting an even distribution of comorbidities across sexes within this cohort.</w:t>
      </w:r>
    </w:p>
    <w:p w14:paraId="087B64AD" w14:textId="08789001" w:rsidR="006057F5" w:rsidRDefault="006057F5" w:rsidP="006057F5">
      <w:pPr>
        <w:pStyle w:val="NormalWeb"/>
        <w:rPr>
          <w:rFonts w:ascii="Cambria" w:hAnsi="Cambria"/>
          <w:sz w:val="22"/>
          <w:szCs w:val="22"/>
        </w:rPr>
      </w:pPr>
    </w:p>
    <w:p w14:paraId="5C9BECA7" w14:textId="112C520A" w:rsidR="006057F5" w:rsidRPr="00425A38" w:rsidRDefault="006057F5" w:rsidP="2FDF3EB0">
      <w:pPr>
        <w:rPr>
          <w:rFonts w:ascii="Cambria" w:eastAsia="Cambria" w:hAnsi="Cambria" w:cs="Cambria"/>
          <w:color w:val="000000" w:themeColor="text1"/>
          <w:sz w:val="22"/>
        </w:rPr>
      </w:pPr>
    </w:p>
    <w:sectPr w:rsidR="006057F5" w:rsidRPr="00425A3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5A82" w14:textId="77777777" w:rsidR="00F5316D" w:rsidRDefault="00F5316D">
      <w:pPr>
        <w:spacing w:line="240" w:lineRule="auto"/>
      </w:pPr>
      <w:r>
        <w:separator/>
      </w:r>
    </w:p>
  </w:endnote>
  <w:endnote w:type="continuationSeparator" w:id="0">
    <w:p w14:paraId="614203CD" w14:textId="77777777" w:rsidR="00F5316D" w:rsidRDefault="00F53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76A3DF" w14:paraId="526C7E80" w14:textId="77777777" w:rsidTr="3A76A3DF">
      <w:trPr>
        <w:trHeight w:val="300"/>
      </w:trPr>
      <w:tc>
        <w:tcPr>
          <w:tcW w:w="3005" w:type="dxa"/>
        </w:tcPr>
        <w:p w14:paraId="20DBA319" w14:textId="0F3EE40A" w:rsidR="3A76A3DF" w:rsidRDefault="3A76A3DF" w:rsidP="3A76A3DF">
          <w:pPr>
            <w:pStyle w:val="Header"/>
            <w:ind w:left="-115"/>
          </w:pPr>
        </w:p>
      </w:tc>
      <w:tc>
        <w:tcPr>
          <w:tcW w:w="3005" w:type="dxa"/>
        </w:tcPr>
        <w:p w14:paraId="42204379" w14:textId="2DA23C91" w:rsidR="3A76A3DF" w:rsidRDefault="3A76A3DF" w:rsidP="3A76A3DF">
          <w:pPr>
            <w:pStyle w:val="Header"/>
            <w:jc w:val="center"/>
          </w:pPr>
        </w:p>
      </w:tc>
      <w:tc>
        <w:tcPr>
          <w:tcW w:w="3005" w:type="dxa"/>
        </w:tcPr>
        <w:p w14:paraId="62833446" w14:textId="2F4380AA" w:rsidR="3A76A3DF" w:rsidRDefault="3A76A3DF" w:rsidP="3A76A3DF">
          <w:pPr>
            <w:pStyle w:val="Header"/>
            <w:ind w:right="-115"/>
            <w:jc w:val="right"/>
          </w:pPr>
        </w:p>
      </w:tc>
    </w:tr>
  </w:tbl>
  <w:p w14:paraId="101728A2" w14:textId="53CBF3D8" w:rsidR="3A76A3DF" w:rsidRDefault="3A76A3DF" w:rsidP="3A76A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3524" w14:textId="77777777" w:rsidR="00F5316D" w:rsidRDefault="00F5316D">
      <w:pPr>
        <w:spacing w:line="240" w:lineRule="auto"/>
      </w:pPr>
      <w:r>
        <w:separator/>
      </w:r>
    </w:p>
  </w:footnote>
  <w:footnote w:type="continuationSeparator" w:id="0">
    <w:p w14:paraId="1F47BD2C" w14:textId="77777777" w:rsidR="00F5316D" w:rsidRDefault="00F531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76A3DF" w14:paraId="16181BBD" w14:textId="77777777" w:rsidTr="3A76A3DF">
      <w:trPr>
        <w:trHeight w:val="300"/>
      </w:trPr>
      <w:tc>
        <w:tcPr>
          <w:tcW w:w="3005" w:type="dxa"/>
        </w:tcPr>
        <w:p w14:paraId="06C89138" w14:textId="40661378" w:rsidR="3A76A3DF" w:rsidRDefault="3A76A3DF" w:rsidP="3A76A3DF">
          <w:pPr>
            <w:pStyle w:val="Header"/>
            <w:ind w:left="-115"/>
          </w:pPr>
        </w:p>
      </w:tc>
      <w:tc>
        <w:tcPr>
          <w:tcW w:w="3005" w:type="dxa"/>
        </w:tcPr>
        <w:p w14:paraId="576413E6" w14:textId="251F1B22" w:rsidR="3A76A3DF" w:rsidRDefault="3A76A3DF" w:rsidP="3A76A3DF">
          <w:pPr>
            <w:pStyle w:val="Header"/>
            <w:jc w:val="center"/>
          </w:pPr>
        </w:p>
      </w:tc>
      <w:tc>
        <w:tcPr>
          <w:tcW w:w="3005" w:type="dxa"/>
        </w:tcPr>
        <w:p w14:paraId="69C3450F" w14:textId="57BAFBD8" w:rsidR="3A76A3DF" w:rsidRDefault="3A76A3DF" w:rsidP="3A76A3DF">
          <w:pPr>
            <w:pStyle w:val="Header"/>
            <w:ind w:right="-115"/>
            <w:jc w:val="right"/>
          </w:pPr>
        </w:p>
      </w:tc>
    </w:tr>
  </w:tbl>
  <w:p w14:paraId="11B1B660" w14:textId="35D2D7DA" w:rsidR="3A76A3DF" w:rsidRDefault="3A76A3DF" w:rsidP="3A76A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7C83"/>
    <w:multiLevelType w:val="multilevel"/>
    <w:tmpl w:val="AD4E0C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2C74122"/>
    <w:multiLevelType w:val="multilevel"/>
    <w:tmpl w:val="2A96080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07771A48"/>
    <w:multiLevelType w:val="multilevel"/>
    <w:tmpl w:val="623401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4E56C6"/>
    <w:multiLevelType w:val="multilevel"/>
    <w:tmpl w:val="475E330A"/>
    <w:lvl w:ilvl="0">
      <w:start w:val="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1202D1"/>
    <w:multiLevelType w:val="multilevel"/>
    <w:tmpl w:val="D610D6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9D704B"/>
    <w:multiLevelType w:val="hybridMultilevel"/>
    <w:tmpl w:val="0F0A2DE6"/>
    <w:lvl w:ilvl="0" w:tplc="28DA830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44F05"/>
    <w:multiLevelType w:val="multilevel"/>
    <w:tmpl w:val="52CC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95513EC"/>
    <w:multiLevelType w:val="multilevel"/>
    <w:tmpl w:val="0F44F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F6E7D2F"/>
    <w:multiLevelType w:val="multilevel"/>
    <w:tmpl w:val="2D044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9F1BE3"/>
    <w:multiLevelType w:val="multilevel"/>
    <w:tmpl w:val="9E5225E8"/>
    <w:lvl w:ilvl="0">
      <w:start w:val="1"/>
      <w:numFmt w:val="decimal"/>
      <w:lvlText w:val="%1"/>
      <w:lvlJc w:val="left"/>
      <w:pPr>
        <w:ind w:left="720" w:hanging="432"/>
      </w:pPr>
    </w:lvl>
    <w:lvl w:ilvl="1">
      <w:start w:val="1"/>
      <w:numFmt w:val="decimal"/>
      <w:lvlText w:val="%1.%2"/>
      <w:lvlJc w:val="left"/>
      <w:pPr>
        <w:ind w:left="864" w:hanging="576"/>
      </w:pPr>
    </w:lvl>
    <w:lvl w:ilvl="2">
      <w:start w:val="1"/>
      <w:numFmt w:val="decimal"/>
      <w:lvlText w:val="%1.%2.%3"/>
      <w:lvlJc w:val="left"/>
      <w:pPr>
        <w:ind w:left="1008" w:hanging="720"/>
      </w:pPr>
    </w:lvl>
    <w:lvl w:ilvl="3">
      <w:start w:val="1"/>
      <w:numFmt w:val="decimal"/>
      <w:lvlText w:val="%1.%2.%3.%4"/>
      <w:lvlJc w:val="left"/>
      <w:pPr>
        <w:ind w:left="1152" w:hanging="864"/>
      </w:pPr>
    </w:lvl>
    <w:lvl w:ilvl="4">
      <w:start w:val="1"/>
      <w:numFmt w:val="decimal"/>
      <w:lvlText w:val="%1.%2.%3.%4.%5"/>
      <w:lvlJc w:val="left"/>
      <w:pPr>
        <w:ind w:left="1296" w:hanging="1008"/>
      </w:pPr>
    </w:lvl>
    <w:lvl w:ilvl="5">
      <w:start w:val="1"/>
      <w:numFmt w:val="decimal"/>
      <w:lvlText w:val="%1.%2.%3.%4.%5.%6"/>
      <w:lvlJc w:val="left"/>
      <w:pPr>
        <w:ind w:left="1440" w:hanging="1152"/>
      </w:pPr>
    </w:lvl>
    <w:lvl w:ilvl="6">
      <w:start w:val="1"/>
      <w:numFmt w:val="decimal"/>
      <w:lvlText w:val="%1.%2.%3.%4.%5.%6.%7"/>
      <w:lvlJc w:val="left"/>
      <w:pPr>
        <w:ind w:left="1584" w:hanging="1296"/>
      </w:pPr>
    </w:lvl>
    <w:lvl w:ilvl="7">
      <w:start w:val="1"/>
      <w:numFmt w:val="decimal"/>
      <w:lvlText w:val="%1.%2.%3.%4.%5.%6.%7.%8"/>
      <w:lvlJc w:val="left"/>
      <w:pPr>
        <w:ind w:left="1728" w:hanging="1440"/>
      </w:pPr>
    </w:lvl>
    <w:lvl w:ilvl="8">
      <w:start w:val="1"/>
      <w:numFmt w:val="decimal"/>
      <w:lvlText w:val="%1.%2.%3.%4.%5.%6.%7.%8.%9"/>
      <w:lvlJc w:val="left"/>
      <w:pPr>
        <w:ind w:left="1872" w:hanging="1584"/>
      </w:pPr>
    </w:lvl>
  </w:abstractNum>
  <w:abstractNum w:abstractNumId="10" w15:restartNumberingAfterBreak="0">
    <w:nsid w:val="56C8742E"/>
    <w:multiLevelType w:val="multilevel"/>
    <w:tmpl w:val="EE76AC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5F7857"/>
    <w:multiLevelType w:val="multilevel"/>
    <w:tmpl w:val="A372D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945432"/>
    <w:multiLevelType w:val="multilevel"/>
    <w:tmpl w:val="21F891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B94196"/>
    <w:multiLevelType w:val="multilevel"/>
    <w:tmpl w:val="1D0826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73851113"/>
    <w:multiLevelType w:val="multilevel"/>
    <w:tmpl w:val="727EDA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5115ED5"/>
    <w:multiLevelType w:val="multilevel"/>
    <w:tmpl w:val="D8CCC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C302098"/>
    <w:multiLevelType w:val="multilevel"/>
    <w:tmpl w:val="AC387B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9235056">
    <w:abstractNumId w:val="2"/>
  </w:num>
  <w:num w:numId="2" w16cid:durableId="301544127">
    <w:abstractNumId w:val="1"/>
  </w:num>
  <w:num w:numId="3" w16cid:durableId="1990556524">
    <w:abstractNumId w:val="7"/>
  </w:num>
  <w:num w:numId="4" w16cid:durableId="292298564">
    <w:abstractNumId w:val="7"/>
  </w:num>
  <w:num w:numId="5" w16cid:durableId="1467776192">
    <w:abstractNumId w:val="7"/>
  </w:num>
  <w:num w:numId="6" w16cid:durableId="618611757">
    <w:abstractNumId w:val="3"/>
  </w:num>
  <w:num w:numId="7" w16cid:durableId="1424184862">
    <w:abstractNumId w:val="13"/>
  </w:num>
  <w:num w:numId="8" w16cid:durableId="275986459">
    <w:abstractNumId w:val="15"/>
  </w:num>
  <w:num w:numId="9" w16cid:durableId="1773624562">
    <w:abstractNumId w:val="10"/>
  </w:num>
  <w:num w:numId="10" w16cid:durableId="974068868">
    <w:abstractNumId w:val="16"/>
  </w:num>
  <w:num w:numId="11" w16cid:durableId="1436943481">
    <w:abstractNumId w:val="12"/>
  </w:num>
  <w:num w:numId="12" w16cid:durableId="1597788067">
    <w:abstractNumId w:val="0"/>
  </w:num>
  <w:num w:numId="13" w16cid:durableId="1068918584">
    <w:abstractNumId w:val="9"/>
  </w:num>
  <w:num w:numId="14" w16cid:durableId="557672727">
    <w:abstractNumId w:val="8"/>
  </w:num>
  <w:num w:numId="15" w16cid:durableId="1586652223">
    <w:abstractNumId w:val="4"/>
  </w:num>
  <w:num w:numId="16" w16cid:durableId="1654482373">
    <w:abstractNumId w:val="11"/>
  </w:num>
  <w:num w:numId="17" w16cid:durableId="40909829">
    <w:abstractNumId w:val="6"/>
  </w:num>
  <w:num w:numId="18" w16cid:durableId="13567300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2477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8361078">
    <w:abstractNumId w:val="5"/>
  </w:num>
  <w:num w:numId="21" w16cid:durableId="1225751907">
    <w:abstractNumId w:val="5"/>
  </w:num>
  <w:num w:numId="22" w16cid:durableId="1527675764">
    <w:abstractNumId w:val="5"/>
  </w:num>
  <w:num w:numId="23" w16cid:durableId="1097884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F5"/>
    <w:rsid w:val="000336E8"/>
    <w:rsid w:val="0012532B"/>
    <w:rsid w:val="00135C3F"/>
    <w:rsid w:val="001964B6"/>
    <w:rsid w:val="001A6E35"/>
    <w:rsid w:val="00225C5A"/>
    <w:rsid w:val="00235965"/>
    <w:rsid w:val="00425A38"/>
    <w:rsid w:val="00451783"/>
    <w:rsid w:val="00497887"/>
    <w:rsid w:val="004E41EB"/>
    <w:rsid w:val="00542AE9"/>
    <w:rsid w:val="005D2B73"/>
    <w:rsid w:val="006057F5"/>
    <w:rsid w:val="00641BA8"/>
    <w:rsid w:val="00711464"/>
    <w:rsid w:val="00737740"/>
    <w:rsid w:val="00834E9A"/>
    <w:rsid w:val="008975DF"/>
    <w:rsid w:val="008A224C"/>
    <w:rsid w:val="008E1A3B"/>
    <w:rsid w:val="009E0910"/>
    <w:rsid w:val="00A2068C"/>
    <w:rsid w:val="00AD5F16"/>
    <w:rsid w:val="00B45DC6"/>
    <w:rsid w:val="00B64E9B"/>
    <w:rsid w:val="00BB3DB2"/>
    <w:rsid w:val="00C47713"/>
    <w:rsid w:val="00CE2386"/>
    <w:rsid w:val="00D678F3"/>
    <w:rsid w:val="00EC0631"/>
    <w:rsid w:val="00F5316D"/>
    <w:rsid w:val="00F87233"/>
    <w:rsid w:val="00FC10CE"/>
    <w:rsid w:val="00FC42B2"/>
    <w:rsid w:val="2FDF3EB0"/>
    <w:rsid w:val="3A76A3DF"/>
    <w:rsid w:val="47275FF3"/>
    <w:rsid w:val="7E3BE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A2A4"/>
  <w15:chartTrackingRefBased/>
  <w15:docId w15:val="{3B7EC635-106C-AC46-B76E-1DA2B43E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783"/>
    <w:pPr>
      <w:spacing w:line="276" w:lineRule="auto"/>
    </w:pPr>
    <w:rPr>
      <w:rFonts w:eastAsia="Arial" w:cs="Arial"/>
      <w:kern w:val="0"/>
      <w:szCs w:val="22"/>
      <w14:ligatures w14:val="none"/>
    </w:rPr>
  </w:style>
  <w:style w:type="paragraph" w:styleId="Heading1">
    <w:name w:val="heading 1"/>
    <w:basedOn w:val="Heading2"/>
    <w:next w:val="Heading2"/>
    <w:link w:val="Heading1Char"/>
    <w:autoRedefine/>
    <w:uiPriority w:val="9"/>
    <w:qFormat/>
    <w:rsid w:val="009E0910"/>
    <w:pPr>
      <w:numPr>
        <w:ilvl w:val="0"/>
        <w:numId w:val="23"/>
      </w:numPr>
      <w:ind w:hanging="360"/>
      <w:jc w:val="right"/>
      <w:outlineLvl w:val="0"/>
    </w:pPr>
    <w:rPr>
      <w:rFonts w:eastAsia="Brush Script MT" w:cs="Times New Roman"/>
      <w:b/>
      <w:color w:val="44546A" w:themeColor="text2"/>
      <w:sz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41EB"/>
    <w:pPr>
      <w:keepNext/>
      <w:keepLines/>
      <w:numPr>
        <w:ilvl w:val="1"/>
        <w:numId w:val="18"/>
      </w:numPr>
      <w:spacing w:before="360" w:after="120" w:line="480" w:lineRule="auto"/>
      <w:ind w:left="792" w:hanging="432"/>
      <w:outlineLvl w:val="1"/>
    </w:pPr>
    <w:rPr>
      <w:rFonts w:ascii="Cambria" w:hAnsi="Cambria"/>
      <w:sz w:val="32"/>
      <w:szCs w:val="32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4E41EB"/>
    <w:pPr>
      <w:numPr>
        <w:ilvl w:val="2"/>
        <w:numId w:val="19"/>
      </w:numPr>
      <w:spacing w:before="40" w:after="0"/>
      <w:ind w:left="1224" w:hanging="504"/>
      <w:outlineLvl w:val="2"/>
    </w:pPr>
    <w:rPr>
      <w:rFonts w:eastAsiaTheme="majorEastAsia" w:cstheme="majorBidi"/>
      <w:color w:val="1F3763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E41EB"/>
    <w:pPr>
      <w:keepNext/>
      <w:keepLines/>
      <w:spacing w:before="240" w:after="40" w:line="480" w:lineRule="auto"/>
      <w:outlineLvl w:val="3"/>
    </w:pPr>
    <w:rPr>
      <w:rFonts w:ascii="Cambria" w:eastAsia="Times New Roman" w:hAnsi="Cambria" w:cs="Times New Roman"/>
      <w:b/>
      <w:color w:val="4472C4" w:themeColor="accent1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E41EB"/>
    <w:pPr>
      <w:keepNext/>
      <w:keepLines/>
      <w:spacing w:before="220" w:after="40" w:line="480" w:lineRule="auto"/>
      <w:outlineLvl w:val="4"/>
    </w:pPr>
    <w:rPr>
      <w:rFonts w:ascii="Cambria" w:eastAsia="Times New Roman" w:hAnsi="Cambria" w:cs="Times New Roman"/>
      <w:b/>
      <w:color w:val="2E74B5" w:themeColor="accent5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910"/>
    <w:rPr>
      <w:rFonts w:ascii="Cambria" w:eastAsia="Brush Script MT" w:hAnsi="Cambria" w:cs="Times New Roman"/>
      <w:b/>
      <w:color w:val="44546A" w:themeColor="text2"/>
      <w:kern w:val="0"/>
      <w:sz w:val="36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E41EB"/>
    <w:rPr>
      <w:rFonts w:ascii="Cambria" w:eastAsia="Arial" w:hAnsi="Cambria" w:cs="Arial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E41EB"/>
    <w:rPr>
      <w:rFonts w:ascii="Cambria" w:eastAsiaTheme="majorEastAsia" w:hAnsi="Cambria" w:cstheme="majorBidi"/>
      <w:color w:val="1F3763" w:themeColor="accent1" w:themeShade="7F"/>
      <w:kern w:val="0"/>
      <w:sz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E41EB"/>
    <w:rPr>
      <w:rFonts w:ascii="Cambria" w:eastAsia="Times New Roman" w:hAnsi="Cambria" w:cs="Times New Roman"/>
      <w:b/>
      <w:color w:val="4472C4" w:themeColor="accent1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4E41EB"/>
    <w:rPr>
      <w:rFonts w:ascii="Cambria" w:eastAsia="Times New Roman" w:hAnsi="Cambria" w:cs="Times New Roman"/>
      <w:b/>
      <w:color w:val="2E74B5" w:themeColor="accent5" w:themeShade="BF"/>
      <w:kern w:val="0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057F5"/>
    <w:rPr>
      <w:b/>
      <w:bCs/>
    </w:rPr>
  </w:style>
  <w:style w:type="table" w:styleId="TableGrid">
    <w:name w:val="Table Grid"/>
    <w:basedOn w:val="TableNormal"/>
    <w:uiPriority w:val="39"/>
    <w:rsid w:val="0060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6057F5"/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25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A38"/>
    <w:rPr>
      <w:rFonts w:eastAsia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A38"/>
    <w:rPr>
      <w:rFonts w:eastAsia="Arial" w:cs="Arial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uiPriority w:val="99"/>
    <w:unhideWhenUsed/>
    <w:rsid w:val="3A76A3D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3A76A3DF"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542AE9"/>
    <w:rPr>
      <w:rFonts w:eastAsia="Arial" w:cs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F1263-FE1A-4D58-B5E4-751B78D1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Sato, Mitra S</dc:creator>
  <cp:keywords/>
  <dc:description/>
  <cp:lastModifiedBy>Mitra Sato</cp:lastModifiedBy>
  <cp:revision>3</cp:revision>
  <dcterms:created xsi:type="dcterms:W3CDTF">2025-05-01T17:21:00Z</dcterms:created>
  <dcterms:modified xsi:type="dcterms:W3CDTF">2025-05-01T17:24:00Z</dcterms:modified>
</cp:coreProperties>
</file>