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12351" w14:textId="3069575B" w:rsidR="00076175" w:rsidRPr="00CA3A3B" w:rsidRDefault="00343CED" w:rsidP="00343CED">
      <w:pPr>
        <w:spacing w:line="480" w:lineRule="auto"/>
        <w:ind w:left="709" w:hanging="709"/>
        <w:rPr>
          <w:rFonts w:ascii="Calibri" w:hAnsi="Calibri" w:cs="Calibri"/>
          <w:b/>
          <w:bCs/>
          <w:sz w:val="20"/>
          <w:szCs w:val="20"/>
          <w:lang w:val="en-GB"/>
        </w:rPr>
      </w:pPr>
      <w:r>
        <w:rPr>
          <w:rFonts w:ascii="Calibri" w:hAnsi="Calibri" w:cs="Calibri"/>
          <w:b/>
          <w:bCs/>
          <w:sz w:val="20"/>
          <w:szCs w:val="20"/>
          <w:lang w:val="en-GB"/>
        </w:rPr>
        <w:t>S</w:t>
      </w:r>
      <w:r w:rsidR="00834DA5">
        <w:rPr>
          <w:rFonts w:ascii="Calibri" w:hAnsi="Calibri" w:cs="Calibri"/>
          <w:b/>
          <w:bCs/>
          <w:sz w:val="20"/>
          <w:szCs w:val="20"/>
          <w:lang w:val="en-GB"/>
        </w:rPr>
        <w:t>UPPLEMENTARY</w:t>
      </w:r>
      <w:r w:rsidR="00076175" w:rsidRPr="00CA3A3B">
        <w:rPr>
          <w:rFonts w:ascii="Calibri" w:hAnsi="Calibri" w:cs="Calibri"/>
          <w:b/>
          <w:bCs/>
          <w:sz w:val="20"/>
          <w:szCs w:val="20"/>
          <w:lang w:val="en-GB"/>
        </w:rPr>
        <w:t xml:space="preserve"> INFORMATION</w:t>
      </w:r>
    </w:p>
    <w:p w14:paraId="0CE49A45" w14:textId="77777777" w:rsidR="00076175" w:rsidRPr="00CA3A3B" w:rsidRDefault="00076175" w:rsidP="00343CED">
      <w:pPr>
        <w:spacing w:line="480" w:lineRule="auto"/>
        <w:rPr>
          <w:rFonts w:ascii="Calibri" w:hAnsi="Calibri" w:cs="Calibri"/>
          <w:sz w:val="20"/>
          <w:szCs w:val="20"/>
          <w:lang w:val="en-GB"/>
        </w:rPr>
      </w:pPr>
      <w:r w:rsidRPr="00CA3A3B">
        <w:rPr>
          <w:rFonts w:ascii="Calibri" w:hAnsi="Calibri" w:cs="Calibri"/>
          <w:noProof/>
          <w:lang w:val="en-GB"/>
        </w:rPr>
        <w:object w:dxaOrig="6019" w:dyaOrig="5376" w14:anchorId="25381B5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92.9pt;height:262.9pt" o:ole="">
            <v:imagedata r:id="rId6" o:title=""/>
          </v:shape>
          <o:OLEObject Type="Embed" ProgID="Prism8.Document" ShapeID="_x0000_i1025" DrawAspect="Content" ObjectID="_1807641533" r:id="rId7"/>
        </w:object>
      </w:r>
    </w:p>
    <w:p w14:paraId="38FEF340" w14:textId="77777777" w:rsidR="00076175" w:rsidRPr="00CA3A3B" w:rsidRDefault="00076175" w:rsidP="00343CED">
      <w:pPr>
        <w:tabs>
          <w:tab w:val="left" w:pos="2880"/>
        </w:tabs>
        <w:spacing w:line="480" w:lineRule="auto"/>
        <w:rPr>
          <w:rFonts w:ascii="Calibri" w:hAnsi="Calibri" w:cs="Calibri"/>
          <w:sz w:val="18"/>
          <w:szCs w:val="18"/>
          <w:lang w:val="en-GB"/>
        </w:rPr>
      </w:pPr>
      <w:r w:rsidRPr="00CA3A3B">
        <w:rPr>
          <w:rFonts w:ascii="Calibri" w:hAnsi="Calibri" w:cs="Calibri"/>
          <w:b/>
          <w:bCs/>
          <w:sz w:val="18"/>
          <w:szCs w:val="18"/>
          <w:lang w:val="en-GB"/>
        </w:rPr>
        <w:t xml:space="preserve">Figure S1. </w:t>
      </w:r>
      <w:r w:rsidRPr="00CA3A3B">
        <w:rPr>
          <w:rFonts w:ascii="Calibri" w:hAnsi="Calibri" w:cs="Calibri"/>
          <w:b/>
          <w:bCs/>
          <w:i/>
          <w:sz w:val="18"/>
          <w:szCs w:val="18"/>
          <w:lang w:val="en-GB"/>
        </w:rPr>
        <w:t xml:space="preserve">In vivo </w:t>
      </w:r>
      <w:r w:rsidRPr="00CA3A3B">
        <w:rPr>
          <w:rFonts w:ascii="Calibri" w:hAnsi="Calibri" w:cs="Calibri"/>
          <w:b/>
          <w:bCs/>
          <w:sz w:val="18"/>
          <w:szCs w:val="18"/>
          <w:lang w:val="en-GB"/>
        </w:rPr>
        <w:t>assays with Clone B.</w:t>
      </w:r>
      <w:r w:rsidRPr="00CA3A3B">
        <w:rPr>
          <w:rFonts w:ascii="Calibri" w:hAnsi="Calibri" w:cs="Calibri"/>
          <w:sz w:val="18"/>
          <w:szCs w:val="18"/>
          <w:lang w:val="en-GB"/>
        </w:rPr>
        <w:t xml:space="preserve">  Figure shows the parasitaemia progression of animals infected with either control parasites or </w:t>
      </w:r>
      <w:proofErr w:type="spellStart"/>
      <w:r w:rsidRPr="00CA3A3B">
        <w:rPr>
          <w:rFonts w:ascii="Calibri" w:hAnsi="Calibri" w:cs="Calibri"/>
          <w:sz w:val="18"/>
          <w:szCs w:val="18"/>
          <w:lang w:val="en-GB"/>
        </w:rPr>
        <w:t>Δ</w:t>
      </w:r>
      <w:r w:rsidRPr="00CA3A3B">
        <w:rPr>
          <w:rFonts w:ascii="Calibri" w:hAnsi="Calibri" w:cs="Calibri"/>
          <w:i/>
          <w:iCs/>
          <w:sz w:val="18"/>
          <w:szCs w:val="18"/>
          <w:lang w:val="en-GB"/>
        </w:rPr>
        <w:t>Pb</w:t>
      </w:r>
      <w:r w:rsidRPr="00CA3A3B">
        <w:rPr>
          <w:rFonts w:ascii="Calibri" w:hAnsi="Calibri" w:cs="Calibri"/>
          <w:sz w:val="18"/>
          <w:szCs w:val="18"/>
          <w:lang w:val="en-GB"/>
        </w:rPr>
        <w:t>PolK</w:t>
      </w:r>
      <w:proofErr w:type="spellEnd"/>
      <w:r w:rsidRPr="00CA3A3B">
        <w:rPr>
          <w:rFonts w:ascii="Calibri" w:hAnsi="Calibri" w:cs="Calibri"/>
          <w:sz w:val="18"/>
          <w:szCs w:val="18"/>
          <w:vertAlign w:val="superscript"/>
          <w:lang w:val="en-GB"/>
        </w:rPr>
        <w:t xml:space="preserve"> </w:t>
      </w:r>
      <w:r w:rsidRPr="00CA3A3B">
        <w:rPr>
          <w:rFonts w:ascii="Calibri" w:hAnsi="Calibri" w:cs="Calibri"/>
          <w:i/>
          <w:iCs/>
          <w:sz w:val="18"/>
          <w:szCs w:val="18"/>
          <w:lang w:val="en-GB"/>
        </w:rPr>
        <w:t xml:space="preserve">P. </w:t>
      </w:r>
      <w:proofErr w:type="spellStart"/>
      <w:r w:rsidRPr="00CA3A3B">
        <w:rPr>
          <w:rFonts w:ascii="Calibri" w:hAnsi="Calibri" w:cs="Calibri"/>
          <w:i/>
          <w:iCs/>
          <w:sz w:val="18"/>
          <w:szCs w:val="18"/>
          <w:lang w:val="en-GB"/>
        </w:rPr>
        <w:t>berghei</w:t>
      </w:r>
      <w:proofErr w:type="spellEnd"/>
      <w:r w:rsidRPr="00CA3A3B">
        <w:rPr>
          <w:rFonts w:ascii="Calibri" w:hAnsi="Calibri" w:cs="Calibri"/>
          <w:sz w:val="18"/>
          <w:szCs w:val="18"/>
          <w:vertAlign w:val="superscript"/>
          <w:lang w:val="en-GB"/>
        </w:rPr>
        <w:t xml:space="preserve"> </w:t>
      </w:r>
      <w:r w:rsidRPr="00CA3A3B">
        <w:rPr>
          <w:rFonts w:ascii="Calibri" w:hAnsi="Calibri" w:cs="Calibri"/>
          <w:sz w:val="18"/>
          <w:szCs w:val="18"/>
          <w:lang w:val="en-GB"/>
        </w:rPr>
        <w:t>parasites Clone B. Animals were untreated or treated with suboptimal dose of fosmidomycin, as indicated. The graphs represent one experiment, with each experimental group containing 3 animals (fosmidomycin-treated animals).  To compare the parasitaemia progression between strains, the unpaired student's t-test was employed. *p&lt;0.05, **p&lt;0.01, ***p&lt;0.001, ****p&lt;0.0001. If not indicated, no significant differences were observed. The analyses were performed using the GraphPad PRISM® 5.3 program. Arrows indicate the days in which fosmidomycin was administered.  This experiment concluded on the 10th day, when untreated animals reached a parasitaemia of &gt;40%, and a significant difference between groups had already been demonstrated.</w:t>
      </w:r>
    </w:p>
    <w:p w14:paraId="27C6C235" w14:textId="77777777" w:rsidR="00076175" w:rsidRPr="00CA3A3B" w:rsidRDefault="00076175" w:rsidP="00343CED">
      <w:pPr>
        <w:tabs>
          <w:tab w:val="left" w:pos="2880"/>
        </w:tabs>
        <w:spacing w:line="480" w:lineRule="auto"/>
        <w:rPr>
          <w:rFonts w:ascii="Calibri" w:hAnsi="Calibri" w:cs="Calibri"/>
          <w:b/>
          <w:sz w:val="18"/>
          <w:szCs w:val="18"/>
          <w:highlight w:val="magenta"/>
          <w:lang w:val="en-GB"/>
        </w:rPr>
      </w:pPr>
      <w:r w:rsidRPr="00CA3A3B">
        <w:rPr>
          <w:rFonts w:ascii="Calibri" w:hAnsi="Calibri" w:cs="Calibri"/>
          <w:b/>
          <w:noProof/>
          <w:sz w:val="18"/>
          <w:szCs w:val="18"/>
          <w:lang w:val="en-GB" w:eastAsia="pt-BR"/>
        </w:rPr>
        <w:lastRenderedPageBreak/>
        <w:drawing>
          <wp:inline distT="0" distB="0" distL="0" distR="0" wp14:anchorId="36315582" wp14:editId="3F4B3DD9">
            <wp:extent cx="5400040" cy="2810934"/>
            <wp:effectExtent l="0" t="0" r="0" b="8890"/>
            <wp:docPr id="1740275497" name="Picture 1" descr="Diagram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275497" name="Picture 1" descr="Diagrama&#10;&#10;O conteúdo gerado por IA pode estar incorreto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406" b="21200"/>
                    <a:stretch/>
                  </pic:blipFill>
                  <pic:spPr bwMode="auto">
                    <a:xfrm>
                      <a:off x="0" y="0"/>
                      <a:ext cx="5400040" cy="28109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152A92" w14:textId="77777777" w:rsidR="00076175" w:rsidRPr="00CA3A3B" w:rsidRDefault="00076175" w:rsidP="00343CED">
      <w:pPr>
        <w:tabs>
          <w:tab w:val="left" w:pos="2880"/>
        </w:tabs>
        <w:spacing w:line="480" w:lineRule="auto"/>
        <w:rPr>
          <w:rFonts w:ascii="Calibri" w:hAnsi="Calibri" w:cs="Calibri"/>
          <w:sz w:val="18"/>
          <w:szCs w:val="18"/>
          <w:lang w:val="en-GB"/>
        </w:rPr>
      </w:pPr>
      <w:r w:rsidRPr="00CA3A3B">
        <w:rPr>
          <w:rFonts w:ascii="Calibri" w:hAnsi="Calibri" w:cs="Calibri"/>
          <w:b/>
          <w:sz w:val="18"/>
          <w:szCs w:val="18"/>
          <w:lang w:val="en-GB"/>
        </w:rPr>
        <w:t xml:space="preserve">Figure S2. </w:t>
      </w:r>
      <w:proofErr w:type="spellStart"/>
      <w:r w:rsidRPr="00CA3A3B">
        <w:rPr>
          <w:rFonts w:ascii="Calibri" w:hAnsi="Calibri" w:cs="Calibri"/>
          <w:b/>
          <w:i/>
          <w:sz w:val="18"/>
          <w:szCs w:val="18"/>
          <w:lang w:val="en-GB"/>
        </w:rPr>
        <w:t>Pf</w:t>
      </w:r>
      <w:r w:rsidRPr="00CA3A3B">
        <w:rPr>
          <w:rFonts w:ascii="Calibri" w:hAnsi="Calibri" w:cs="Calibri"/>
          <w:b/>
          <w:sz w:val="18"/>
          <w:szCs w:val="18"/>
          <w:lang w:val="en-GB"/>
        </w:rPr>
        <w:t>PolK</w:t>
      </w:r>
      <w:proofErr w:type="spellEnd"/>
      <w:r w:rsidRPr="00CA3A3B">
        <w:rPr>
          <w:rFonts w:ascii="Calibri" w:hAnsi="Calibri" w:cs="Calibri"/>
          <w:b/>
          <w:sz w:val="18"/>
          <w:szCs w:val="18"/>
          <w:lang w:val="en-GB"/>
        </w:rPr>
        <w:t xml:space="preserve"> activity assays.</w:t>
      </w:r>
      <w:r w:rsidRPr="00CA3A3B">
        <w:rPr>
          <w:rFonts w:ascii="Calibri" w:hAnsi="Calibri" w:cs="Calibri"/>
          <w:sz w:val="18"/>
          <w:szCs w:val="18"/>
          <w:lang w:val="en-GB"/>
        </w:rPr>
        <w:t xml:space="preserve"> Autoradiographs of the </w:t>
      </w:r>
      <w:proofErr w:type="spellStart"/>
      <w:r w:rsidRPr="00CA3A3B">
        <w:rPr>
          <w:rFonts w:ascii="Calibri" w:hAnsi="Calibri" w:cs="Calibri"/>
          <w:sz w:val="18"/>
          <w:szCs w:val="18"/>
          <w:lang w:val="en-GB"/>
        </w:rPr>
        <w:t>PolK</w:t>
      </w:r>
      <w:proofErr w:type="spellEnd"/>
      <w:r w:rsidRPr="00CA3A3B">
        <w:rPr>
          <w:rFonts w:ascii="Calibri" w:hAnsi="Calibri" w:cs="Calibri"/>
          <w:sz w:val="18"/>
          <w:szCs w:val="18"/>
          <w:lang w:val="en-GB"/>
        </w:rPr>
        <w:t xml:space="preserve"> enzymatic activity assays using [</w:t>
      </w:r>
      <w:r w:rsidRPr="00CA3A3B">
        <w:rPr>
          <w:rFonts w:ascii="Calibri" w:hAnsi="Calibri" w:cs="Calibri"/>
          <w:sz w:val="18"/>
          <w:szCs w:val="18"/>
          <w:vertAlign w:val="superscript"/>
          <w:lang w:val="en-GB"/>
        </w:rPr>
        <w:t>3</w:t>
      </w:r>
      <w:r w:rsidRPr="00CA3A3B">
        <w:rPr>
          <w:rFonts w:ascii="Calibri" w:hAnsi="Calibri" w:cs="Calibri"/>
          <w:sz w:val="18"/>
          <w:szCs w:val="18"/>
          <w:lang w:val="en-GB"/>
        </w:rPr>
        <w:t>H] FOH as substrate and chromatographed by TLC.  The enzyme source of these assays came from whole extracts of yeast strains transformed with p416-</w:t>
      </w:r>
      <w:r w:rsidRPr="00CA3A3B">
        <w:rPr>
          <w:rFonts w:ascii="Calibri" w:hAnsi="Calibri" w:cs="Calibri"/>
          <w:i/>
          <w:sz w:val="18"/>
          <w:szCs w:val="18"/>
          <w:lang w:val="en-GB"/>
        </w:rPr>
        <w:t>Pf</w:t>
      </w:r>
      <w:r w:rsidRPr="00CA3A3B">
        <w:rPr>
          <w:rFonts w:ascii="Calibri" w:hAnsi="Calibri" w:cs="Calibri"/>
          <w:sz w:val="18"/>
          <w:szCs w:val="18"/>
          <w:lang w:val="en-GB"/>
        </w:rPr>
        <w:t xml:space="preserve">PolK. Compounds added to the enzymatic reaction are indicated under the TLC autoradiography image. The TLC retention of FOH and FP is also indicated. </w:t>
      </w:r>
    </w:p>
    <w:p w14:paraId="3A0EE92C" w14:textId="77777777" w:rsidR="00076175" w:rsidRPr="00CA3A3B" w:rsidRDefault="00076175" w:rsidP="00343CED">
      <w:pPr>
        <w:tabs>
          <w:tab w:val="left" w:pos="2880"/>
        </w:tabs>
        <w:spacing w:line="480" w:lineRule="auto"/>
        <w:rPr>
          <w:rFonts w:ascii="Calibri" w:hAnsi="Calibri" w:cs="Calibri"/>
          <w:sz w:val="18"/>
          <w:szCs w:val="18"/>
          <w:lang w:val="en-GB"/>
        </w:rPr>
      </w:pPr>
    </w:p>
    <w:p w14:paraId="6914176C" w14:textId="77777777" w:rsidR="00076175" w:rsidRPr="00CA3A3B" w:rsidRDefault="00076175" w:rsidP="00343CED">
      <w:pPr>
        <w:tabs>
          <w:tab w:val="left" w:pos="2880"/>
        </w:tabs>
        <w:spacing w:line="480" w:lineRule="auto"/>
        <w:rPr>
          <w:rFonts w:ascii="Calibri" w:hAnsi="Calibri" w:cs="Calibri"/>
          <w:b/>
          <w:sz w:val="18"/>
          <w:szCs w:val="18"/>
          <w:highlight w:val="magenta"/>
          <w:lang w:val="en-GB"/>
        </w:rPr>
      </w:pPr>
      <w:r w:rsidRPr="00CA3A3B">
        <w:rPr>
          <w:rFonts w:ascii="Calibri" w:hAnsi="Calibri" w:cs="Calibri"/>
          <w:lang w:val="en-GB"/>
        </w:rPr>
        <w:t xml:space="preserve"> </w:t>
      </w:r>
      <w:r w:rsidRPr="00CA3A3B">
        <w:rPr>
          <w:rFonts w:ascii="Calibri" w:hAnsi="Calibri" w:cs="Calibri"/>
          <w:lang w:val="en-GB"/>
        </w:rPr>
        <w:object w:dxaOrig="6029" w:dyaOrig="4231" w14:anchorId="747EC1AF">
          <v:shape id="_x0000_i1026" type="#_x0000_t75" style="width:300pt;height:211.1pt" o:ole="">
            <v:imagedata r:id="rId9" o:title=""/>
          </v:shape>
          <o:OLEObject Type="Embed" ProgID="Prism8.Document" ShapeID="_x0000_i1026" DrawAspect="Content" ObjectID="_1807641534" r:id="rId10"/>
        </w:object>
      </w:r>
    </w:p>
    <w:p w14:paraId="42D36D4A" w14:textId="77777777" w:rsidR="00076175" w:rsidRPr="00CA3A3B" w:rsidRDefault="00076175" w:rsidP="00343CED">
      <w:pPr>
        <w:tabs>
          <w:tab w:val="left" w:pos="2880"/>
        </w:tabs>
        <w:spacing w:line="480" w:lineRule="auto"/>
        <w:rPr>
          <w:rFonts w:ascii="Calibri" w:hAnsi="Calibri" w:cs="Calibri"/>
          <w:sz w:val="18"/>
          <w:szCs w:val="18"/>
          <w:lang w:val="en-GB"/>
        </w:rPr>
      </w:pPr>
      <w:r w:rsidRPr="00CA3A3B">
        <w:rPr>
          <w:rFonts w:ascii="Calibri" w:hAnsi="Calibri" w:cs="Calibri"/>
          <w:b/>
          <w:sz w:val="18"/>
          <w:szCs w:val="18"/>
          <w:lang w:val="en-GB"/>
        </w:rPr>
        <w:t xml:space="preserve">Figure S3. Geraniol dose-response effect. </w:t>
      </w:r>
      <w:r w:rsidRPr="00CA3A3B">
        <w:rPr>
          <w:rFonts w:ascii="Calibri" w:hAnsi="Calibri" w:cs="Calibri"/>
          <w:sz w:val="18"/>
          <w:szCs w:val="18"/>
          <w:lang w:val="en-GB"/>
        </w:rPr>
        <w:t>Figure shows the geraniol dose-response curve 72h after treatment.</w:t>
      </w:r>
    </w:p>
    <w:p w14:paraId="44148EAB" w14:textId="77777777" w:rsidR="00076175" w:rsidRPr="00CA3A3B" w:rsidRDefault="00076175" w:rsidP="00343CED">
      <w:pPr>
        <w:tabs>
          <w:tab w:val="left" w:pos="2880"/>
        </w:tabs>
        <w:spacing w:line="480" w:lineRule="auto"/>
        <w:rPr>
          <w:rFonts w:ascii="Calibri" w:hAnsi="Calibri" w:cs="Calibri"/>
          <w:b/>
          <w:sz w:val="18"/>
          <w:szCs w:val="18"/>
          <w:highlight w:val="yellow"/>
          <w:lang w:val="en-GB"/>
        </w:rPr>
      </w:pPr>
      <w:r w:rsidRPr="00CA3A3B">
        <w:rPr>
          <w:rFonts w:ascii="Calibri" w:hAnsi="Calibri" w:cs="Calibri"/>
          <w:b/>
          <w:noProof/>
          <w:sz w:val="18"/>
          <w:szCs w:val="18"/>
          <w:lang w:val="en-GB" w:eastAsia="pt-BR"/>
        </w:rPr>
        <w:lastRenderedPageBreak/>
        <w:drawing>
          <wp:inline distT="0" distB="0" distL="0" distR="0" wp14:anchorId="236DB86E" wp14:editId="63EABC6B">
            <wp:extent cx="5173134" cy="3618189"/>
            <wp:effectExtent l="0" t="0" r="8890" b="1905"/>
            <wp:docPr id="2064622956" name="Picture 3" descr="Diagrama, Esquemáti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4622956" name="Picture 3" descr="Diagrama, Esquemático&#10;&#10;O conteúdo gerado por IA pode estar incorreto.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76" r="8592"/>
                    <a:stretch/>
                  </pic:blipFill>
                  <pic:spPr bwMode="auto">
                    <a:xfrm>
                      <a:off x="0" y="0"/>
                      <a:ext cx="5182602" cy="36248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B20757" w14:textId="77777777" w:rsidR="00076175" w:rsidRPr="00CA3A3B" w:rsidRDefault="00076175" w:rsidP="00343CED">
      <w:pPr>
        <w:tabs>
          <w:tab w:val="left" w:pos="2880"/>
        </w:tabs>
        <w:spacing w:line="480" w:lineRule="auto"/>
        <w:rPr>
          <w:rFonts w:ascii="Calibri" w:hAnsi="Calibri" w:cs="Calibri"/>
          <w:sz w:val="18"/>
          <w:szCs w:val="18"/>
          <w:lang w:val="en-GB"/>
        </w:rPr>
      </w:pPr>
      <w:r w:rsidRPr="00CA3A3B">
        <w:rPr>
          <w:rFonts w:ascii="Calibri" w:hAnsi="Calibri" w:cs="Calibri"/>
          <w:b/>
          <w:sz w:val="18"/>
          <w:szCs w:val="18"/>
          <w:lang w:val="en-GB"/>
        </w:rPr>
        <w:t>Figure S4. Rescue assays with terpene and terpene-like substances.</w:t>
      </w:r>
      <w:r w:rsidRPr="00CA3A3B">
        <w:rPr>
          <w:rFonts w:ascii="Calibri" w:hAnsi="Calibri" w:cs="Calibri"/>
          <w:sz w:val="18"/>
          <w:szCs w:val="18"/>
          <w:lang w:val="en-GB"/>
        </w:rPr>
        <w:t xml:space="preserve"> The graph and its respective table </w:t>
      </w:r>
      <w:proofErr w:type="gramStart"/>
      <w:r w:rsidRPr="00CA3A3B">
        <w:rPr>
          <w:rFonts w:ascii="Calibri" w:hAnsi="Calibri" w:cs="Calibri"/>
          <w:sz w:val="18"/>
          <w:szCs w:val="18"/>
          <w:lang w:val="en-GB"/>
        </w:rPr>
        <w:t>shows</w:t>
      </w:r>
      <w:proofErr w:type="gramEnd"/>
      <w:r w:rsidRPr="00CA3A3B">
        <w:rPr>
          <w:rFonts w:ascii="Calibri" w:hAnsi="Calibri" w:cs="Calibri"/>
          <w:sz w:val="18"/>
          <w:szCs w:val="18"/>
          <w:lang w:val="en-GB"/>
        </w:rPr>
        <w:t xml:space="preserve"> the </w:t>
      </w:r>
      <w:r w:rsidRPr="00CA3A3B">
        <w:rPr>
          <w:rFonts w:ascii="Calibri" w:hAnsi="Calibri" w:cs="Calibri"/>
          <w:i/>
          <w:sz w:val="18"/>
          <w:szCs w:val="18"/>
          <w:lang w:val="en-GB"/>
        </w:rPr>
        <w:t>P. falciparum</w:t>
      </w:r>
      <w:r w:rsidRPr="00CA3A3B">
        <w:rPr>
          <w:rFonts w:ascii="Calibri" w:hAnsi="Calibri" w:cs="Calibri"/>
          <w:sz w:val="18"/>
          <w:szCs w:val="18"/>
          <w:lang w:val="en-GB"/>
        </w:rPr>
        <w:t xml:space="preserve"> 3D7 strain IC</w:t>
      </w:r>
      <w:r w:rsidRPr="00CA3A3B">
        <w:rPr>
          <w:rFonts w:ascii="Calibri" w:hAnsi="Calibri" w:cs="Calibri"/>
          <w:sz w:val="18"/>
          <w:szCs w:val="18"/>
          <w:vertAlign w:val="subscript"/>
          <w:lang w:val="en-GB"/>
        </w:rPr>
        <w:t>50</w:t>
      </w:r>
      <w:r w:rsidRPr="00CA3A3B">
        <w:rPr>
          <w:rFonts w:ascii="Calibri" w:hAnsi="Calibri" w:cs="Calibri"/>
          <w:sz w:val="18"/>
          <w:szCs w:val="18"/>
          <w:lang w:val="en-GB"/>
        </w:rPr>
        <w:t xml:space="preserve"> values and dose-response curves of </w:t>
      </w:r>
      <w:proofErr w:type="spellStart"/>
      <w:r w:rsidRPr="00CA3A3B">
        <w:rPr>
          <w:rFonts w:ascii="Calibri" w:hAnsi="Calibri" w:cs="Calibri"/>
          <w:sz w:val="18"/>
          <w:szCs w:val="18"/>
          <w:lang w:val="en-GB"/>
        </w:rPr>
        <w:t>nerol</w:t>
      </w:r>
      <w:proofErr w:type="spellEnd"/>
      <w:r w:rsidRPr="00CA3A3B">
        <w:rPr>
          <w:rFonts w:ascii="Calibri" w:hAnsi="Calibri" w:cs="Calibri"/>
          <w:sz w:val="18"/>
          <w:szCs w:val="18"/>
          <w:lang w:val="en-GB"/>
        </w:rPr>
        <w:t>, citronellol, 2,7-dimethyl-1-octanol, and fosmidomycin under the presence of a concentration 16 µM of different compounds, as indicated.  Figure also shows the dose-</w:t>
      </w:r>
      <w:proofErr w:type="spellStart"/>
      <w:r w:rsidRPr="00CA3A3B">
        <w:rPr>
          <w:rFonts w:ascii="Calibri" w:hAnsi="Calibri" w:cs="Calibri"/>
          <w:sz w:val="18"/>
          <w:szCs w:val="18"/>
          <w:lang w:val="en-GB"/>
        </w:rPr>
        <w:t>responde</w:t>
      </w:r>
      <w:proofErr w:type="spellEnd"/>
      <w:r w:rsidRPr="00CA3A3B">
        <w:rPr>
          <w:rFonts w:ascii="Calibri" w:hAnsi="Calibri" w:cs="Calibri"/>
          <w:sz w:val="18"/>
          <w:szCs w:val="18"/>
          <w:lang w:val="en-GB"/>
        </w:rPr>
        <w:t xml:space="preserve"> curve of </w:t>
      </w:r>
      <w:proofErr w:type="spellStart"/>
      <w:r w:rsidRPr="00CA3A3B">
        <w:rPr>
          <w:rFonts w:ascii="Calibri" w:hAnsi="Calibri" w:cs="Calibri"/>
          <w:sz w:val="18"/>
          <w:szCs w:val="18"/>
          <w:lang w:val="en-GB"/>
        </w:rPr>
        <w:t>nerol</w:t>
      </w:r>
      <w:proofErr w:type="spellEnd"/>
      <w:r w:rsidRPr="00CA3A3B">
        <w:rPr>
          <w:rFonts w:ascii="Calibri" w:hAnsi="Calibri" w:cs="Calibri"/>
          <w:sz w:val="18"/>
          <w:szCs w:val="18"/>
          <w:lang w:val="en-GB"/>
        </w:rPr>
        <w:t xml:space="preserve">, citronellol, 2,7-dimethyl-1-octanol. For </w:t>
      </w:r>
      <w:proofErr w:type="gramStart"/>
      <w:r w:rsidRPr="00CA3A3B">
        <w:rPr>
          <w:rFonts w:ascii="Calibri" w:hAnsi="Calibri" w:cs="Calibri"/>
          <w:sz w:val="18"/>
          <w:szCs w:val="18"/>
          <w:lang w:val="en-GB"/>
        </w:rPr>
        <w:t>this compounds</w:t>
      </w:r>
      <w:proofErr w:type="gramEnd"/>
      <w:r w:rsidRPr="00CA3A3B">
        <w:rPr>
          <w:rFonts w:ascii="Calibri" w:hAnsi="Calibri" w:cs="Calibri"/>
          <w:sz w:val="18"/>
          <w:szCs w:val="18"/>
          <w:lang w:val="en-GB"/>
        </w:rPr>
        <w:t>, it was chosen a concentration of 16 µM for its proximity to the maximum concentration that does not produce toxic effects in parasites over 72 h. Statistical analysis was made using one-way ANOVA / Dunnet’s Multiple Comparison Test.*p&lt;0.05, **p&lt;0.01, ***p&lt;0.001. Comparison made to Vehicle/Control data. Error bars represent standard deviation (n = 3).</w:t>
      </w:r>
    </w:p>
    <w:p w14:paraId="3FD090E9" w14:textId="77777777" w:rsidR="00076175" w:rsidRPr="00CA3A3B" w:rsidRDefault="00076175" w:rsidP="00343CED">
      <w:pPr>
        <w:tabs>
          <w:tab w:val="left" w:pos="2880"/>
        </w:tabs>
        <w:spacing w:line="480" w:lineRule="auto"/>
        <w:rPr>
          <w:rFonts w:ascii="Calibri" w:hAnsi="Calibri" w:cs="Calibri"/>
          <w:b/>
          <w:sz w:val="18"/>
          <w:szCs w:val="18"/>
          <w:highlight w:val="yellow"/>
          <w:lang w:val="en-GB"/>
        </w:rPr>
      </w:pPr>
      <w:r w:rsidRPr="00CA3A3B">
        <w:rPr>
          <w:rFonts w:ascii="Calibri" w:hAnsi="Calibri" w:cs="Calibri"/>
          <w:lang w:val="en-GB"/>
        </w:rPr>
        <w:lastRenderedPageBreak/>
        <w:t xml:space="preserve"> </w:t>
      </w:r>
      <w:r w:rsidRPr="00CA3A3B">
        <w:rPr>
          <w:rFonts w:ascii="Calibri" w:hAnsi="Calibri" w:cs="Calibri"/>
          <w:lang w:val="en-GB"/>
        </w:rPr>
        <w:object w:dxaOrig="7366" w:dyaOrig="6147" w14:anchorId="3DD93CED">
          <v:shape id="_x0000_i1027" type="#_x0000_t75" style="width:368.2pt;height:307.1pt" o:ole="">
            <v:imagedata r:id="rId12" o:title=""/>
          </v:shape>
          <o:OLEObject Type="Embed" ProgID="Prism8.Document" ShapeID="_x0000_i1027" DrawAspect="Content" ObjectID="_1807641535" r:id="rId13"/>
        </w:object>
      </w:r>
    </w:p>
    <w:p w14:paraId="1A81A6AB" w14:textId="34821FE7" w:rsidR="00076175" w:rsidRPr="00B02B25" w:rsidRDefault="00076175" w:rsidP="00B02B25">
      <w:pPr>
        <w:tabs>
          <w:tab w:val="left" w:pos="2880"/>
        </w:tabs>
        <w:spacing w:line="480" w:lineRule="auto"/>
        <w:rPr>
          <w:rFonts w:ascii="Calibri" w:hAnsi="Calibri" w:cs="Calibri"/>
          <w:sz w:val="18"/>
          <w:szCs w:val="18"/>
          <w:lang w:val="en-GB"/>
        </w:rPr>
      </w:pPr>
      <w:r w:rsidRPr="00CA3A3B">
        <w:rPr>
          <w:rFonts w:ascii="Calibri" w:hAnsi="Calibri" w:cs="Calibri"/>
          <w:b/>
          <w:sz w:val="18"/>
          <w:szCs w:val="18"/>
          <w:lang w:val="en-GB"/>
        </w:rPr>
        <w:t>Figure S5. Geraniol inhibition of prenol uptake in</w:t>
      </w:r>
      <w:r w:rsidRPr="00CA3A3B">
        <w:rPr>
          <w:rFonts w:ascii="Calibri" w:hAnsi="Calibri" w:cs="Calibri"/>
          <w:sz w:val="18"/>
          <w:szCs w:val="18"/>
          <w:lang w:val="en-GB"/>
        </w:rPr>
        <w:t xml:space="preserve"> </w:t>
      </w:r>
      <w:r w:rsidRPr="00CA3A3B">
        <w:rPr>
          <w:rFonts w:ascii="Calibri" w:hAnsi="Calibri" w:cs="Calibri"/>
          <w:b/>
          <w:i/>
          <w:sz w:val="18"/>
          <w:szCs w:val="18"/>
          <w:lang w:val="en-GB"/>
        </w:rPr>
        <w:t>P. falciparum</w:t>
      </w:r>
      <w:r w:rsidRPr="00CA3A3B">
        <w:rPr>
          <w:rFonts w:ascii="Calibri" w:hAnsi="Calibri" w:cs="Calibri"/>
          <w:b/>
          <w:sz w:val="18"/>
          <w:szCs w:val="18"/>
          <w:lang w:val="en-GB"/>
        </w:rPr>
        <w:t xml:space="preserve"> parasites. </w:t>
      </w:r>
      <w:r w:rsidRPr="00CA3A3B">
        <w:rPr>
          <w:rFonts w:ascii="Calibri" w:hAnsi="Calibri" w:cs="Calibri"/>
          <w:sz w:val="18"/>
          <w:szCs w:val="18"/>
          <w:lang w:val="en-GB"/>
        </w:rPr>
        <w:t>Figure shows [</w:t>
      </w:r>
      <w:r w:rsidRPr="00CA3A3B">
        <w:rPr>
          <w:rFonts w:ascii="Calibri" w:hAnsi="Calibri" w:cs="Calibri"/>
          <w:sz w:val="18"/>
          <w:szCs w:val="18"/>
          <w:vertAlign w:val="superscript"/>
          <w:lang w:val="en-GB"/>
        </w:rPr>
        <w:t>3</w:t>
      </w:r>
      <w:r w:rsidRPr="00CA3A3B">
        <w:rPr>
          <w:rFonts w:ascii="Calibri" w:hAnsi="Calibri" w:cs="Calibri"/>
          <w:sz w:val="18"/>
          <w:szCs w:val="18"/>
          <w:lang w:val="en-GB"/>
        </w:rPr>
        <w:t xml:space="preserve">H] GGOH incorporation levels in </w:t>
      </w:r>
      <w:r w:rsidRPr="00CA3A3B">
        <w:rPr>
          <w:rFonts w:ascii="Calibri" w:hAnsi="Calibri" w:cs="Calibri"/>
          <w:i/>
          <w:iCs/>
          <w:sz w:val="18"/>
          <w:szCs w:val="18"/>
          <w:lang w:val="en-GB"/>
        </w:rPr>
        <w:t xml:space="preserve">P. falciparum </w:t>
      </w:r>
      <w:r w:rsidRPr="00CA3A3B">
        <w:rPr>
          <w:rFonts w:ascii="Calibri" w:hAnsi="Calibri" w:cs="Calibri"/>
          <w:iCs/>
          <w:sz w:val="18"/>
          <w:szCs w:val="18"/>
          <w:lang w:val="en-GB"/>
        </w:rPr>
        <w:t>3D7 strain</w:t>
      </w:r>
      <w:r w:rsidRPr="00CA3A3B">
        <w:rPr>
          <w:rFonts w:ascii="Calibri" w:hAnsi="Calibri" w:cs="Calibri"/>
          <w:i/>
          <w:iCs/>
          <w:sz w:val="18"/>
          <w:szCs w:val="18"/>
          <w:lang w:val="en-GB"/>
        </w:rPr>
        <w:t xml:space="preserve"> </w:t>
      </w:r>
      <w:r w:rsidRPr="00CA3A3B">
        <w:rPr>
          <w:rFonts w:ascii="Calibri" w:hAnsi="Calibri" w:cs="Calibri"/>
          <w:sz w:val="18"/>
          <w:szCs w:val="18"/>
          <w:lang w:val="en-GB"/>
        </w:rPr>
        <w:t>cultured under the absence / presence of 70 µM geraniol. This experiment was performed three times. Statistical analysis was made using one-way ANOVA / Dunnet’s Multiple Comparison Test.*p&lt;0.05, **p&lt;0.01, ***p&lt;0.001 (n = 3).</w:t>
      </w:r>
    </w:p>
    <w:sectPr w:rsidR="00076175" w:rsidRPr="00B02B2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A93D4" w14:textId="77777777" w:rsidR="00511AC1" w:rsidRDefault="00511AC1" w:rsidP="00076175">
      <w:pPr>
        <w:spacing w:after="0" w:line="240" w:lineRule="auto"/>
      </w:pPr>
      <w:r>
        <w:separator/>
      </w:r>
    </w:p>
  </w:endnote>
  <w:endnote w:type="continuationSeparator" w:id="0">
    <w:p w14:paraId="10B69CB2" w14:textId="77777777" w:rsidR="00511AC1" w:rsidRDefault="00511AC1" w:rsidP="00076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6A880" w14:textId="77777777" w:rsidR="00076175" w:rsidRDefault="000761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9182795"/>
      <w:docPartObj>
        <w:docPartGallery w:val="Page Numbers (Bottom of Page)"/>
        <w:docPartUnique/>
      </w:docPartObj>
    </w:sdtPr>
    <w:sdtContent>
      <w:p w14:paraId="64844779" w14:textId="1E457724" w:rsidR="00076175" w:rsidRDefault="0007617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D23309" w14:textId="77777777" w:rsidR="00076175" w:rsidRDefault="000761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44B29" w14:textId="77777777" w:rsidR="00076175" w:rsidRDefault="000761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F8D04" w14:textId="77777777" w:rsidR="00511AC1" w:rsidRDefault="00511AC1" w:rsidP="00076175">
      <w:pPr>
        <w:spacing w:after="0" w:line="240" w:lineRule="auto"/>
      </w:pPr>
      <w:r>
        <w:separator/>
      </w:r>
    </w:p>
  </w:footnote>
  <w:footnote w:type="continuationSeparator" w:id="0">
    <w:p w14:paraId="5EC771F9" w14:textId="77777777" w:rsidR="00511AC1" w:rsidRDefault="00511AC1" w:rsidP="000761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35C90" w14:textId="77777777" w:rsidR="00076175" w:rsidRDefault="000761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80D80" w14:textId="77777777" w:rsidR="00076175" w:rsidRDefault="000761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AB923" w14:textId="77777777" w:rsidR="00076175" w:rsidRDefault="000761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175"/>
    <w:rsid w:val="00076175"/>
    <w:rsid w:val="001229BB"/>
    <w:rsid w:val="002442E5"/>
    <w:rsid w:val="00343CED"/>
    <w:rsid w:val="00511AC1"/>
    <w:rsid w:val="00594D61"/>
    <w:rsid w:val="0065018B"/>
    <w:rsid w:val="006B5DBD"/>
    <w:rsid w:val="00795F9C"/>
    <w:rsid w:val="007C6890"/>
    <w:rsid w:val="00834DA5"/>
    <w:rsid w:val="00B02B25"/>
    <w:rsid w:val="00CA3A3B"/>
    <w:rsid w:val="00EC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58641"/>
  <w15:chartTrackingRefBased/>
  <w15:docId w15:val="{A31382F8-8D51-4B22-9FD7-44436AC45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175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61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61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61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61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61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61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61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61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61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61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61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61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61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61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61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61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61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61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61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76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61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761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6175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761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6175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761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61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61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6175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076175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kern w:val="0"/>
      <w:sz w:val="24"/>
      <w:szCs w:val="24"/>
      <w:lang w:val="ca-E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761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175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761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17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13" Type="http://schemas.openxmlformats.org/officeDocument/2006/relationships/oleObject" Target="embeddings/oleObject3.bin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5.emf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4.tiff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oleObject" Target="embeddings/oleObject2.bin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image" Target="media/image3.e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1254</TotalTime>
  <Pages>4</Pages>
  <Words>417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Ignasi Bofill Verdaguer</dc:creator>
  <cp:keywords/>
  <dc:description/>
  <cp:lastModifiedBy>Marcell Crispim</cp:lastModifiedBy>
  <cp:revision>4</cp:revision>
  <dcterms:created xsi:type="dcterms:W3CDTF">2025-04-27T11:26:00Z</dcterms:created>
  <dcterms:modified xsi:type="dcterms:W3CDTF">2025-05-01T19:52:00Z</dcterms:modified>
</cp:coreProperties>
</file>