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A990FD" w14:textId="1AC591A4" w:rsidR="0058524D" w:rsidRDefault="0058524D" w:rsidP="0010272B">
      <w:pPr>
        <w:pStyle w:val="Title"/>
        <w:jc w:val="both"/>
        <w:rPr>
          <w:sz w:val="72"/>
          <w:szCs w:val="72"/>
        </w:rPr>
      </w:pPr>
      <w:r w:rsidRPr="0055776F">
        <w:rPr>
          <w:sz w:val="72"/>
          <w:szCs w:val="72"/>
        </w:rPr>
        <w:t>Su</w:t>
      </w:r>
      <w:r w:rsidR="005D68EC" w:rsidRPr="0055776F">
        <w:rPr>
          <w:sz w:val="72"/>
          <w:szCs w:val="72"/>
        </w:rPr>
        <w:t>p</w:t>
      </w:r>
      <w:r w:rsidRPr="0055776F">
        <w:rPr>
          <w:sz w:val="72"/>
          <w:szCs w:val="72"/>
        </w:rPr>
        <w:t>plements</w:t>
      </w:r>
    </w:p>
    <w:p w14:paraId="409389E4" w14:textId="77777777" w:rsidR="001C7D5D" w:rsidRPr="00D7271C" w:rsidRDefault="001C7D5D" w:rsidP="0010272B">
      <w:pPr>
        <w:spacing w:line="276" w:lineRule="auto"/>
        <w:jc w:val="both"/>
        <w:rPr>
          <w:rFonts w:asciiTheme="majorHAnsi" w:eastAsiaTheme="majorEastAsia" w:hAnsiTheme="majorHAnsi" w:cstheme="majorBidi"/>
          <w:b/>
          <w:bCs/>
          <w:smallCaps/>
          <w:spacing w:val="-10"/>
          <w:kern w:val="28"/>
          <w:sz w:val="40"/>
          <w:szCs w:val="40"/>
        </w:rPr>
      </w:pPr>
      <w:r w:rsidRPr="00D7271C">
        <w:rPr>
          <w:rFonts w:asciiTheme="majorHAnsi" w:eastAsiaTheme="majorEastAsia" w:hAnsiTheme="majorHAnsi" w:cstheme="majorBidi"/>
          <w:b/>
          <w:bCs/>
          <w:smallCaps/>
          <w:spacing w:val="-10"/>
          <w:kern w:val="28"/>
          <w:sz w:val="40"/>
          <w:szCs w:val="40"/>
        </w:rPr>
        <w:t>Sensitivity of global land-based mitigation potential to land-use scenarios and interactions across sectors</w:t>
      </w:r>
    </w:p>
    <w:p w14:paraId="0691C5D6" w14:textId="77777777" w:rsidR="0055776F" w:rsidRPr="00010D4E" w:rsidRDefault="0055776F" w:rsidP="00842D78">
      <w:pPr>
        <w:rPr>
          <w:lang w:val="en-US"/>
        </w:rPr>
      </w:pPr>
    </w:p>
    <w:p w14:paraId="33C9027D" w14:textId="77777777" w:rsidR="002A6ACF" w:rsidRPr="00010D4E" w:rsidRDefault="002A6ACF" w:rsidP="00842D78">
      <w:pPr>
        <w:rPr>
          <w:lang w:val="en-US"/>
        </w:rPr>
      </w:pPr>
    </w:p>
    <w:p w14:paraId="1DB92B0B" w14:textId="77777777" w:rsidR="002459FA" w:rsidRPr="00010D4E" w:rsidRDefault="002459FA" w:rsidP="00842D78">
      <w:pPr>
        <w:rPr>
          <w:lang w:val="en-US"/>
        </w:rPr>
      </w:pPr>
    </w:p>
    <w:sdt>
      <w:sdtPr>
        <w:rPr>
          <w:rFonts w:asciiTheme="minorHAnsi" w:eastAsiaTheme="minorEastAsia" w:hAnsiTheme="minorHAnsi" w:cstheme="minorBidi"/>
          <w:color w:val="auto"/>
          <w:kern w:val="2"/>
          <w:sz w:val="22"/>
          <w:szCs w:val="22"/>
          <w:lang w:val="en-GB"/>
        </w:rPr>
        <w:id w:val="-1109274234"/>
        <w:docPartObj>
          <w:docPartGallery w:val="Table of Contents"/>
          <w:docPartUnique/>
        </w:docPartObj>
      </w:sdtPr>
      <w:sdtEndPr>
        <w:rPr>
          <w:b/>
          <w:bCs/>
        </w:rPr>
      </w:sdtEndPr>
      <w:sdtContent>
        <w:p w14:paraId="3D1FBBC3" w14:textId="034DE906" w:rsidR="002454AA" w:rsidRDefault="002454AA">
          <w:pPr>
            <w:pStyle w:val="TOCHeading"/>
          </w:pPr>
          <w:r>
            <w:t>Contents</w:t>
          </w:r>
        </w:p>
        <w:p w14:paraId="562F1FFD" w14:textId="77777777" w:rsidR="002459FA" w:rsidRPr="002459FA" w:rsidRDefault="002459FA" w:rsidP="002459FA">
          <w:pPr>
            <w:rPr>
              <w:lang w:val="en-US"/>
            </w:rPr>
          </w:pPr>
        </w:p>
        <w:p w14:paraId="4CD3FC26" w14:textId="299D8347" w:rsidR="001A2C02" w:rsidRDefault="002454AA">
          <w:pPr>
            <w:pStyle w:val="TOC1"/>
            <w:tabs>
              <w:tab w:val="right" w:leader="dot" w:pos="9350"/>
            </w:tabs>
            <w:rPr>
              <w:rFonts w:eastAsiaTheme="minorEastAsia"/>
              <w:noProof/>
              <w:sz w:val="24"/>
              <w:szCs w:val="24"/>
              <w:lang w:eastAsia="en-GB"/>
            </w:rPr>
          </w:pPr>
          <w:r>
            <w:fldChar w:fldCharType="begin"/>
          </w:r>
          <w:r>
            <w:instrText xml:space="preserve"> TOC \o "1-3" \h \z \u </w:instrText>
          </w:r>
          <w:r>
            <w:fldChar w:fldCharType="separate"/>
          </w:r>
          <w:hyperlink w:anchor="_Toc197023384" w:history="1">
            <w:r w:rsidR="001A2C02" w:rsidRPr="00E356C2">
              <w:rPr>
                <w:rStyle w:val="Hyperlink"/>
                <w:noProof/>
              </w:rPr>
              <w:t>Methods</w:t>
            </w:r>
            <w:r w:rsidR="001A2C02">
              <w:rPr>
                <w:noProof/>
                <w:webHidden/>
              </w:rPr>
              <w:tab/>
            </w:r>
            <w:r w:rsidR="001A2C02">
              <w:rPr>
                <w:noProof/>
                <w:webHidden/>
              </w:rPr>
              <w:fldChar w:fldCharType="begin"/>
            </w:r>
            <w:r w:rsidR="001A2C02">
              <w:rPr>
                <w:noProof/>
                <w:webHidden/>
              </w:rPr>
              <w:instrText xml:space="preserve"> PAGEREF _Toc197023384 \h </w:instrText>
            </w:r>
            <w:r w:rsidR="001A2C02">
              <w:rPr>
                <w:noProof/>
                <w:webHidden/>
              </w:rPr>
            </w:r>
            <w:r w:rsidR="001A2C02">
              <w:rPr>
                <w:noProof/>
                <w:webHidden/>
              </w:rPr>
              <w:fldChar w:fldCharType="separate"/>
            </w:r>
            <w:r w:rsidR="001A2C02">
              <w:rPr>
                <w:noProof/>
                <w:webHidden/>
              </w:rPr>
              <w:t>2</w:t>
            </w:r>
            <w:r w:rsidR="001A2C02">
              <w:rPr>
                <w:noProof/>
                <w:webHidden/>
              </w:rPr>
              <w:fldChar w:fldCharType="end"/>
            </w:r>
          </w:hyperlink>
        </w:p>
        <w:p w14:paraId="7B7D26A0" w14:textId="1590C412" w:rsidR="001A2C02" w:rsidRDefault="001A2C02">
          <w:pPr>
            <w:pStyle w:val="TOC2"/>
            <w:tabs>
              <w:tab w:val="right" w:leader="dot" w:pos="9350"/>
            </w:tabs>
            <w:rPr>
              <w:rFonts w:eastAsiaTheme="minorEastAsia"/>
              <w:noProof/>
              <w:sz w:val="24"/>
              <w:szCs w:val="24"/>
              <w:lang w:eastAsia="en-GB"/>
            </w:rPr>
          </w:pPr>
          <w:hyperlink w:anchor="_Toc197023385" w:history="1">
            <w:r w:rsidRPr="00E356C2">
              <w:rPr>
                <w:rStyle w:val="Hyperlink"/>
                <w:noProof/>
              </w:rPr>
              <w:t>Detailed Scenario Components Descriptions</w:t>
            </w:r>
            <w:r>
              <w:rPr>
                <w:noProof/>
                <w:webHidden/>
              </w:rPr>
              <w:tab/>
            </w:r>
            <w:r>
              <w:rPr>
                <w:noProof/>
                <w:webHidden/>
              </w:rPr>
              <w:fldChar w:fldCharType="begin"/>
            </w:r>
            <w:r>
              <w:rPr>
                <w:noProof/>
                <w:webHidden/>
              </w:rPr>
              <w:instrText xml:space="preserve"> PAGEREF _Toc197023385 \h </w:instrText>
            </w:r>
            <w:r>
              <w:rPr>
                <w:noProof/>
                <w:webHidden/>
              </w:rPr>
            </w:r>
            <w:r>
              <w:rPr>
                <w:noProof/>
                <w:webHidden/>
              </w:rPr>
              <w:fldChar w:fldCharType="separate"/>
            </w:r>
            <w:r>
              <w:rPr>
                <w:noProof/>
                <w:webHidden/>
              </w:rPr>
              <w:t>2</w:t>
            </w:r>
            <w:r>
              <w:rPr>
                <w:noProof/>
                <w:webHidden/>
              </w:rPr>
              <w:fldChar w:fldCharType="end"/>
            </w:r>
          </w:hyperlink>
        </w:p>
        <w:p w14:paraId="0B3FCCC0" w14:textId="2AEF4B0E" w:rsidR="001A2C02" w:rsidRDefault="001A2C02">
          <w:pPr>
            <w:pStyle w:val="TOC3"/>
            <w:tabs>
              <w:tab w:val="right" w:leader="dot" w:pos="9350"/>
            </w:tabs>
            <w:rPr>
              <w:rFonts w:eastAsiaTheme="minorEastAsia"/>
              <w:noProof/>
              <w:sz w:val="24"/>
              <w:szCs w:val="24"/>
              <w:lang w:eastAsia="en-GB"/>
            </w:rPr>
          </w:pPr>
          <w:hyperlink w:anchor="_Toc197023386" w:history="1">
            <w:r w:rsidRPr="00E356C2">
              <w:rPr>
                <w:rStyle w:val="Hyperlink"/>
                <w:noProof/>
              </w:rPr>
              <w:t>Emission Pricing</w:t>
            </w:r>
            <w:r>
              <w:rPr>
                <w:noProof/>
                <w:webHidden/>
              </w:rPr>
              <w:tab/>
            </w:r>
            <w:r>
              <w:rPr>
                <w:noProof/>
                <w:webHidden/>
              </w:rPr>
              <w:fldChar w:fldCharType="begin"/>
            </w:r>
            <w:r>
              <w:rPr>
                <w:noProof/>
                <w:webHidden/>
              </w:rPr>
              <w:instrText xml:space="preserve"> PAGEREF _Toc197023386 \h </w:instrText>
            </w:r>
            <w:r>
              <w:rPr>
                <w:noProof/>
                <w:webHidden/>
              </w:rPr>
            </w:r>
            <w:r>
              <w:rPr>
                <w:noProof/>
                <w:webHidden/>
              </w:rPr>
              <w:fldChar w:fldCharType="separate"/>
            </w:r>
            <w:r>
              <w:rPr>
                <w:noProof/>
                <w:webHidden/>
              </w:rPr>
              <w:t>2</w:t>
            </w:r>
            <w:r>
              <w:rPr>
                <w:noProof/>
                <w:webHidden/>
              </w:rPr>
              <w:fldChar w:fldCharType="end"/>
            </w:r>
          </w:hyperlink>
        </w:p>
        <w:p w14:paraId="299EA8B5" w14:textId="06865D10" w:rsidR="001A2C02" w:rsidRDefault="001A2C02">
          <w:pPr>
            <w:pStyle w:val="TOC3"/>
            <w:tabs>
              <w:tab w:val="right" w:leader="dot" w:pos="9350"/>
            </w:tabs>
            <w:rPr>
              <w:rFonts w:eastAsiaTheme="minorEastAsia"/>
              <w:noProof/>
              <w:sz w:val="24"/>
              <w:szCs w:val="24"/>
              <w:lang w:eastAsia="en-GB"/>
            </w:rPr>
          </w:pPr>
          <w:hyperlink w:anchor="_Toc197023387" w:history="1">
            <w:r w:rsidRPr="00E356C2">
              <w:rPr>
                <w:rStyle w:val="Hyperlink"/>
                <w:noProof/>
              </w:rPr>
              <w:t>Global diet</w:t>
            </w:r>
            <w:r>
              <w:rPr>
                <w:noProof/>
                <w:webHidden/>
              </w:rPr>
              <w:tab/>
            </w:r>
            <w:r>
              <w:rPr>
                <w:noProof/>
                <w:webHidden/>
              </w:rPr>
              <w:fldChar w:fldCharType="begin"/>
            </w:r>
            <w:r>
              <w:rPr>
                <w:noProof/>
                <w:webHidden/>
              </w:rPr>
              <w:instrText xml:space="preserve"> PAGEREF _Toc197023387 \h </w:instrText>
            </w:r>
            <w:r>
              <w:rPr>
                <w:noProof/>
                <w:webHidden/>
              </w:rPr>
            </w:r>
            <w:r>
              <w:rPr>
                <w:noProof/>
                <w:webHidden/>
              </w:rPr>
              <w:fldChar w:fldCharType="separate"/>
            </w:r>
            <w:r>
              <w:rPr>
                <w:noProof/>
                <w:webHidden/>
              </w:rPr>
              <w:t>3</w:t>
            </w:r>
            <w:r>
              <w:rPr>
                <w:noProof/>
                <w:webHidden/>
              </w:rPr>
              <w:fldChar w:fldCharType="end"/>
            </w:r>
          </w:hyperlink>
        </w:p>
        <w:p w14:paraId="46BB021E" w14:textId="487582A2" w:rsidR="001A2C02" w:rsidRDefault="001A2C02">
          <w:pPr>
            <w:pStyle w:val="TOC3"/>
            <w:tabs>
              <w:tab w:val="right" w:leader="dot" w:pos="9350"/>
            </w:tabs>
            <w:rPr>
              <w:rFonts w:eastAsiaTheme="minorEastAsia"/>
              <w:noProof/>
              <w:sz w:val="24"/>
              <w:szCs w:val="24"/>
              <w:lang w:eastAsia="en-GB"/>
            </w:rPr>
          </w:pPr>
          <w:hyperlink w:anchor="_Toc197023388" w:history="1">
            <w:r w:rsidRPr="00E356C2">
              <w:rPr>
                <w:rStyle w:val="Hyperlink"/>
                <w:noProof/>
              </w:rPr>
              <w:t>Agricultural self-sufficiency</w:t>
            </w:r>
            <w:r>
              <w:rPr>
                <w:noProof/>
                <w:webHidden/>
              </w:rPr>
              <w:tab/>
            </w:r>
            <w:r>
              <w:rPr>
                <w:noProof/>
                <w:webHidden/>
              </w:rPr>
              <w:fldChar w:fldCharType="begin"/>
            </w:r>
            <w:r>
              <w:rPr>
                <w:noProof/>
                <w:webHidden/>
              </w:rPr>
              <w:instrText xml:space="preserve"> PAGEREF _Toc197023388 \h </w:instrText>
            </w:r>
            <w:r>
              <w:rPr>
                <w:noProof/>
                <w:webHidden/>
              </w:rPr>
            </w:r>
            <w:r>
              <w:rPr>
                <w:noProof/>
                <w:webHidden/>
              </w:rPr>
              <w:fldChar w:fldCharType="separate"/>
            </w:r>
            <w:r>
              <w:rPr>
                <w:noProof/>
                <w:webHidden/>
              </w:rPr>
              <w:t>3</w:t>
            </w:r>
            <w:r>
              <w:rPr>
                <w:noProof/>
                <w:webHidden/>
              </w:rPr>
              <w:fldChar w:fldCharType="end"/>
            </w:r>
          </w:hyperlink>
        </w:p>
        <w:p w14:paraId="0F4D14FD" w14:textId="7AF6F6F5" w:rsidR="001A2C02" w:rsidRDefault="001A2C02">
          <w:pPr>
            <w:pStyle w:val="TOC3"/>
            <w:tabs>
              <w:tab w:val="right" w:leader="dot" w:pos="9350"/>
            </w:tabs>
            <w:rPr>
              <w:rFonts w:eastAsiaTheme="minorEastAsia"/>
              <w:noProof/>
              <w:sz w:val="24"/>
              <w:szCs w:val="24"/>
              <w:lang w:eastAsia="en-GB"/>
            </w:rPr>
          </w:pPr>
          <w:hyperlink w:anchor="_Toc197023389" w:history="1">
            <w:r w:rsidRPr="00E356C2">
              <w:rPr>
                <w:rStyle w:val="Hyperlink"/>
                <w:noProof/>
              </w:rPr>
              <w:t>Biodiversity habitat conservation</w:t>
            </w:r>
            <w:r>
              <w:rPr>
                <w:noProof/>
                <w:webHidden/>
              </w:rPr>
              <w:tab/>
            </w:r>
            <w:r>
              <w:rPr>
                <w:noProof/>
                <w:webHidden/>
              </w:rPr>
              <w:fldChar w:fldCharType="begin"/>
            </w:r>
            <w:r>
              <w:rPr>
                <w:noProof/>
                <w:webHidden/>
              </w:rPr>
              <w:instrText xml:space="preserve"> PAGEREF _Toc197023389 \h </w:instrText>
            </w:r>
            <w:r>
              <w:rPr>
                <w:noProof/>
                <w:webHidden/>
              </w:rPr>
            </w:r>
            <w:r>
              <w:rPr>
                <w:noProof/>
                <w:webHidden/>
              </w:rPr>
              <w:fldChar w:fldCharType="separate"/>
            </w:r>
            <w:r>
              <w:rPr>
                <w:noProof/>
                <w:webHidden/>
              </w:rPr>
              <w:t>4</w:t>
            </w:r>
            <w:r>
              <w:rPr>
                <w:noProof/>
                <w:webHidden/>
              </w:rPr>
              <w:fldChar w:fldCharType="end"/>
            </w:r>
          </w:hyperlink>
        </w:p>
        <w:p w14:paraId="1B2AEA74" w14:textId="6DE2F7EE" w:rsidR="001A2C02" w:rsidRDefault="001A2C02">
          <w:pPr>
            <w:pStyle w:val="TOC3"/>
            <w:tabs>
              <w:tab w:val="right" w:leader="dot" w:pos="9350"/>
            </w:tabs>
            <w:rPr>
              <w:rFonts w:eastAsiaTheme="minorEastAsia"/>
              <w:noProof/>
              <w:sz w:val="24"/>
              <w:szCs w:val="24"/>
              <w:lang w:eastAsia="en-GB"/>
            </w:rPr>
          </w:pPr>
          <w:hyperlink w:anchor="_Toc197023390" w:history="1">
            <w:r w:rsidRPr="00E356C2">
              <w:rPr>
                <w:rStyle w:val="Hyperlink"/>
                <w:noProof/>
              </w:rPr>
              <w:t>Biomaterial utilisation</w:t>
            </w:r>
            <w:r>
              <w:rPr>
                <w:noProof/>
                <w:webHidden/>
              </w:rPr>
              <w:tab/>
            </w:r>
            <w:r>
              <w:rPr>
                <w:noProof/>
                <w:webHidden/>
              </w:rPr>
              <w:fldChar w:fldCharType="begin"/>
            </w:r>
            <w:r>
              <w:rPr>
                <w:noProof/>
                <w:webHidden/>
              </w:rPr>
              <w:instrText xml:space="preserve"> PAGEREF _Toc197023390 \h </w:instrText>
            </w:r>
            <w:r>
              <w:rPr>
                <w:noProof/>
                <w:webHidden/>
              </w:rPr>
            </w:r>
            <w:r>
              <w:rPr>
                <w:noProof/>
                <w:webHidden/>
              </w:rPr>
              <w:fldChar w:fldCharType="separate"/>
            </w:r>
            <w:r>
              <w:rPr>
                <w:noProof/>
                <w:webHidden/>
              </w:rPr>
              <w:t>4</w:t>
            </w:r>
            <w:r>
              <w:rPr>
                <w:noProof/>
                <w:webHidden/>
              </w:rPr>
              <w:fldChar w:fldCharType="end"/>
            </w:r>
          </w:hyperlink>
        </w:p>
        <w:p w14:paraId="587134FD" w14:textId="7D1C0D60" w:rsidR="001A2C02" w:rsidRDefault="001A2C02">
          <w:pPr>
            <w:pStyle w:val="TOC3"/>
            <w:tabs>
              <w:tab w:val="right" w:leader="dot" w:pos="9350"/>
            </w:tabs>
            <w:rPr>
              <w:rFonts w:eastAsiaTheme="minorEastAsia"/>
              <w:noProof/>
              <w:sz w:val="24"/>
              <w:szCs w:val="24"/>
              <w:lang w:eastAsia="en-GB"/>
            </w:rPr>
          </w:pPr>
          <w:hyperlink w:anchor="_Toc197023391" w:history="1">
            <w:r w:rsidRPr="00E356C2">
              <w:rPr>
                <w:rStyle w:val="Hyperlink"/>
                <w:noProof/>
              </w:rPr>
              <w:t>Wildfire activity</w:t>
            </w:r>
            <w:r>
              <w:rPr>
                <w:noProof/>
                <w:webHidden/>
              </w:rPr>
              <w:tab/>
            </w:r>
            <w:r>
              <w:rPr>
                <w:noProof/>
                <w:webHidden/>
              </w:rPr>
              <w:fldChar w:fldCharType="begin"/>
            </w:r>
            <w:r>
              <w:rPr>
                <w:noProof/>
                <w:webHidden/>
              </w:rPr>
              <w:instrText xml:space="preserve"> PAGEREF _Toc197023391 \h </w:instrText>
            </w:r>
            <w:r>
              <w:rPr>
                <w:noProof/>
                <w:webHidden/>
              </w:rPr>
            </w:r>
            <w:r>
              <w:rPr>
                <w:noProof/>
                <w:webHidden/>
              </w:rPr>
              <w:fldChar w:fldCharType="separate"/>
            </w:r>
            <w:r>
              <w:rPr>
                <w:noProof/>
                <w:webHidden/>
              </w:rPr>
              <w:t>5</w:t>
            </w:r>
            <w:r>
              <w:rPr>
                <w:noProof/>
                <w:webHidden/>
              </w:rPr>
              <w:fldChar w:fldCharType="end"/>
            </w:r>
          </w:hyperlink>
        </w:p>
        <w:p w14:paraId="0A0AA761" w14:textId="1DC314EA" w:rsidR="001A2C02" w:rsidRDefault="001A2C02">
          <w:pPr>
            <w:pStyle w:val="TOC2"/>
            <w:tabs>
              <w:tab w:val="right" w:leader="dot" w:pos="9350"/>
            </w:tabs>
            <w:rPr>
              <w:rFonts w:eastAsiaTheme="minorEastAsia"/>
              <w:noProof/>
              <w:sz w:val="24"/>
              <w:szCs w:val="24"/>
              <w:lang w:eastAsia="en-GB"/>
            </w:rPr>
          </w:pPr>
          <w:hyperlink w:anchor="_Toc197023392" w:history="1">
            <w:r w:rsidRPr="00E356C2">
              <w:rPr>
                <w:rStyle w:val="Hyperlink"/>
                <w:noProof/>
              </w:rPr>
              <w:t>Model Modifications for this study</w:t>
            </w:r>
            <w:r>
              <w:rPr>
                <w:noProof/>
                <w:webHidden/>
              </w:rPr>
              <w:tab/>
            </w:r>
            <w:r>
              <w:rPr>
                <w:noProof/>
                <w:webHidden/>
              </w:rPr>
              <w:fldChar w:fldCharType="begin"/>
            </w:r>
            <w:r>
              <w:rPr>
                <w:noProof/>
                <w:webHidden/>
              </w:rPr>
              <w:instrText xml:space="preserve"> PAGEREF _Toc197023392 \h </w:instrText>
            </w:r>
            <w:r>
              <w:rPr>
                <w:noProof/>
                <w:webHidden/>
              </w:rPr>
            </w:r>
            <w:r>
              <w:rPr>
                <w:noProof/>
                <w:webHidden/>
              </w:rPr>
              <w:fldChar w:fldCharType="separate"/>
            </w:r>
            <w:r>
              <w:rPr>
                <w:noProof/>
                <w:webHidden/>
              </w:rPr>
              <w:t>6</w:t>
            </w:r>
            <w:r>
              <w:rPr>
                <w:noProof/>
                <w:webHidden/>
              </w:rPr>
              <w:fldChar w:fldCharType="end"/>
            </w:r>
          </w:hyperlink>
        </w:p>
        <w:p w14:paraId="55C3E311" w14:textId="0A75AF8F" w:rsidR="001A2C02" w:rsidRDefault="001A2C02">
          <w:pPr>
            <w:pStyle w:val="TOC1"/>
            <w:tabs>
              <w:tab w:val="right" w:leader="dot" w:pos="9350"/>
            </w:tabs>
            <w:rPr>
              <w:rFonts w:eastAsiaTheme="minorEastAsia"/>
              <w:noProof/>
              <w:sz w:val="24"/>
              <w:szCs w:val="24"/>
              <w:lang w:eastAsia="en-GB"/>
            </w:rPr>
          </w:pPr>
          <w:hyperlink w:anchor="_Toc197023393" w:history="1">
            <w:r w:rsidRPr="00E356C2">
              <w:rPr>
                <w:rStyle w:val="Hyperlink"/>
                <w:noProof/>
              </w:rPr>
              <w:t>Additional Figures</w:t>
            </w:r>
            <w:r>
              <w:rPr>
                <w:noProof/>
                <w:webHidden/>
              </w:rPr>
              <w:tab/>
            </w:r>
            <w:r>
              <w:rPr>
                <w:noProof/>
                <w:webHidden/>
              </w:rPr>
              <w:fldChar w:fldCharType="begin"/>
            </w:r>
            <w:r>
              <w:rPr>
                <w:noProof/>
                <w:webHidden/>
              </w:rPr>
              <w:instrText xml:space="preserve"> PAGEREF _Toc197023393 \h </w:instrText>
            </w:r>
            <w:r>
              <w:rPr>
                <w:noProof/>
                <w:webHidden/>
              </w:rPr>
            </w:r>
            <w:r>
              <w:rPr>
                <w:noProof/>
                <w:webHidden/>
              </w:rPr>
              <w:fldChar w:fldCharType="separate"/>
            </w:r>
            <w:r>
              <w:rPr>
                <w:noProof/>
                <w:webHidden/>
              </w:rPr>
              <w:t>7</w:t>
            </w:r>
            <w:r>
              <w:rPr>
                <w:noProof/>
                <w:webHidden/>
              </w:rPr>
              <w:fldChar w:fldCharType="end"/>
            </w:r>
          </w:hyperlink>
        </w:p>
        <w:p w14:paraId="56EAF12B" w14:textId="72ECA4F8" w:rsidR="001A2C02" w:rsidRDefault="001A2C02">
          <w:pPr>
            <w:pStyle w:val="TOC1"/>
            <w:tabs>
              <w:tab w:val="right" w:leader="dot" w:pos="9350"/>
            </w:tabs>
            <w:rPr>
              <w:rFonts w:eastAsiaTheme="minorEastAsia"/>
              <w:noProof/>
              <w:sz w:val="24"/>
              <w:szCs w:val="24"/>
              <w:lang w:eastAsia="en-GB"/>
            </w:rPr>
          </w:pPr>
          <w:hyperlink w:anchor="_Toc197023394" w:history="1">
            <w:r w:rsidRPr="00E356C2">
              <w:rPr>
                <w:rStyle w:val="Hyperlink"/>
                <w:noProof/>
              </w:rPr>
              <w:t>Glossary</w:t>
            </w:r>
            <w:r>
              <w:rPr>
                <w:noProof/>
                <w:webHidden/>
              </w:rPr>
              <w:tab/>
            </w:r>
            <w:r>
              <w:rPr>
                <w:noProof/>
                <w:webHidden/>
              </w:rPr>
              <w:fldChar w:fldCharType="begin"/>
            </w:r>
            <w:r>
              <w:rPr>
                <w:noProof/>
                <w:webHidden/>
              </w:rPr>
              <w:instrText xml:space="preserve"> PAGEREF _Toc197023394 \h </w:instrText>
            </w:r>
            <w:r>
              <w:rPr>
                <w:noProof/>
                <w:webHidden/>
              </w:rPr>
            </w:r>
            <w:r>
              <w:rPr>
                <w:noProof/>
                <w:webHidden/>
              </w:rPr>
              <w:fldChar w:fldCharType="separate"/>
            </w:r>
            <w:r>
              <w:rPr>
                <w:noProof/>
                <w:webHidden/>
              </w:rPr>
              <w:t>22</w:t>
            </w:r>
            <w:r>
              <w:rPr>
                <w:noProof/>
                <w:webHidden/>
              </w:rPr>
              <w:fldChar w:fldCharType="end"/>
            </w:r>
          </w:hyperlink>
        </w:p>
        <w:p w14:paraId="0E32F157" w14:textId="18A8A107" w:rsidR="001A2C02" w:rsidRDefault="001A2C02">
          <w:pPr>
            <w:pStyle w:val="TOC1"/>
            <w:tabs>
              <w:tab w:val="right" w:leader="dot" w:pos="9350"/>
            </w:tabs>
            <w:rPr>
              <w:rFonts w:eastAsiaTheme="minorEastAsia"/>
              <w:noProof/>
              <w:sz w:val="24"/>
              <w:szCs w:val="24"/>
              <w:lang w:eastAsia="en-GB"/>
            </w:rPr>
          </w:pPr>
          <w:hyperlink w:anchor="_Toc197023395" w:history="1">
            <w:r w:rsidRPr="00E356C2">
              <w:rPr>
                <w:rStyle w:val="Hyperlink"/>
                <w:noProof/>
              </w:rPr>
              <w:t>References in this document</w:t>
            </w:r>
            <w:r>
              <w:rPr>
                <w:noProof/>
                <w:webHidden/>
              </w:rPr>
              <w:tab/>
            </w:r>
            <w:r>
              <w:rPr>
                <w:noProof/>
                <w:webHidden/>
              </w:rPr>
              <w:fldChar w:fldCharType="begin"/>
            </w:r>
            <w:r>
              <w:rPr>
                <w:noProof/>
                <w:webHidden/>
              </w:rPr>
              <w:instrText xml:space="preserve"> PAGEREF _Toc197023395 \h </w:instrText>
            </w:r>
            <w:r>
              <w:rPr>
                <w:noProof/>
                <w:webHidden/>
              </w:rPr>
            </w:r>
            <w:r>
              <w:rPr>
                <w:noProof/>
                <w:webHidden/>
              </w:rPr>
              <w:fldChar w:fldCharType="separate"/>
            </w:r>
            <w:r>
              <w:rPr>
                <w:noProof/>
                <w:webHidden/>
              </w:rPr>
              <w:t>24</w:t>
            </w:r>
            <w:r>
              <w:rPr>
                <w:noProof/>
                <w:webHidden/>
              </w:rPr>
              <w:fldChar w:fldCharType="end"/>
            </w:r>
          </w:hyperlink>
        </w:p>
        <w:p w14:paraId="0572FE9C" w14:textId="53614D9A" w:rsidR="002454AA" w:rsidRDefault="002454AA">
          <w:r>
            <w:rPr>
              <w:b/>
              <w:bCs/>
              <w:noProof/>
            </w:rPr>
            <w:fldChar w:fldCharType="end"/>
          </w:r>
        </w:p>
      </w:sdtContent>
    </w:sdt>
    <w:p w14:paraId="2EF22A5A" w14:textId="158032D4" w:rsidR="00A06B9C" w:rsidRDefault="00A06B9C">
      <w:pPr>
        <w:rPr>
          <w:lang w:val="fi-FI"/>
        </w:rPr>
      </w:pPr>
      <w:r>
        <w:rPr>
          <w:lang w:val="fi-FI"/>
        </w:rPr>
        <w:br w:type="page"/>
      </w:r>
    </w:p>
    <w:p w14:paraId="4319A11D" w14:textId="19B6FBB7" w:rsidR="00842D78" w:rsidRPr="0055776F" w:rsidRDefault="00842D78" w:rsidP="00842D78">
      <w:pPr>
        <w:pStyle w:val="Heading1"/>
        <w:numPr>
          <w:ilvl w:val="0"/>
          <w:numId w:val="0"/>
        </w:numPr>
        <w:rPr>
          <w:sz w:val="36"/>
          <w:szCs w:val="36"/>
        </w:rPr>
      </w:pPr>
      <w:bookmarkStart w:id="0" w:name="_Toc197023384"/>
      <w:r w:rsidRPr="0055776F">
        <w:rPr>
          <w:sz w:val="36"/>
          <w:szCs w:val="36"/>
        </w:rPr>
        <w:lastRenderedPageBreak/>
        <w:t>Methods</w:t>
      </w:r>
      <w:bookmarkEnd w:id="0"/>
    </w:p>
    <w:p w14:paraId="3DE64BDC" w14:textId="77777777" w:rsidR="00E923C0" w:rsidRDefault="00E923C0"/>
    <w:p w14:paraId="62694D30" w14:textId="33FE2F66" w:rsidR="00267159" w:rsidRDefault="00267159" w:rsidP="00267159">
      <w:pPr>
        <w:pStyle w:val="Heading2"/>
      </w:pPr>
      <w:bookmarkStart w:id="1" w:name="_Toc197023385"/>
      <w:r>
        <w:t>Detailed Scenario Components Descriptions</w:t>
      </w:r>
      <w:bookmarkEnd w:id="1"/>
    </w:p>
    <w:p w14:paraId="7CC314D5" w14:textId="77777777" w:rsidR="00267159" w:rsidRPr="00FC4EEF" w:rsidRDefault="00267159" w:rsidP="00267159">
      <w:pPr>
        <w:pStyle w:val="Heading3"/>
      </w:pPr>
      <w:bookmarkStart w:id="2" w:name="_Toc197023386"/>
      <w:r>
        <w:t>Emission Pricing</w:t>
      </w:r>
      <w:bookmarkEnd w:id="2"/>
    </w:p>
    <w:p w14:paraId="7B424BE9" w14:textId="3E32C647" w:rsidR="006D089F" w:rsidRDefault="00267159" w:rsidP="00267159">
      <w:pPr>
        <w:spacing w:line="276" w:lineRule="auto"/>
        <w:jc w:val="both"/>
      </w:pPr>
      <w:r w:rsidRPr="005A5F3A">
        <w:t xml:space="preserve">The </w:t>
      </w:r>
      <w:r>
        <w:t>emission pricing</w:t>
      </w:r>
      <w:r w:rsidRPr="005A5F3A">
        <w:t xml:space="preserve"> cases represent different levels of progressive emission penalties applied per tonne of net positive CO₂, CH₄, and N₂O emissions remaining </w:t>
      </w:r>
      <w:r w:rsidR="0002718A">
        <w:t xml:space="preserve">in the </w:t>
      </w:r>
      <w:r w:rsidR="00506E50">
        <w:t>atmosphere</w:t>
      </w:r>
      <w:r w:rsidR="0002718A">
        <w:t xml:space="preserve"> </w:t>
      </w:r>
      <w:r w:rsidRPr="005A5F3A">
        <w:t>at the end of each time step. These penalties are derived from shadow prices in a baseline SuCCESs run, where global temperature limits were imposed as constraints</w:t>
      </w:r>
      <w:r w:rsidR="0019665A">
        <w:t>.</w:t>
      </w:r>
    </w:p>
    <w:p w14:paraId="7171C365" w14:textId="77777777" w:rsidR="0098783F" w:rsidRDefault="00267159" w:rsidP="00267159">
      <w:pPr>
        <w:spacing w:line="276" w:lineRule="auto"/>
        <w:jc w:val="both"/>
      </w:pPr>
      <w:r w:rsidRPr="00B11909">
        <w:t xml:space="preserve">In the </w:t>
      </w:r>
      <w:r w:rsidR="00C15196" w:rsidRPr="00C15196">
        <w:rPr>
          <w:b/>
          <w:bCs/>
          <w:i/>
          <w:iCs/>
        </w:rPr>
        <w:t>none</w:t>
      </w:r>
      <w:r w:rsidR="00C15196">
        <w:rPr>
          <w:i/>
          <w:iCs/>
        </w:rPr>
        <w:t xml:space="preserve"> emission pricing</w:t>
      </w:r>
      <w:r w:rsidRPr="00B11909">
        <w:t xml:space="preserve"> case, no temperature limits are applied, meaning there is no emission penalty. The </w:t>
      </w:r>
      <w:r w:rsidRPr="00957992">
        <w:rPr>
          <w:b/>
          <w:i/>
        </w:rPr>
        <w:t>steady transition</w:t>
      </w:r>
      <w:r w:rsidRPr="00B11909">
        <w:t xml:space="preserve"> case maintains a strict 2°C limit throughout the century, prohibiting overshoot, with the emission penalty increasing gradually over time. The </w:t>
      </w:r>
      <w:r w:rsidRPr="00C15196">
        <w:rPr>
          <w:b/>
          <w:bCs/>
          <w:i/>
          <w:iCs/>
        </w:rPr>
        <w:t>early decarbonisation</w:t>
      </w:r>
      <w:r w:rsidRPr="00B11909">
        <w:t xml:space="preserve"> case enforces a 1.5°C limit without overshoot flexibility, causing the penalty to rise sharply until mid-century before stabilizing, ultimately converging with the </w:t>
      </w:r>
      <w:r w:rsidRPr="00957992">
        <w:rPr>
          <w:i/>
        </w:rPr>
        <w:t>steady transition</w:t>
      </w:r>
      <w:r w:rsidRPr="00B11909">
        <w:t xml:space="preserve"> penalty by 2100. In contrast, the </w:t>
      </w:r>
      <w:r w:rsidRPr="00C15196">
        <w:rPr>
          <w:b/>
          <w:bCs/>
          <w:i/>
          <w:iCs/>
        </w:rPr>
        <w:t>overshoot</w:t>
      </w:r>
      <w:r>
        <w:rPr>
          <w:i/>
          <w:iCs/>
        </w:rPr>
        <w:t xml:space="preserve"> </w:t>
      </w:r>
      <w:r w:rsidRPr="00B11909">
        <w:t xml:space="preserve">case allows temporary overshoot as long as the temperature returns to or below 1.5°C by 2100. This results in an exponentially increasing penalty, reaching three times the level of the other </w:t>
      </w:r>
      <w:r>
        <w:t>pricing</w:t>
      </w:r>
      <w:r w:rsidRPr="00B11909">
        <w:t xml:space="preserve"> cases by the end of the century.</w:t>
      </w:r>
      <w:r w:rsidR="004A6155">
        <w:t xml:space="preserve"> </w:t>
      </w:r>
    </w:p>
    <w:p w14:paraId="1128D5F2" w14:textId="11026D4C" w:rsidR="00D93900" w:rsidRDefault="004A6155" w:rsidP="00267159">
      <w:pPr>
        <w:spacing w:line="276" w:lineRule="auto"/>
        <w:jc w:val="both"/>
      </w:pPr>
      <w:r w:rsidRPr="0098783F">
        <w:t>For</w:t>
      </w:r>
      <w:r w:rsidR="0098783F" w:rsidRPr="00AD2167">
        <w:t xml:space="preserve"> a</w:t>
      </w:r>
      <w:r w:rsidRPr="0098783F">
        <w:t xml:space="preserve"> discussion of</w:t>
      </w:r>
      <w:r w:rsidR="0098783F" w:rsidRPr="00AD2167">
        <w:t xml:space="preserve"> the</w:t>
      </w:r>
      <w:r w:rsidRPr="0098783F">
        <w:t xml:space="preserve"> </w:t>
      </w:r>
      <w:r w:rsidR="0098783F" w:rsidRPr="003C420B">
        <w:t>comparably</w:t>
      </w:r>
      <w:r w:rsidRPr="0098783F">
        <w:t xml:space="preserve"> low emission pricing</w:t>
      </w:r>
      <w:r w:rsidR="00E435DB">
        <w:t xml:space="preserve"> for temperature pathways</w:t>
      </w:r>
      <w:r w:rsidRPr="0098783F">
        <w:t>, please refer to</w:t>
      </w:r>
      <w:r w:rsidR="00E435DB">
        <w:t xml:space="preserve"> </w:t>
      </w:r>
      <w:r w:rsidR="006818A6">
        <w:t xml:space="preserve">page </w:t>
      </w:r>
      <w:r w:rsidR="006818A6">
        <w:fldChar w:fldCharType="begin"/>
      </w:r>
      <w:r w:rsidR="006818A6">
        <w:instrText xml:space="preserve"> PAGEREF _Ref195351358 \h </w:instrText>
      </w:r>
      <w:r w:rsidR="006818A6">
        <w:fldChar w:fldCharType="separate"/>
      </w:r>
      <w:r w:rsidR="007B7678">
        <w:rPr>
          <w:noProof/>
        </w:rPr>
        <w:t>9</w:t>
      </w:r>
      <w:r w:rsidR="006818A6">
        <w:fldChar w:fldCharType="end"/>
      </w:r>
      <w:r w:rsidR="006818A6">
        <w:t xml:space="preserve"> in this document</w:t>
      </w:r>
      <w:r w:rsidRPr="0098783F">
        <w:t>.</w:t>
      </w:r>
    </w:p>
    <w:p w14:paraId="3F6605D3" w14:textId="77777777" w:rsidR="004E6E98" w:rsidRDefault="004E6E98" w:rsidP="004E6E98">
      <w:pPr>
        <w:keepNext/>
        <w:spacing w:line="276" w:lineRule="auto"/>
        <w:jc w:val="center"/>
      </w:pPr>
      <w:r>
        <w:rPr>
          <w:noProof/>
        </w:rPr>
        <w:drawing>
          <wp:inline distT="0" distB="0" distL="0" distR="0" wp14:anchorId="67A2FB4A" wp14:editId="466DB1DE">
            <wp:extent cx="4294876" cy="2934269"/>
            <wp:effectExtent l="0" t="0" r="0" b="0"/>
            <wp:docPr id="1204042401" name="Picture 1" descr="A collage of graphs and char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042401" name="Picture 1" descr="A collage of graphs and charts&#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44291" cy="2968030"/>
                    </a:xfrm>
                    <a:prstGeom prst="rect">
                      <a:avLst/>
                    </a:prstGeom>
                    <a:noFill/>
                  </pic:spPr>
                </pic:pic>
              </a:graphicData>
            </a:graphic>
          </wp:inline>
        </w:drawing>
      </w:r>
    </w:p>
    <w:p w14:paraId="47FA47D8" w14:textId="6B13AEC2" w:rsidR="004E6E98" w:rsidRDefault="004E6E98" w:rsidP="3A0C6D1D">
      <w:pPr>
        <w:pStyle w:val="Caption"/>
        <w:rPr>
          <w:i w:val="0"/>
          <w:iCs w:val="0"/>
          <w:color w:val="auto"/>
          <w:sz w:val="20"/>
          <w:szCs w:val="20"/>
        </w:rPr>
      </w:pPr>
      <w:r w:rsidRPr="3A0C6D1D">
        <w:rPr>
          <w:b/>
          <w:bCs/>
          <w:i w:val="0"/>
          <w:iCs w:val="0"/>
          <w:color w:val="auto"/>
          <w:sz w:val="20"/>
          <w:szCs w:val="20"/>
        </w:rPr>
        <w:t>Fig. S-F</w:t>
      </w:r>
      <w:r w:rsidRPr="3A0C6D1D">
        <w:rPr>
          <w:b/>
          <w:bCs/>
          <w:i w:val="0"/>
          <w:iCs w:val="0"/>
          <w:color w:val="auto"/>
          <w:sz w:val="20"/>
          <w:szCs w:val="20"/>
        </w:rPr>
        <w:fldChar w:fldCharType="begin"/>
      </w:r>
      <w:r w:rsidRPr="3A0C6D1D">
        <w:rPr>
          <w:b/>
          <w:bCs/>
          <w:i w:val="0"/>
          <w:iCs w:val="0"/>
          <w:color w:val="auto"/>
          <w:sz w:val="20"/>
          <w:szCs w:val="20"/>
        </w:rPr>
        <w:instrText xml:space="preserve"> SEQ Figure \* ARABIC </w:instrText>
      </w:r>
      <w:r w:rsidRPr="3A0C6D1D">
        <w:rPr>
          <w:b/>
          <w:bCs/>
          <w:i w:val="0"/>
          <w:iCs w:val="0"/>
          <w:color w:val="auto"/>
          <w:sz w:val="20"/>
          <w:szCs w:val="20"/>
        </w:rPr>
        <w:fldChar w:fldCharType="separate"/>
      </w:r>
      <w:r w:rsidR="007B7678">
        <w:rPr>
          <w:b/>
          <w:bCs/>
          <w:i w:val="0"/>
          <w:iCs w:val="0"/>
          <w:noProof/>
          <w:color w:val="auto"/>
          <w:sz w:val="20"/>
          <w:szCs w:val="20"/>
        </w:rPr>
        <w:t>1</w:t>
      </w:r>
      <w:r w:rsidRPr="3A0C6D1D">
        <w:rPr>
          <w:b/>
          <w:bCs/>
          <w:i w:val="0"/>
          <w:iCs w:val="0"/>
          <w:color w:val="auto"/>
          <w:sz w:val="20"/>
          <w:szCs w:val="20"/>
        </w:rPr>
        <w:fldChar w:fldCharType="end"/>
      </w:r>
      <w:r w:rsidRPr="3A0C6D1D">
        <w:rPr>
          <w:b/>
          <w:bCs/>
          <w:i w:val="0"/>
          <w:iCs w:val="0"/>
          <w:color w:val="auto"/>
          <w:sz w:val="20"/>
          <w:szCs w:val="20"/>
        </w:rPr>
        <w:t xml:space="preserve">: Price development per tonne of a) carbon dioxide, b) methane, and c) nitrous oxide </w:t>
      </w:r>
      <w:r w:rsidRPr="3A0C6D1D">
        <w:rPr>
          <w:i w:val="0"/>
          <w:iCs w:val="0"/>
          <w:color w:val="auto"/>
          <w:sz w:val="20"/>
          <w:szCs w:val="20"/>
        </w:rPr>
        <w:t xml:space="preserve">in the four emission pricing cases. </w:t>
      </w:r>
    </w:p>
    <w:p w14:paraId="1AAFBE96" w14:textId="77777777" w:rsidR="00197267" w:rsidRPr="00197267" w:rsidRDefault="00197267" w:rsidP="00197267"/>
    <w:p w14:paraId="5BAFFB24" w14:textId="77777777" w:rsidR="00267159" w:rsidRPr="00FC4EEF" w:rsidRDefault="00267159" w:rsidP="00267159">
      <w:pPr>
        <w:pStyle w:val="Heading3"/>
        <w:rPr>
          <w:i/>
          <w:iCs/>
        </w:rPr>
      </w:pPr>
      <w:bookmarkStart w:id="3" w:name="_Toc197023387"/>
      <w:r w:rsidRPr="00FC4EEF">
        <w:lastRenderedPageBreak/>
        <w:t>Global diet</w:t>
      </w:r>
      <w:bookmarkEnd w:id="3"/>
    </w:p>
    <w:p w14:paraId="2D0345B8" w14:textId="438C1976" w:rsidR="00C15196" w:rsidRPr="00CE0EC0" w:rsidRDefault="00267159" w:rsidP="00267159">
      <w:pPr>
        <w:spacing w:line="276" w:lineRule="auto"/>
        <w:jc w:val="both"/>
      </w:pPr>
      <w:r w:rsidRPr="00CE0EC0">
        <w:t>The four global diet scenarios reflect different per-capita consumption patterns across key food categories, including crops (cereals, fruits, nuts, and vegetables), milk (90% cow), eggs (90% chicken), poultry (97% chicken), pork, beef, and “shoat” meat (50% goat, 50% sheep) (</w:t>
      </w:r>
      <w:r w:rsidRPr="00CE0EC0">
        <w:fldChar w:fldCharType="begin"/>
      </w:r>
      <w:r w:rsidRPr="00CE0EC0">
        <w:instrText xml:space="preserve"> REF _Ref161829966 \h  \* MERGEFORMAT </w:instrText>
      </w:r>
      <w:r w:rsidRPr="00CE0EC0">
        <w:fldChar w:fldCharType="separate"/>
      </w:r>
      <w:r w:rsidR="007B7678" w:rsidRPr="00CE0EC0">
        <w:rPr>
          <w:b/>
          <w:bCs/>
        </w:rPr>
        <w:t>Fig.</w:t>
      </w:r>
      <w:r w:rsidR="007B7678" w:rsidRPr="00CE0EC0">
        <w:rPr>
          <w:b/>
        </w:rPr>
        <w:t xml:space="preserve"> </w:t>
      </w:r>
      <w:r w:rsidR="007B7678" w:rsidRPr="00CE0EC0">
        <w:rPr>
          <w:b/>
          <w:bCs/>
        </w:rPr>
        <w:t>S-F</w:t>
      </w:r>
      <w:r w:rsidR="007B7678" w:rsidRPr="00CE0EC0">
        <w:rPr>
          <w:b/>
          <w:bCs/>
          <w:i/>
          <w:iCs/>
          <w:noProof/>
        </w:rPr>
        <w:t>2</w:t>
      </w:r>
      <w:r w:rsidRPr="00CE0EC0">
        <w:fldChar w:fldCharType="end"/>
      </w:r>
      <w:r w:rsidRPr="00CE0EC0">
        <w:t xml:space="preserve">). Each diet assumes a caloric supply of around 3000 kcal per person per day </w:t>
      </w:r>
      <w:r w:rsidR="00DF0089" w:rsidRPr="00CE0EC0">
        <w:fldChar w:fldCharType="begin"/>
      </w:r>
      <w:r w:rsidR="00CC33DA" w:rsidRPr="00CE0EC0">
        <w:instrText xml:space="preserve"> ADDIN ZOTERO_ITEM CSL_CITATION {"citationID":"XO0Sb2Hu","properties":{"formattedCitation":"(FAO, 2023a; van Dijk et al., 2021)","plainCitation":"(FAO, 2023a; van Dijk et al., 2021)","noteIndex":0},"citationItems":[{"id":274,"uris":["http://zotero.org/users/11614317/items/5W4XDENT"],"itemData":{"id":274,"type":"article-journal","abstract":"Quantified global scenarios and projections are used to assess long-term future global food security under a range of socio-economic and climate change scenarios. Here, we conducted a systematic literature review and meta-analysis to assess the range of future global food security projections to 2050. We reviewed 57 global food security projection and quantitative scenario studies that have been published in the past two decades and discussed the methods, underlying drivers, indicators and projections. Across five representative scenarios that span divergent but plausible socio-economic futures, the total global food demand is expected to increase by 35% to 56% between 2010 and 2050, while population at risk of hunger is expected to change by −91% to +8% over the same period. If climate change is taken into account, the ranges change slightly (+30% to +62% for total food demand and −91% to +30% for population at risk of hunger) but with no statistical differences overall. The results of our review can be used to benchmark new global food security projections and quantitative scenario studies and inform policy analysis and the public debate on the future of food.","container-title":"Nature Food","DOI":"10.1038/s43016-021-00322-9","ISSN":"2662-1355","issue":"7","journalAbbreviation":"Nat Food","language":"en","license":"2021 The Author(s), under exclusive licence to Springer Nature Limited","note":"number: 7\npublisher: Nature Publishing Group","page":"494-501","source":"www-nature-com.libproxy.aalto.fi","title":"A meta-analysis of projected global food demand and population at risk of hunger for the period 2010–2050","volume":"2","author":[{"family":"Dijk","given":"Michiel","non-dropping-particle":"van"},{"family":"Morley","given":"Tom"},{"family":"Rau","given":"Marie Luise"},{"family":"Saghai","given":"Yashar"}],"issued":{"date-parts":[["2021",7]]}}},{"id":262,"uris":["http://zotero.org/users/11614317/items/7MC23H34"],"itemData":{"id":262,"type":"dataset","title":"FAOSTAT: Food Balances, Indicator: Food Supply (kcal/capita/day)","URL":"https://www.fao.org/faostat/en/#data/FBS","author":[{"literal":"FAO"}],"accessed":{"date-parts":[["2023",12,19]]},"issued":{"date-parts":[["2023"]]}}}],"schema":"https://github.com/citation-style-language/schema/raw/master/csl-citation.json"} </w:instrText>
      </w:r>
      <w:r w:rsidR="00DF0089" w:rsidRPr="00CE0EC0">
        <w:fldChar w:fldCharType="separate"/>
      </w:r>
      <w:r w:rsidR="00CC33DA" w:rsidRPr="00CE0EC0">
        <w:rPr>
          <w:rFonts w:ascii="Aptos" w:hAnsi="Aptos"/>
        </w:rPr>
        <w:t>(FAO, 2023a; van Dijk et al., 2021)</w:t>
      </w:r>
      <w:r w:rsidR="00DF0089" w:rsidRPr="00CE0EC0">
        <w:fldChar w:fldCharType="end"/>
      </w:r>
      <w:r w:rsidRPr="00CE0EC0">
        <w:t xml:space="preserve">. The per-capita consumption was derived from </w:t>
      </w:r>
      <w:proofErr w:type="spellStart"/>
      <w:r w:rsidRPr="00CE0EC0">
        <w:t>MAgPIE</w:t>
      </w:r>
      <w:proofErr w:type="spellEnd"/>
      <w:r w:rsidRPr="00CE0EC0">
        <w:t xml:space="preserve"> validation runs for SSP2 and SSP1 </w:t>
      </w:r>
      <w:r w:rsidRPr="00CE0EC0">
        <w:fldChar w:fldCharType="begin"/>
      </w:r>
      <w:r w:rsidRPr="00CE0EC0">
        <w:instrText xml:space="preserve"> ADDIN ZOTERO_ITEM CSL_CITATION {"citationID":"tL7lAPC8","properties":{"formattedCitation":"(Dietrich, 2019; Dietrich {\\i{}et al.}, 2019)","plainCitation":"(Dietrich, 2019; Dietrich et al., 2019)","dontUpdate":true,"noteIndex":0},"citationItems":[{"id":244,"uris":["http://zotero.org/users/11614317/items/WBMIB4JH"],"itemData":{"id":244,"type":"article-journal","abstract":"Evaluation documents produced for all runs shown in the MAgPIE 4 framework paper.","DOI":"10.5281/zenodo.2572581","note":"publisher: Zenodo","source":"Zenodo","title":"MAgPIE 4.0 paper - evaluation documents","URL":"https://zenodo.org/records/2572581","author":[{"family":"Dietrich","given":"Jan Philipp"}],"accessed":{"date-parts":[["2024",3,19]]},"issued":{"date-parts":[["2019",2,19]]}}},{"id":408,"uris":["http://zotero.org/users/11614317/items/FKHJRSUK"],"itemData":{"id":408,"type":"article-journal","abstract":"The open-source modeling framework MAgPIE (Model of Agricultural Production and its Impact on the Environment) combines economic and biophysical approaches to simulate spatially explicit global scenarios of land use within the 21st century and the respective interactions with the environment. Besides various other projects, it was used to simulate marker scenarios of the Shared Socioeconomic Pathways (SSPs) and contributed substantially to multiple IPCC assessments. However, with growing scope and detail, the non-linear model has become increasingly complex, computationally intensive and non-transparent, requiring structured approaches to improve the development and evaluation of the model. Here, we provide an overview on version 4 of MAgPIE and how it addresses these issues of increasing complexity using new technical features: modular structure with exchangeable module implementations, flexible spatial resolution, in-code documentation, automatized code checking, model/output evaluation and open accessibility. Application examples provide insights into model evaluation, modular flexibility and region-specific analysis approaches. While this paper is focused on the general framework as such, the publication is accompanied by a detailed model documentation describing contents and equations, and by model evaluation documents giving insights into model performance for a broad range of variables. With the open-source release of the MAgPIE 4 framework, we hope to contribute to more transparent, reproducible and collaborative research in the field. Due to its modularity and spatial flexibility, it should provide a basis for a broad range of land-related research with economic or biophysical, global or regional focus.","container-title":"Geoscientific Model Development","DOI":"10.5194/GMD-12-1299-2019","ISSN":"19919603","issue":"4","note":"publisher: Copernicus GmbH","page":"1299-1317","title":"MAgPIE 4-a modular open-source framework for modeling global land systems - Supplemental Material: Evaluation Documents (SSP2)","volume":"12","author":[{"family":"Dietrich","given":"Jan Philipp"},{"family":"Bodirsky","given":"Benjamin Leon"},{"family":"Humpenöder","given":"Florian"},{"family":"Weindl","given":"Isabelle"},{"family":"Stevanović","given":"Miodrag"},{"family":"Karstens","given":"Kristine"},{"family":"Kreidenweis","given":"Ulrich"},{"family":"Wang","given":"Xiaoxi"},{"family":"Mishra","given":"Abhijeet"},{"family":"Klein","given":"David"},{"family":"Ambrósio","given":"Geanderson"},{"family":"Araujo","given":"Ewerton"},{"family":"Yalew","given":"Amsalu Woldie"},{"family":"Baumstark","given":"Lavinia"},{"family":"Wirth","given":"Stephen"},{"family":"Giannousakis","given":"Anastasis"},{"family":"Beier","given":"Felicitas"},{"family":"Meng-Chuen Chen","given":"David"},{"family":"Lotze-Campen","given":"Hermann"},{"family":"Popp","given":"Alexander"}],"issued":{"date-parts":[["2019",4,3]]}}}],"schema":"https://github.com/citation-style-language/schema/raw/master/csl-citation.json"} </w:instrText>
      </w:r>
      <w:r w:rsidRPr="00CE0EC0">
        <w:fldChar w:fldCharType="separate"/>
      </w:r>
      <w:r w:rsidRPr="00CE0EC0">
        <w:rPr>
          <w:rFonts w:ascii="Aptos" w:hAnsi="Aptos" w:cs="Times New Roman"/>
          <w:kern w:val="0"/>
        </w:rPr>
        <w:t xml:space="preserve">(Dietrich, 2019; Dietrich </w:t>
      </w:r>
      <w:r w:rsidRPr="00CE0EC0">
        <w:rPr>
          <w:rFonts w:ascii="Aptos" w:hAnsi="Aptos" w:cs="Times New Roman"/>
          <w:i/>
          <w:iCs/>
          <w:kern w:val="0"/>
        </w:rPr>
        <w:t>et al.</w:t>
      </w:r>
      <w:r w:rsidRPr="00CE0EC0">
        <w:rPr>
          <w:rFonts w:ascii="Aptos" w:hAnsi="Aptos" w:cs="Times New Roman"/>
          <w:kern w:val="0"/>
        </w:rPr>
        <w:t>, 2019)</w:t>
      </w:r>
      <w:r w:rsidRPr="00CE0EC0">
        <w:fldChar w:fldCharType="end"/>
      </w:r>
      <w:r w:rsidRPr="00CE0EC0">
        <w:t xml:space="preserve">. Global demand is then estimated by scaling per-capita consumption with SSP2 decadal population projections </w:t>
      </w:r>
      <w:r w:rsidR="00DF0089" w:rsidRPr="00CE0EC0">
        <w:fldChar w:fldCharType="begin"/>
      </w:r>
      <w:r w:rsidR="00CC33DA" w:rsidRPr="00CE0EC0">
        <w:instrText xml:space="preserve"> ADDIN ZOTERO_ITEM CSL_CITATION {"citationID":"mFHNHRqB","properties":{"formattedCitation":"(IIASA, 2024; Samir et al., 2024)","plainCitation":"(IIASA, 2024; Samir et al., 2024)","noteIndex":0},"citationItems":[{"id":248,"uris":["http://zotero.org/users/11614317/items/P9YHISKD"],"itemData":{"id":248,"type":"dataset","title":"SSP Scenario Explorer (SSP 3.0, Release March 2024)","URL":"https://data.ece.iiasa.ac.at/ssp/#/workspaces","author":[{"literal":"IIASA"}],"accessed":{"date-parts":[["2024",3,19]]},"issued":{"date-parts":[["2024",3]]}}},{"id":247,"uris":["http://zotero.org/users/11614317/items/FNCQBJQ9"],"itemData":{"id":247,"type":"dataset","abstract":"THIS IS VERSION WIC3.003 (Beta) (internal version V13,  the last two versions were called v12 and v11). This is a release version corresponding to the SSP-Database 3.0 release and WIC-Data Explorer 2023 Short Abstract We update the population and human capital components of the Shared Socio-Economic Pathways (SSPs) at the global level, considering the most recent baseline information. While the long-term assumptions based on extensive analysis and expert solicitations remain unchanged, we modify only the trend component. The first set of SSPs was based on demographic data through 2012. The population structures by age, sex, and education of the base year (2010) have since changed for most countries, mainly due to more recent data and reliable information. The mortality situation has improved in many countries affected by HIV/AIDS and among children in countries with higher mortality. The impact of COVID-19 on demographic trends must be addressed. In many countries, fertility rates have fallen faster than expected. International migration has been irregular and volatile as usual. These changes are reflected in the new update, with some improvements in operationalization. Changes in version \"V13\": Based on multiple comments and own review of results and indicators, we have corrected errors. Major errors in V12 were regarding the mortality differentials and migration assumptions for SSPs. We now have the IIASA working papers ready and under internal review for publication (will be added as it gets published and should be use as the reference for the data).","DOI":"10.5281/zenodo.10618931","publisher":"Zenodo","source":"Zenodo","title":"Wittgenstein Center (WIC) Population and Human Capital Projections  - 2023","URL":"https://zenodo.org/records/10618931","version":"V13","author":[{"family":"Samir","given":"KC"},{"family":"Moradhvaj","given":""},{"family":"Potancokova","given":"Michaela"},{"family":"Adhikari","given":"Saroja"},{"family":"Yildiz","given":"Dilek"},{"family":"Mamolo","given":"Maria"},{"family":"Sobotka","given":"Tomas"},{"family":"Zeman","given":"Krystof"},{"family":"Abel","given":"Guy"},{"family":"Lutz","given":"Wolfgang"},{"family":"Goujon","given":"Anne"}],"accessed":{"date-parts":[["2024",3,19]]},"issued":{"date-parts":[["2024",2,7]]}}}],"schema":"https://github.com/citation-style-language/schema/raw/master/csl-citation.json"} </w:instrText>
      </w:r>
      <w:r w:rsidR="00DF0089" w:rsidRPr="00CE0EC0">
        <w:fldChar w:fldCharType="separate"/>
      </w:r>
      <w:r w:rsidR="00CC33DA" w:rsidRPr="00CE0EC0">
        <w:rPr>
          <w:rFonts w:ascii="Aptos" w:hAnsi="Aptos"/>
        </w:rPr>
        <w:t>(IIASA, 2024; Samir et al., 2024)</w:t>
      </w:r>
      <w:r w:rsidR="00DF0089" w:rsidRPr="00CE0EC0">
        <w:fldChar w:fldCharType="end"/>
      </w:r>
      <w:r w:rsidRPr="00CE0EC0">
        <w:t xml:space="preserve">. </w:t>
      </w:r>
    </w:p>
    <w:p w14:paraId="56FDC555" w14:textId="3B63D261" w:rsidR="00267159" w:rsidRPr="00CE0EC0" w:rsidRDefault="00267159" w:rsidP="00267159">
      <w:pPr>
        <w:spacing w:line="276" w:lineRule="auto"/>
        <w:jc w:val="both"/>
      </w:pPr>
      <w:r w:rsidRPr="00CE0EC0">
        <w:t xml:space="preserve">The </w:t>
      </w:r>
      <w:r w:rsidRPr="00CE0EC0">
        <w:rPr>
          <w:b/>
          <w:bCs/>
          <w:i/>
          <w:iCs/>
        </w:rPr>
        <w:t>Omnivore</w:t>
      </w:r>
      <w:r w:rsidRPr="00CE0EC0">
        <w:t xml:space="preserve"> diet follows </w:t>
      </w:r>
      <w:proofErr w:type="spellStart"/>
      <w:r w:rsidRPr="00CE0EC0">
        <w:t>MAgPIE’s</w:t>
      </w:r>
      <w:proofErr w:type="spellEnd"/>
      <w:r w:rsidRPr="00CE0EC0">
        <w:t xml:space="preserve"> SSP2 assumptions, characterized by increasing demand for livestock products over time. The </w:t>
      </w:r>
      <w:r w:rsidRPr="00CE0EC0">
        <w:rPr>
          <w:b/>
          <w:bCs/>
          <w:i/>
          <w:iCs/>
        </w:rPr>
        <w:t>Flexitarian</w:t>
      </w:r>
      <w:r w:rsidRPr="00CE0EC0">
        <w:t xml:space="preserve"> diet aligns with the </w:t>
      </w:r>
      <w:proofErr w:type="spellStart"/>
      <w:r w:rsidRPr="00CE0EC0">
        <w:t>MAgPIE’s</w:t>
      </w:r>
      <w:proofErr w:type="spellEnd"/>
      <w:r w:rsidRPr="00CE0EC0">
        <w:t xml:space="preserve"> SSP1 scenario, which adapts a sustainable livestock products consumption in the latter half of the century </w:t>
      </w:r>
      <w:r w:rsidR="00DF0089" w:rsidRPr="00CE0EC0">
        <w:fldChar w:fldCharType="begin"/>
      </w:r>
      <w:r w:rsidR="00DF0089" w:rsidRPr="00CE0EC0">
        <w:instrText xml:space="preserve"> ADDIN ZOTERO_ITEM CSL_CITATION {"citationID":"CoSb96KD","properties":{"formattedCitation":"(Dietrich, 2019)","plainCitation":"(Dietrich, 2019)","noteIndex":0},"citationItems":[{"id":244,"uris":["http://zotero.org/users/11614317/items/WBMIB4JH"],"itemData":{"id":244,"type":"article-journal","abstract":"Evaluation documents produced for all runs shown in the MAgPIE 4 framework paper.","DOI":"10.5281/zenodo.2572581","note":"publisher: Zenodo","source":"Zenodo","title":"MAgPIE 4.0 paper - evaluation documents","URL":"https://zenodo.org/records/2572581","author":[{"family":"Dietrich","given":"Jan Philipp"}],"accessed":{"date-parts":[["2024",3,19]]},"issued":{"date-parts":[["2019",2,19]]}}}],"schema":"https://github.com/citation-style-language/schema/raw/master/csl-citation.json"} </w:instrText>
      </w:r>
      <w:r w:rsidR="00DF0089" w:rsidRPr="00CE0EC0">
        <w:fldChar w:fldCharType="separate"/>
      </w:r>
      <w:r w:rsidR="00CC33DA" w:rsidRPr="00CE0EC0">
        <w:rPr>
          <w:rFonts w:ascii="Aptos" w:hAnsi="Aptos"/>
        </w:rPr>
        <w:t>(Dietrich, 2019)</w:t>
      </w:r>
      <w:r w:rsidR="00DF0089" w:rsidRPr="00CE0EC0">
        <w:fldChar w:fldCharType="end"/>
      </w:r>
      <w:r w:rsidRPr="00CE0EC0">
        <w:t xml:space="preserve">. The </w:t>
      </w:r>
      <w:proofErr w:type="spellStart"/>
      <w:r w:rsidRPr="00CE0EC0">
        <w:rPr>
          <w:b/>
          <w:bCs/>
          <w:i/>
          <w:iCs/>
        </w:rPr>
        <w:t>Lacto</w:t>
      </w:r>
      <w:proofErr w:type="spellEnd"/>
      <w:r w:rsidRPr="00CE0EC0">
        <w:rPr>
          <w:b/>
          <w:bCs/>
          <w:i/>
          <w:iCs/>
        </w:rPr>
        <w:t>-Ovo</w:t>
      </w:r>
      <w:r w:rsidRPr="00CE0EC0">
        <w:t xml:space="preserve"> diet maintains SSP2-level milk and egg consumption but transitions to consuming only culled livestock for meat between 2030 and 2050. Finally, the </w:t>
      </w:r>
      <w:r w:rsidRPr="00CE0EC0">
        <w:rPr>
          <w:b/>
          <w:bCs/>
          <w:i/>
          <w:iCs/>
        </w:rPr>
        <w:t>Vegan</w:t>
      </w:r>
      <w:r w:rsidRPr="00CE0EC0">
        <w:t xml:space="preserve"> diet gradually transitions to a fully crop-based diet over the same period. To compensate for the reduced intake of animal products, we assumed an increase in per-capita crop demand in the </w:t>
      </w:r>
      <w:proofErr w:type="spellStart"/>
      <w:r w:rsidRPr="00CE0EC0">
        <w:rPr>
          <w:i/>
          <w:iCs/>
        </w:rPr>
        <w:t>Lacto</w:t>
      </w:r>
      <w:proofErr w:type="spellEnd"/>
      <w:r w:rsidRPr="00CE0EC0">
        <w:rPr>
          <w:i/>
          <w:iCs/>
        </w:rPr>
        <w:t>-Ovo</w:t>
      </w:r>
      <w:r w:rsidRPr="00CE0EC0">
        <w:t xml:space="preserve"> (+8.9%) and </w:t>
      </w:r>
      <w:r w:rsidRPr="00CE0EC0">
        <w:rPr>
          <w:i/>
          <w:iCs/>
        </w:rPr>
        <w:t>Vegan</w:t>
      </w:r>
      <w:r w:rsidRPr="00CE0EC0">
        <w:t xml:space="preserve"> (+26.3%) diets </w:t>
      </w:r>
      <w:r w:rsidR="00DF0089" w:rsidRPr="00CE0EC0">
        <w:fldChar w:fldCharType="begin"/>
      </w:r>
      <w:r w:rsidR="00CC33DA" w:rsidRPr="00CE0EC0">
        <w:instrText xml:space="preserve"> ADDIN ZOTERO_ITEM CSL_CITATION {"citationID":"qbv3IjZF","properties":{"formattedCitation":"(Smith et al., 2022)","plainCitation":"(Smith et al., 2022)","noteIndex":0},"citationItems":[{"id":265,"uris":["http://zotero.org/users/11614317/items/F85BEUU5"],"itemData":{"id":265,"type":"article-journal","abstract":"An increasing global population requires increasing food and nutrient availability. Meat is recognized as a nutrient dense food, particularly notable for its high-quality protein content, B vitamin and mineral content. However, it is not known how important meat is currently in nourishing the global population. The DELTA Model was used to calculate the contribution of meat (defined as animal flesh, excluding fish and seafood) to the global availability of 29 nutrients. This model utilizes global food production and use data, coupled with data for food waste, food nutrient composition and nutrient bioavailability to calculate the total amount of each nutrient available for consumption by the global population. Around 333 million tons of meat were produced globally in 2018, 95% of which was available as food, constituting ~7% of total food mass. Meat's contribution to nutrient availability was disproportionately higher than this: meat provided 11% of global food energy availability, 29% of dietary fat and 21% of protein. For the micronutrients, meat provided high proportions of vitamins: A (24%), B1 and B2 (15% each), B5 (10%), B6 (13%), and B12 (56%). Meat also provided high proportions of several trace elements: zinc (19%), selenium (18%), iron (13%), phosphorous (11%), and copper (10%). Meat is a poor contributor to fiber, magnesium and vitamins C and E. Meat was responsible for 16% (cystine) to 32% (lysine) of global availability of the bioavailable indispensable amino acids included in the model, due partly to the high digestibility of these nutrients from meat (83–100%). Of the total meat mass available as food in 2018, 23% was ruminant meat, 34% poultry meat, 32% pig meat, 2% other meat, and 9% offal and fats. The disproportionate contribution of meat to the global availability of nutrients emphasizes its important place in delivering nutrition to the current global population.","container-title":"Frontiers in Nutrition","ISSN":"2296-861X","source":"Frontiers","title":"Modeling the Contribution of Meat to Global Nutrient Availability","URL":"https://www.frontiersin.org/articles/10.3389/fnut.2022.766796","volume":"9","author":[{"family":"Smith","given":"Nick W."},{"family":"Fletcher","given":"Andrew J."},{"family":"Hill","given":"Jeremy P."},{"family":"McNabb","given":"Warren C."}],"accessed":{"date-parts":[["2023",12,19]]},"issued":{"date-parts":[["2022"]]}}}],"schema":"https://github.com/citation-style-language/schema/raw/master/csl-citation.json"} </w:instrText>
      </w:r>
      <w:r w:rsidR="00DF0089" w:rsidRPr="00CE0EC0">
        <w:fldChar w:fldCharType="separate"/>
      </w:r>
      <w:r w:rsidR="00CC33DA" w:rsidRPr="00CE0EC0">
        <w:rPr>
          <w:rFonts w:ascii="Aptos" w:hAnsi="Aptos"/>
        </w:rPr>
        <w:t>(Smith et al., 2022)</w:t>
      </w:r>
      <w:r w:rsidR="00DF0089" w:rsidRPr="00CE0EC0">
        <w:fldChar w:fldCharType="end"/>
      </w:r>
      <w:r w:rsidRPr="00CE0EC0">
        <w:t>.</w:t>
      </w:r>
    </w:p>
    <w:p w14:paraId="60882D1C" w14:textId="77777777" w:rsidR="00267159" w:rsidRDefault="00267159" w:rsidP="00267159">
      <w:pPr>
        <w:spacing w:line="276" w:lineRule="auto"/>
        <w:jc w:val="center"/>
      </w:pPr>
    </w:p>
    <w:p w14:paraId="63378634" w14:textId="77777777" w:rsidR="00267159" w:rsidRDefault="00267159" w:rsidP="00267159">
      <w:pPr>
        <w:spacing w:line="276" w:lineRule="auto"/>
        <w:jc w:val="center"/>
      </w:pPr>
      <w:r>
        <w:rPr>
          <w:noProof/>
        </w:rPr>
        <w:drawing>
          <wp:inline distT="0" distB="0" distL="0" distR="0" wp14:anchorId="4B9574C4" wp14:editId="178CB1B0">
            <wp:extent cx="5760000" cy="2066378"/>
            <wp:effectExtent l="0" t="0" r="0" b="0"/>
            <wp:docPr id="567355135" name="Picture 13" descr="A comparison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355135" name="Picture 13" descr="A comparison of a graph&#10;&#10;AI-generated content may be incorrect."/>
                    <pic:cNvPicPr>
                      <a:picLocks noChangeAspect="1" noChangeArrowheads="1"/>
                    </pic:cNvPicPr>
                  </pic:nvPicPr>
                  <pic:blipFill>
                    <a:blip r:embed="rId9" cstate="print">
                      <a:extLst>
                        <a:ext uri="{BEBA8EAE-BF5A-486C-A8C5-ECC9F3942E4B}">
                          <a14:imgProps xmlns:a14="http://schemas.microsoft.com/office/drawing/2010/main">
                            <a14:imgLayer r:embed="rId10">
                              <a14:imgEffect>
                                <a14:sharpenSoften amount="25000"/>
                              </a14:imgEffect>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5760000" cy="2066378"/>
                    </a:xfrm>
                    <a:prstGeom prst="rect">
                      <a:avLst/>
                    </a:prstGeom>
                  </pic:spPr>
                </pic:pic>
              </a:graphicData>
            </a:graphic>
          </wp:inline>
        </w:drawing>
      </w:r>
    </w:p>
    <w:p w14:paraId="64245C78" w14:textId="36CE4560" w:rsidR="00267159" w:rsidRPr="00D93900" w:rsidRDefault="00267159" w:rsidP="00267159">
      <w:pPr>
        <w:pStyle w:val="Caption"/>
        <w:jc w:val="both"/>
        <w:rPr>
          <w:i w:val="0"/>
          <w:iCs w:val="0"/>
          <w:color w:val="auto"/>
          <w:sz w:val="20"/>
          <w:szCs w:val="20"/>
        </w:rPr>
      </w:pPr>
      <w:bookmarkStart w:id="4" w:name="_Ref161829966"/>
      <w:r w:rsidRPr="00D93900">
        <w:rPr>
          <w:b/>
          <w:bCs/>
          <w:i w:val="0"/>
          <w:iCs w:val="0"/>
          <w:color w:val="auto"/>
          <w:sz w:val="20"/>
          <w:szCs w:val="20"/>
        </w:rPr>
        <w:t>Fig</w:t>
      </w:r>
      <w:r w:rsidR="006D089F" w:rsidRPr="00D93900">
        <w:rPr>
          <w:b/>
          <w:bCs/>
          <w:i w:val="0"/>
          <w:iCs w:val="0"/>
          <w:color w:val="auto"/>
          <w:sz w:val="20"/>
          <w:szCs w:val="20"/>
        </w:rPr>
        <w:t>.</w:t>
      </w:r>
      <w:r w:rsidRPr="00D93900">
        <w:rPr>
          <w:b/>
          <w:bCs/>
          <w:i w:val="0"/>
          <w:iCs w:val="0"/>
          <w:color w:val="auto"/>
          <w:sz w:val="20"/>
          <w:szCs w:val="20"/>
        </w:rPr>
        <w:t xml:space="preserve"> </w:t>
      </w:r>
      <w:r w:rsidR="006D089F" w:rsidRPr="00D93900">
        <w:rPr>
          <w:b/>
          <w:bCs/>
          <w:i w:val="0"/>
          <w:iCs w:val="0"/>
          <w:color w:val="auto"/>
          <w:sz w:val="20"/>
          <w:szCs w:val="20"/>
        </w:rPr>
        <w:t>S-F</w:t>
      </w:r>
      <w:r w:rsidRPr="00D93900">
        <w:rPr>
          <w:b/>
          <w:bCs/>
          <w:i w:val="0"/>
          <w:iCs w:val="0"/>
          <w:color w:val="auto"/>
          <w:sz w:val="20"/>
          <w:szCs w:val="20"/>
        </w:rPr>
        <w:fldChar w:fldCharType="begin"/>
      </w:r>
      <w:r w:rsidRPr="00D93900">
        <w:rPr>
          <w:b/>
          <w:bCs/>
          <w:i w:val="0"/>
          <w:iCs w:val="0"/>
          <w:color w:val="auto"/>
          <w:sz w:val="20"/>
          <w:szCs w:val="20"/>
        </w:rPr>
        <w:instrText xml:space="preserve"> SEQ Figure \* ARABIC </w:instrText>
      </w:r>
      <w:r w:rsidRPr="00D93900">
        <w:rPr>
          <w:b/>
          <w:bCs/>
          <w:i w:val="0"/>
          <w:iCs w:val="0"/>
          <w:color w:val="auto"/>
          <w:sz w:val="20"/>
          <w:szCs w:val="20"/>
        </w:rPr>
        <w:fldChar w:fldCharType="separate"/>
      </w:r>
      <w:r w:rsidR="007B7678">
        <w:rPr>
          <w:b/>
          <w:bCs/>
          <w:i w:val="0"/>
          <w:iCs w:val="0"/>
          <w:noProof/>
          <w:color w:val="auto"/>
          <w:sz w:val="20"/>
          <w:szCs w:val="20"/>
        </w:rPr>
        <w:t>2</w:t>
      </w:r>
      <w:r w:rsidRPr="00D93900">
        <w:rPr>
          <w:b/>
          <w:bCs/>
          <w:i w:val="0"/>
          <w:iCs w:val="0"/>
          <w:color w:val="auto"/>
          <w:sz w:val="20"/>
          <w:szCs w:val="20"/>
        </w:rPr>
        <w:fldChar w:fldCharType="end"/>
      </w:r>
      <w:bookmarkEnd w:id="4"/>
      <w:r w:rsidRPr="00D93900">
        <w:rPr>
          <w:b/>
          <w:bCs/>
          <w:i w:val="0"/>
          <w:iCs w:val="0"/>
          <w:color w:val="auto"/>
          <w:sz w:val="20"/>
          <w:szCs w:val="20"/>
        </w:rPr>
        <w:t xml:space="preserve">: Per-capita food demand </w:t>
      </w:r>
      <w:r w:rsidRPr="00D93900">
        <w:rPr>
          <w:i w:val="0"/>
          <w:iCs w:val="0"/>
          <w:color w:val="auto"/>
          <w:sz w:val="20"/>
          <w:szCs w:val="20"/>
        </w:rPr>
        <w:t xml:space="preserve">for </w:t>
      </w:r>
      <w:r w:rsidRPr="00D93900">
        <w:rPr>
          <w:b/>
          <w:bCs/>
          <w:i w:val="0"/>
          <w:iCs w:val="0"/>
          <w:color w:val="auto"/>
          <w:sz w:val="20"/>
          <w:szCs w:val="20"/>
        </w:rPr>
        <w:t>a)</w:t>
      </w:r>
      <w:r w:rsidRPr="00D93900">
        <w:rPr>
          <w:i w:val="0"/>
          <w:iCs w:val="0"/>
          <w:color w:val="auto"/>
          <w:sz w:val="20"/>
          <w:szCs w:val="20"/>
        </w:rPr>
        <w:t xml:space="preserve"> livestock-derived products (milk, eggs, beef, pork, poultry, sheep, goat) and </w:t>
      </w:r>
      <w:r w:rsidRPr="00D93900">
        <w:rPr>
          <w:b/>
          <w:bCs/>
          <w:i w:val="0"/>
          <w:iCs w:val="0"/>
          <w:color w:val="auto"/>
          <w:sz w:val="20"/>
          <w:szCs w:val="20"/>
        </w:rPr>
        <w:t>b)</w:t>
      </w:r>
      <w:r w:rsidRPr="00D93900">
        <w:rPr>
          <w:i w:val="0"/>
          <w:iCs w:val="0"/>
          <w:color w:val="auto"/>
          <w:sz w:val="20"/>
          <w:szCs w:val="20"/>
        </w:rPr>
        <w:t xml:space="preserve"> crops (cereals, fruits, nuts, vegetables).</w:t>
      </w:r>
    </w:p>
    <w:p w14:paraId="61FC50CB" w14:textId="77777777" w:rsidR="00267159" w:rsidRDefault="00267159" w:rsidP="00267159">
      <w:pPr>
        <w:spacing w:line="276" w:lineRule="auto"/>
        <w:jc w:val="both"/>
      </w:pPr>
    </w:p>
    <w:p w14:paraId="27B4567C" w14:textId="453E23EA" w:rsidR="00267159" w:rsidRPr="00FC4EEF" w:rsidRDefault="00CE0EC0" w:rsidP="00267159">
      <w:pPr>
        <w:pStyle w:val="Heading3"/>
        <w:rPr>
          <w:i/>
          <w:iCs/>
        </w:rPr>
      </w:pPr>
      <w:r>
        <w:t xml:space="preserve">Global food </w:t>
      </w:r>
      <w:proofErr w:type="spellStart"/>
      <w:r>
        <w:t>distirbution</w:t>
      </w:r>
      <w:proofErr w:type="spellEnd"/>
    </w:p>
    <w:p w14:paraId="4C66AB9D" w14:textId="6103BDE7" w:rsidR="00267159" w:rsidRDefault="00267159" w:rsidP="00267159">
      <w:pPr>
        <w:spacing w:line="276" w:lineRule="auto"/>
        <w:jc w:val="both"/>
      </w:pPr>
      <w:r w:rsidRPr="00CB2EF1">
        <w:t>On average, national agricultural self-sufficiency exceeds 60% globally</w:t>
      </w:r>
      <w:r>
        <w:t xml:space="preserve"> </w:t>
      </w:r>
      <w:r w:rsidR="00DF0089">
        <w:fldChar w:fldCharType="begin"/>
      </w:r>
      <w:r w:rsidR="00CC33DA">
        <w:instrText xml:space="preserve"> ADDIN ZOTERO_ITEM CSL_CITATION {"citationID":"fZoXgQEv","properties":{"formattedCitation":"(Economist Impact &amp; Corteva Agriscience, 2022; FAO, 2023b; Izraelov and Silber, 2019)","plainCitation":"(Economist Impact &amp; Corteva Agriscience, 2022; FAO, 2023b; Izraelov and Silber, 2019)","noteIndex":0},"citationItems":[{"id":234,"uris":["http://zotero.org/users/11614317/items/5ZHEL86B"],"itemData":{"id":234,"type":"article-journal","abstract":"Several measures of food insecurity, whether at the household or at the national level, have been introduced during the past two or three decades. Some concentrate on the determinants of food security while other emphasize more the consequences of food insecurity. The main focus of this paper is on the food security indicators introduced by the Economist Intelligence Unit (EIU), the Global Food Security Index (GFSI). The paper has two goals. It first checks whether the set of weights selected by the panel of experts of the EIU plays a crucial role in the ranking of countries by level of food security. Then it examines to what extent the ranking of countries given by the GFSI is sensitive to the list of indicators selected. The empirical analysis conducted, based on statistical techniques such as principal components and efficiency analysis, led us to conclude that both the weights selected and the choice of indicators give a reasonable ranking of countries by level of their food security.","container-title":"Food Security","DOI":"10.1007/s12571-019-00941-y","ISSN":"1876-4525","issue":"5","journalAbbreviation":"Food Sec.","language":"en","page":"1135-1152","source":"Springer Link","title":"An assessment of the global food security index","volume":"11","author":[{"family":"Izraelov","given":"Meital"},{"family":"Silber","given":"Jacques"}],"issued":{"date-parts":[["2019",10,1]]}}},{"id":235,"uris":["http://zotero.org/users/11614317/items/C7CYCHHD"],"itemData":{"id":235,"type":"report","abstract":"The Global Food Security Index (GFSI) is an annual assessment measuring food security through affordability, availability, quality and safety, and sustainability and adaptation metrics worldwide.","language":"en","title":"Global Food Security Index","URL":"https://impact.economist.com/sustainability/project/food-security-index","author":[{"literal":"Economist Impact &amp; Corteva Agriscience"}],"accessed":{"date-parts":[["2024",3,20]]},"issued":{"date-parts":[["2022"]]}}},{"id":232,"uris":["http://zotero.org/users/11614317/items/NJ8CB7W3"],"itemData":{"id":232,"type":"dataset","title":"FAOSTAT: Crops and livestock products","URL":"https://www.fao.org/faostat/en/#data/QCL","author":[{"literal":"FAO"}],"accessed":{"date-parts":[["2024",3,20]]},"issued":{"date-parts":[["2023"]]}}}],"schema":"https://github.com/citation-style-language/schema/raw/master/csl-citation.json"} </w:instrText>
      </w:r>
      <w:r w:rsidR="00DF0089">
        <w:fldChar w:fldCharType="separate"/>
      </w:r>
      <w:r w:rsidR="00CC33DA" w:rsidRPr="00CC33DA">
        <w:rPr>
          <w:rFonts w:ascii="Aptos" w:hAnsi="Aptos"/>
        </w:rPr>
        <w:t>(Economist Impact &amp; Corteva Agriscience, 2022; FAO, 2023b; Izraelov and Silber, 2019)</w:t>
      </w:r>
      <w:r w:rsidR="00DF0089">
        <w:fldChar w:fldCharType="end"/>
      </w:r>
      <w:r>
        <w:t>. T</w:t>
      </w:r>
      <w:r w:rsidRPr="00790786">
        <w:t>he SuCCESs model operates as a global single-region framework without explicit regional resolution. However, its land use module, CLASH, optimizes land use within ten major biomes</w:t>
      </w:r>
      <w:r w:rsidR="00805579">
        <w:t xml:space="preserve"> (</w:t>
      </w:r>
      <w:r w:rsidR="00805579" w:rsidRPr="00A37CE4">
        <w:rPr>
          <w:b/>
          <w:bCs/>
        </w:rPr>
        <w:t>supplement Fig.</w:t>
      </w:r>
      <w:r w:rsidR="00A37CE4" w:rsidRPr="00A37CE4">
        <w:rPr>
          <w:b/>
          <w:bCs/>
        </w:rPr>
        <w:t xml:space="preserve"> S-F3</w:t>
      </w:r>
      <w:r w:rsidR="00A37CE4">
        <w:t>)</w:t>
      </w:r>
      <w:r w:rsidRPr="00790786">
        <w:t xml:space="preserve"> </w:t>
      </w:r>
      <w:r w:rsidR="00DF0089">
        <w:fldChar w:fldCharType="begin"/>
      </w:r>
      <w:r w:rsidR="00CC33DA">
        <w:instrText xml:space="preserve"> ADDIN ZOTERO_ITEM CSL_CITATION {"citationID":"p1Ut1dQd","properties":{"formattedCitation":"(Ekholm et al., 2024b)","plainCitation":"(Ekholm et al., 2024b)","noteIndex":0},"citationItems":[{"id":1023,"uris":["http://zotero.org/users/11614317/items/KVICBXQ8"],"itemData":{"id":1023,"type":"article-journal","abstract":"The Climate-responsive Land Allocation model with carbon Storage and Harvests (CLASH) is a global, biophysical land-use model that can be embedded into integrated assessment models (IAMs). CLASH represents vegetation growth, terrestrial carbon stocks, and production from agriculture and forestry for different land uses in a changing climate. Connecting CLASH to an IAM would allow the consideration of terrestrial carbon stocks, agriculture and forestry in global climate policy analyses. All terrestrial ecosystems and their carbon dynamics are comprehensively described at a coarse resolution. Special emphasis is placed on representing the world's forests. Vegetation growth, soil carbon stocks, agricultural yields and natural disturbance frequencies react to changing climatic conditions, emulating the dynamic global vegetation model LPJ-GUESS. Land is divided into 10 biomes with six land-use classes (including forests and agricultural classes). Secondary forests are age structured. The timing of forest harvests affects forest carbon stocks, and, hence, carbon storage per forest area can be increased through forest management. In addition to secondary forests, CLASH also includes primary ecosystems, cropland and pastures. The comprehensive inclusion of all land-use classes and their main functions allows representing the global land-use competition. In this article, we present, calibrate and validate the model; demonstrate its use; and discuss how it can be integrated into IAMs.","container-title":"Geoscientific Model Development","DOI":"10.5194/gmd-17-3041-2024","ISSN":"1991-959X","issue":"7","language":"English","note":"publisher: Copernicus GmbH","page":"3041-3062","source":"Copernicus Online Journals","title":"CLASH – Climate-responsive Land Allocation model with carbon Storage and Harvests","volume":"17","author":[{"family":"Ekholm","given":"Tommi"},{"family":"Freistetter","given":"Nadine-Cyra"},{"family":"Rautiainen","given":"Aapo"},{"family":"Thölix","given":"Laura"}],"issued":{"date-parts":[["2024",4,17]]}}}],"schema":"https://github.com/citation-style-language/schema/raw/master/csl-citation.json"} </w:instrText>
      </w:r>
      <w:r w:rsidR="00DF0089">
        <w:fldChar w:fldCharType="separate"/>
      </w:r>
      <w:r w:rsidR="00CC33DA" w:rsidRPr="00CC33DA">
        <w:rPr>
          <w:rFonts w:ascii="Aptos" w:hAnsi="Aptos"/>
        </w:rPr>
        <w:t>(Ekholm et al., 2024b)</w:t>
      </w:r>
      <w:r w:rsidR="00DF0089">
        <w:fldChar w:fldCharType="end"/>
      </w:r>
      <w:r>
        <w:t xml:space="preserve">. </w:t>
      </w:r>
      <w:r w:rsidRPr="00790786">
        <w:t xml:space="preserve">To </w:t>
      </w:r>
      <w:r w:rsidR="00D31B33">
        <w:t>model</w:t>
      </w:r>
      <w:r w:rsidRPr="00790786">
        <w:t xml:space="preserve"> spatial variation</w:t>
      </w:r>
      <w:r w:rsidR="00D31B33">
        <w:t>s</w:t>
      </w:r>
      <w:r w:rsidRPr="00790786">
        <w:t xml:space="preserve"> in food demand</w:t>
      </w:r>
      <w:r>
        <w:t xml:space="preserve"> and availability</w:t>
      </w:r>
      <w:r w:rsidRPr="00790786">
        <w:t xml:space="preserve">, we estimated the share of the global </w:t>
      </w:r>
      <w:r w:rsidRPr="00790786">
        <w:lastRenderedPageBreak/>
        <w:t>population residing in each biome and used this to approximate the distribution of global food demand</w:t>
      </w:r>
      <w:r>
        <w:t xml:space="preserve"> </w:t>
      </w:r>
      <w:r w:rsidR="00DF0089">
        <w:fldChar w:fldCharType="begin"/>
      </w:r>
      <w:r w:rsidR="00CC33DA">
        <w:instrText xml:space="preserve"> ADDIN ZOTERO_ITEM CSL_CITATION {"citationID":"UtA0CPh0","properties":{"formattedCitation":"(Gao, 2017; Jones and O\\uc0\\u8217{}Neill, 2016)","plainCitation":"(Gao, 2017; Jones and O’Neill, 2016)","noteIndex":0},"citationItems":[{"id":237,"uris":["http://zotero.org/users/11614317/items/LJ4N2UX7"],"itemData":{"id":237,"type":"article-journal","abstract":"The projected size and spatial distribution of the future population are important drivers of global change and key determinants of exposure and vulnerability to hazards. Spatial demographic projections are widely used as inputs to spatial projections of land use, energy use, and emissions, as well as to assessments of the impacts of extreme events, sea level rise, and other climate-related outcomes. To date, however, there are very few global-scale, spatially explicit population projections, and those that do exist are often based on simple scaling or trend extrapolation. Here we present a new set of global, spatially explicit population scenarios that are consistent with the new Shared Socioeconomic Pathways (SSPs) developed to facilitate global change research. We use a parameterized gravity-based downscaling model to produce projections of spatial population change that are quantitatively consistent with national population and urbanization projections for the SSPs and qualitatively consistent with assumptions in the SSP narratives regarding spatial development patterns. We show that the five SSPs lead to substantially different spatial population outcomes at the continental, national, and sub-national scale. In general, grid cell-level outcomes are most influenced by national-level population change, second by urbanization rate, and third by assumptions about the spatial style of development. However, the relative importance of these factors is a function of the magnitude of the projected change in total population and urbanization for each country and across SSPs. We also demonstrate variation in outcomes considering the example of population existing in a low-elevation coastal zone under alternative scenarios.","container-title":"Environmental Research Letters","DOI":"10.1088/1748-9326/11/8/084003","ISSN":"1748-9326","issue":"8","journalAbbreviation":"Environ. Res. Lett.","language":"en","note":"publisher: IOP Publishing","page":"084003","source":"Institute of Physics","title":"Spatially explicit global population scenarios consistent with the Shared Socioeconomic Pathways","volume":"11","author":[{"family":"Jones","given":"B."},{"family":"O’Neill","given":"B. C."}],"issued":{"date-parts":[["2016",7]]}}},{"id":236,"uris":["http://zotero.org/users/11614317/items/7DRVFMZA"],"itemData":{"id":236,"type":"article-journal","DOI":"10.5065/D60Z721H","language":"en","source":"opensky.ucar.edu","title":"Downscaling Global Spatial Population Projections from 1/8-degree to 1-km Grid Cells","URL":"https://opensky.ucar.edu/islandora/object/technotes%3A553/","author":[{"family":"Gao","given":"Jing"}],"accessed":{"date-parts":[["2024",3,20]]},"issued":{"date-parts":[["2017"]]}}}],"schema":"https://github.com/citation-style-language/schema/raw/master/csl-citation.json"} </w:instrText>
      </w:r>
      <w:r w:rsidR="00DF0089">
        <w:fldChar w:fldCharType="separate"/>
      </w:r>
      <w:r w:rsidR="00CC33DA" w:rsidRPr="00CC33DA">
        <w:rPr>
          <w:rFonts w:ascii="Aptos" w:hAnsi="Aptos" w:cs="Times New Roman"/>
          <w:kern w:val="0"/>
        </w:rPr>
        <w:t>(Gao, 2017; Jones and O’Neill, 2016)</w:t>
      </w:r>
      <w:r w:rsidR="00DF0089">
        <w:fldChar w:fldCharType="end"/>
      </w:r>
      <w:r>
        <w:t xml:space="preserve">. </w:t>
      </w:r>
    </w:p>
    <w:p w14:paraId="19D27456" w14:textId="37251A37" w:rsidR="00267159" w:rsidRDefault="00267159" w:rsidP="00267159">
      <w:pPr>
        <w:spacing w:line="276" w:lineRule="auto"/>
        <w:jc w:val="both"/>
      </w:pPr>
      <w:r w:rsidRPr="00EB11DC">
        <w:t xml:space="preserve">In our scenarios, the </w:t>
      </w:r>
      <w:r w:rsidRPr="00CB3F84">
        <w:rPr>
          <w:b/>
          <w:bCs/>
          <w:i/>
          <w:iCs/>
        </w:rPr>
        <w:t>global food market</w:t>
      </w:r>
      <w:r w:rsidRPr="00EB11DC">
        <w:t xml:space="preserve"> case assumes unrestricted </w:t>
      </w:r>
      <w:r w:rsidR="007A1EA0">
        <w:t>food distribution</w:t>
      </w:r>
      <w:r w:rsidRPr="00EB11DC">
        <w:t xml:space="preserve">, allowing food to be produced and consumed anywhere. In contrast, the </w:t>
      </w:r>
      <w:r w:rsidR="007A1EA0">
        <w:rPr>
          <w:b/>
          <w:bCs/>
          <w:i/>
          <w:iCs/>
        </w:rPr>
        <w:t>restricted food distribution</w:t>
      </w:r>
      <w:r w:rsidRPr="00EB11DC">
        <w:t xml:space="preserve"> case imposes a constraint requiring 65% of each biome’s food demand to be met within that biome, reflecting stylized limitations on global food </w:t>
      </w:r>
      <w:r>
        <w:t>distribution</w:t>
      </w:r>
      <w:r w:rsidRPr="00EB11DC">
        <w:t>.</w:t>
      </w:r>
      <w:r w:rsidR="00E82BE4">
        <w:t xml:space="preserve"> Due to SuCCESs’ coarse spatial resolution, t</w:t>
      </w:r>
      <w:r w:rsidRPr="007B6011">
        <w:t xml:space="preserve">his approach </w:t>
      </w:r>
      <w:r w:rsidR="00E82BE4">
        <w:t>can</w:t>
      </w:r>
      <w:r w:rsidRPr="007B6011">
        <w:t xml:space="preserve">not represent realistic national self-sufficiency constraints </w:t>
      </w:r>
      <w:r>
        <w:t xml:space="preserve">or international </w:t>
      </w:r>
      <w:r w:rsidR="00C40D30">
        <w:t>trade but</w:t>
      </w:r>
      <w:r w:rsidRPr="007B6011">
        <w:t xml:space="preserve"> offer</w:t>
      </w:r>
      <w:r>
        <w:t>s</w:t>
      </w:r>
      <w:r w:rsidRPr="007B6011">
        <w:t xml:space="preserve"> an order-of-magnitude estimate of how regional land use restrictions could impact global mitigation potential within the model’s current capabilities.</w:t>
      </w:r>
    </w:p>
    <w:p w14:paraId="39C5D9F7" w14:textId="77777777" w:rsidR="00267159" w:rsidRDefault="00267159" w:rsidP="00267159">
      <w:pPr>
        <w:spacing w:line="276" w:lineRule="auto"/>
        <w:jc w:val="both"/>
      </w:pPr>
    </w:p>
    <w:p w14:paraId="7647A095" w14:textId="77777777" w:rsidR="00267159" w:rsidRPr="003C1BD4" w:rsidRDefault="00267159" w:rsidP="00267159">
      <w:pPr>
        <w:pStyle w:val="Heading3"/>
        <w:rPr>
          <w:i/>
          <w:iCs/>
        </w:rPr>
      </w:pPr>
      <w:bookmarkStart w:id="5" w:name="_Toc167708310"/>
      <w:bookmarkStart w:id="6" w:name="_Toc197023389"/>
      <w:r>
        <w:t>Biodiversity h</w:t>
      </w:r>
      <w:r w:rsidRPr="00FC4EEF">
        <w:t xml:space="preserve">abitat </w:t>
      </w:r>
      <w:r>
        <w:t>c</w:t>
      </w:r>
      <w:r w:rsidRPr="00FC4EEF">
        <w:t>onservation</w:t>
      </w:r>
      <w:bookmarkEnd w:id="5"/>
      <w:bookmarkEnd w:id="6"/>
    </w:p>
    <w:p w14:paraId="34E87BC0" w14:textId="77777777" w:rsidR="00267159" w:rsidRDefault="00267159" w:rsidP="00267159">
      <w:pPr>
        <w:spacing w:line="276" w:lineRule="auto"/>
        <w:jc w:val="both"/>
      </w:pPr>
      <w:r w:rsidRPr="004708AE">
        <w:t xml:space="preserve">In this study, biodiversity habitat </w:t>
      </w:r>
      <w:r>
        <w:t>is counted as</w:t>
      </w:r>
      <w:r w:rsidRPr="004708AE">
        <w:t xml:space="preserve"> </w:t>
      </w:r>
      <w:r>
        <w:t xml:space="preserve">the </w:t>
      </w:r>
      <w:r w:rsidRPr="004708AE">
        <w:t xml:space="preserve">SuCCESs land use classes </w:t>
      </w:r>
      <w:r w:rsidRPr="003D5213">
        <w:rPr>
          <w:i/>
          <w:iCs/>
        </w:rPr>
        <w:t>primary ecosystems</w:t>
      </w:r>
      <w:r w:rsidRPr="004708AE">
        <w:t xml:space="preserve"> (pristine forests and non-forests), </w:t>
      </w:r>
      <w:r w:rsidRPr="003D5213">
        <w:rPr>
          <w:i/>
          <w:iCs/>
        </w:rPr>
        <w:t>managed non-forests</w:t>
      </w:r>
      <w:r w:rsidRPr="004708AE">
        <w:t xml:space="preserve"> (e.g., grasslands and shrublands), and </w:t>
      </w:r>
      <w:r w:rsidRPr="003D5213">
        <w:rPr>
          <w:i/>
          <w:iCs/>
        </w:rPr>
        <w:t>managed forests</w:t>
      </w:r>
      <w:r w:rsidRPr="004708AE">
        <w:t xml:space="preserve"> older than 80 years (mature forests). The model cannot create pristine ecosystems.</w:t>
      </w:r>
    </w:p>
    <w:p w14:paraId="2E5FF1B7" w14:textId="464FC4A3" w:rsidR="00CB3F84" w:rsidRDefault="00267159" w:rsidP="00267159">
      <w:pPr>
        <w:spacing w:line="276" w:lineRule="auto"/>
        <w:jc w:val="both"/>
      </w:pPr>
      <w:r w:rsidRPr="004708AE">
        <w:t xml:space="preserve">The </w:t>
      </w:r>
      <w:r w:rsidRPr="00CB3F84">
        <w:rPr>
          <w:b/>
          <w:bCs/>
          <w:i/>
          <w:iCs/>
        </w:rPr>
        <w:t>No Additional Habitat Protection</w:t>
      </w:r>
      <w:r w:rsidRPr="004708AE">
        <w:t xml:space="preserve"> case follows the Land Use Harmonization Project’s SSP2-projected land use as a lower limit</w:t>
      </w:r>
      <w:r>
        <w:t xml:space="preserve"> </w:t>
      </w:r>
      <w:r w:rsidR="00DF0089">
        <w:fldChar w:fldCharType="begin"/>
      </w:r>
      <w:r w:rsidR="00CC33DA">
        <w:instrText xml:space="preserve"> ADDIN ZOTERO_ITEM CSL_CITATION {"citationID":"ZiPb9AkQ","properties":{"unsorted":true,"formattedCitation":"(Hurtt et al., 2020; Ekholm et al., 2024b)","plainCitation":"(Hurtt et al., 2020; Ekholm et al., 2024b)","noteIndex":0},"citationItems":[{"id":1012,"uris":["http://zotero.org/users/11614317/items/HK3IYUSP"],"itemData":{"id":1012,"type":"article-journal","abstract":"Human land use activities have resulted in large changes to the biogeochemical and biophysical properties of the Earth's surface, with consequences for climate and other ecosystem services. In the future, land use activities are likely to expand and/or intensify further to meet growing demands for food, fiber, and energy. As part of the World Climate Research Program Coupled Model Intercomparison Project (CMIP6), the international community has developed the next generation of advanced Earth system models (ESMs) to estimate the combined effects of human activities (e.g., land use and fossil fuel emissions) on the carbon–climate system. A new set of historical data based on the History of the Global Environment database (HYDE), and multiple alternative scenarios of the future (2015–2100) from Integrated Assessment Model (IAM) teams, is required as input for these models. With most ESM simulations for CMIP6 now completed, it is important to document the land use patterns used by those simulations. Here we present results from the Land-Use Harmonization 2 (LUH2) project, which smoothly connects updated historical reconstructions of land use with eight new future projections in the format required for ESMs. The harmonization strategy estimates the fractional land use patterns, underlying land use transitions, key agricultural management information, and resulting secondary lands annually, while minimizing the differences between the end of the historical reconstruction and IAM initial conditions and preserving changes depicted by the IAMs in the future. The new approach builds on a similar effort from CMIP5 and is now provided at higher resolution (0.25</w:instrText>
      </w:r>
      <w:r w:rsidR="00CC33DA">
        <w:rPr>
          <w:rFonts w:ascii="Cambria Math" w:hAnsi="Cambria Math" w:cs="Cambria Math"/>
        </w:rPr>
        <w:instrText>∘</w:instrText>
      </w:r>
      <w:r w:rsidR="00CC33DA">
        <w:rPr>
          <w:rFonts w:ascii="Aptos" w:hAnsi="Aptos" w:cs="Aptos"/>
        </w:rPr>
        <w:instrText>×</w:instrText>
      </w:r>
      <w:r w:rsidR="00CC33DA">
        <w:instrText>0.25</w:instrText>
      </w:r>
      <w:r w:rsidR="00CC33DA">
        <w:rPr>
          <w:rFonts w:ascii="Cambria Math" w:hAnsi="Cambria Math" w:cs="Cambria Math"/>
        </w:rPr>
        <w:instrText>∘</w:instrText>
      </w:r>
      <w:r w:rsidR="00CC33DA">
        <w:instrText>) over a longer time domain (850</w:instrText>
      </w:r>
      <w:r w:rsidR="00CC33DA">
        <w:rPr>
          <w:rFonts w:ascii="Aptos" w:hAnsi="Aptos" w:cs="Aptos"/>
        </w:rPr>
        <w:instrText>–</w:instrText>
      </w:r>
      <w:r w:rsidR="00CC33DA">
        <w:instrText xml:space="preserve">2100, with extensions to 2300) with more detail (including multiple crop and pasture types and associated management practices) using more input datasets (including Landsat remote sensing data) and updated algorithms (wood harvest and shifting cultivation); it is assessed via a new diagnostic package. The new LUH2 products contain &amp;gt;&amp;thinsp;50 times the information content of the datasets used in CMIP5 and are designed to enable new and improved estimates of the combined effects of land use on the global carbon–climate system.","container-title":"Geoscientific Model Development","DOI":"10.5194/gmd-13-5425-2020","ISSN":"1991-959X","issue":"11","language":"English","note":"publisher: Copernicus GmbH","page":"5425-5464","source":"Copernicus Online Journals","title":"Harmonization of global land use change and management for the period 850–2100 (LUH2) for CMIP6","volume":"13","author":[{"family":"Hurtt","given":"George C."},{"family":"Chini","given":"Louise"},{"family":"Sahajpal","given":"Ritvik"},{"family":"Frolking","given":"Steve"},{"family":"Bodirsky","given":"Benjamin L."},{"family":"Calvin","given":"Katherine"},{"family":"Doelman","given":"Jonathan C."},{"family":"Fisk","given":"Justin"},{"family":"Fujimori","given":"Shinichiro"},{"family":"Klein Goldewijk","given":"Kees"},{"family":"Hasegawa","given":"Tomoko"},{"family":"Havlik","given":"Peter"},{"family":"Heinimann","given":"Andreas"},{"family":"Humpenöder","given":"Florian"},{"family":"Jungclaus","given":"Johan"},{"family":"Kaplan","given":"Jed O."},{"family":"Kennedy","given":"Jennifer"},{"family":"Krisztin","given":"Tamás"},{"family":"Lawrence","given":"David"},{"family":"Lawrence","given":"Peter"},{"family":"Ma","given":"Lei"},{"family":"Mertz","given":"Ole"},{"family":"Pongratz","given":"Julia"},{"family":"Popp","given":"Alexander"},{"family":"Poulter","given":"Benjamin"},{"family":"Riahi","given":"Keywan"},{"family":"Shevliakova","given":"Elena"},{"family":"Stehfest","given":"Elke"},{"family":"Thornton","given":"Peter"},{"family":"Tubiello","given":"Francesco N."},{"family":"Vuuren","given":"Detlef P.","non-dropping-particle":"van"},{"family":"Zhang","given":"Xin"}],"issued":{"date-parts":[["2020",11,10]]}}},{"id":1023,"uris":["http://zotero.org/users/11614317/items/KVICBXQ8"],"itemData":{"id":1023,"type":"article-journal","abstract":"The Climate-responsive Land Allocation model with carbon Storage and Harvests (CLASH) is a global, biophysical land-use model that can be embedded into integrated assessment models (IAMs). CLASH represents vegetation growth, terrestrial carbon stocks, and production from agriculture and forestry for different land uses in a changing climate. Connecting CLASH to an IAM would allow the consideration of terrestrial carbon stocks, agriculture and forestry in global climate policy analyses. All terrestrial ecosystems and their carbon dynamics are comprehensively described at a coarse resolution. Special emphasis is placed on representing the world's forests. Vegetation growth, soil carbon stocks, agricultural yields and natural disturbance frequencies react to changing climatic conditions, emulating the dynamic global vegetation model LPJ-GUESS. Land is divided into 10 biomes with six land-use classes (including forests and agricultural classes). Secondary forests are age structured. The timing of forest harvests affects forest carbon stocks, and, hence, carbon storage per forest area can be increased through forest management. In addition to secondary forests, CLASH also includes primary ecosystems, cropland and pastures. The comprehensive inclusion of all land-use classes and their main functions allows representing the global land-use competition. In this article, we present, calibrate and validate the model; demonstrate its use; and discuss how it can be integrated into IAMs.","container-title":"Geoscientific Model Development","DOI":"10.5194/gmd-17-3041-2024","ISSN":"1991-959X","issue":"7","language":"English","note":"publisher: Copernicus GmbH","page":"3041-3062","source":"Copernicus Online Journals","title":"CLASH – Climate-responsive Land Allocation model with carbon Storage and Harvests","volume":"17","author":[{"family":"Ekholm","given":"Tommi"},{"family":"Freistetter","given":"Nadine-Cyra"},{"family":"Rautiainen","given":"Aapo"},{"family":"Thölix","given":"Laura"}],"issued":{"date-parts":[["2024",4,17]]}}}],"schema":"https://github.com/citation-style-language/schema/raw/master/csl-citation.json"} </w:instrText>
      </w:r>
      <w:r w:rsidR="00DF0089">
        <w:fldChar w:fldCharType="separate"/>
      </w:r>
      <w:r w:rsidR="00CC33DA" w:rsidRPr="00CC33DA">
        <w:rPr>
          <w:rFonts w:ascii="Aptos" w:hAnsi="Aptos"/>
        </w:rPr>
        <w:t>(Hurtt et al., 2020; Ekholm et al., 2024b)</w:t>
      </w:r>
      <w:r w:rsidR="00DF0089">
        <w:fldChar w:fldCharType="end"/>
      </w:r>
      <w:r>
        <w:t xml:space="preserve">. </w:t>
      </w:r>
      <w:r w:rsidRPr="004708AE">
        <w:t xml:space="preserve">This </w:t>
      </w:r>
      <w:r>
        <w:t>also includes</w:t>
      </w:r>
      <w:r w:rsidRPr="004708AE">
        <w:t xml:space="preserve"> the current global protected land area of 17% </w:t>
      </w:r>
      <w:r w:rsidR="00DF0089" w:rsidRPr="002A566E">
        <w:fldChar w:fldCharType="begin"/>
      </w:r>
      <w:r w:rsidR="00DF0089">
        <w:instrText xml:space="preserve"> ADDIN ZOTERO_ITEM CSL_CITATION {"citationID":"cdJYlwkS","properties":{"formattedCitation":"(UNEP-WCMC, 2020)","plainCitation":"(UNEP-WCMC, 2020)","noteIndex":0},"citationItems":[{"id":992,"uris":["http://zotero.org/users/11614317/items/EXE7GJDC"],"itemData":{"id":992,"type":"report","abstract":"Protected Planet Report 2020 assesses the state of protected areas around the world.","publisher":"United Nations Environment Programme - World Conservation Monitoring Centre","title":"Protected Planet Report 2020","URL":"https://livereport.protectedplanet.net","author":[{"literal":"UNEP-WCMC"}],"accessed":{"date-parts":[["2024",5,2]]},"issued":{"date-parts":[["2020"]]}}}],"schema":"https://github.com/citation-style-language/schema/raw/master/csl-citation.json"} </w:instrText>
      </w:r>
      <w:r w:rsidR="00DF0089" w:rsidRPr="002A566E">
        <w:fldChar w:fldCharType="separate"/>
      </w:r>
      <w:r w:rsidR="00CC33DA" w:rsidRPr="00CC33DA">
        <w:rPr>
          <w:rFonts w:ascii="Aptos" w:hAnsi="Aptos"/>
        </w:rPr>
        <w:t>(UNEP-WCMC, 2020)</w:t>
      </w:r>
      <w:r w:rsidR="00DF0089" w:rsidRPr="002A566E">
        <w:fldChar w:fldCharType="end"/>
      </w:r>
      <w:r>
        <w:t xml:space="preserve">. Above this, </w:t>
      </w:r>
      <w:r w:rsidRPr="004708AE">
        <w:t xml:space="preserve">the model </w:t>
      </w:r>
      <w:r>
        <w:t>can</w:t>
      </w:r>
      <w:r w:rsidRPr="004708AE">
        <w:t xml:space="preserve"> allocate and manage land freely.</w:t>
      </w:r>
      <w:r>
        <w:t xml:space="preserve"> </w:t>
      </w:r>
      <w:r w:rsidRPr="004708AE">
        <w:t xml:space="preserve">The </w:t>
      </w:r>
      <w:r w:rsidRPr="00CB3F84">
        <w:rPr>
          <w:b/>
          <w:bCs/>
          <w:i/>
          <w:iCs/>
        </w:rPr>
        <w:t>Primary Ecosystem Protection</w:t>
      </w:r>
      <w:r w:rsidRPr="004708AE">
        <w:t xml:space="preserve"> </w:t>
      </w:r>
      <w:r>
        <w:t>case</w:t>
      </w:r>
      <w:r w:rsidRPr="004708AE">
        <w:t xml:space="preserve"> prevents any net loss of primary ecosystems from 2020 levels, aiming to minimize species and population declines </w:t>
      </w:r>
      <w:r w:rsidR="00DF0089" w:rsidRPr="002A566E">
        <w:fldChar w:fldCharType="begin"/>
      </w:r>
      <w:r w:rsidR="00CC33DA">
        <w:instrText xml:space="preserve"> ADDIN ZOTERO_ITEM CSL_CITATION {"citationID":"OPaJRSYh","properties":{"formattedCitation":"(D\\uc0\\u237{}az et al., 2020)","plainCitation":"(Díaz et al., 2020)","noteIndex":0},"citationItems":[{"id":996,"uris":["http://zotero.org/users/11614317/items/6WWKB7YH"],"itemData":{"id":996,"type":"article-journal","container-title":"Science","DOI":"10.1126/science.abe1530","issue":"6515","note":"publisher: American Association for the Advancement of Science","page":"411-413","source":"science.org (Atypon)","title":"Set ambitious goals for biodiversity and sustainability","volume":"370","author":[{"family":"Díaz","given":"Sandra"},{"family":"Zafra-Calvo","given":"Noelia"},{"family":"Purvis","given":"Andy"},{"family":"Verburg","given":"Peter H."},{"family":"Obura","given":"David"},{"family":"Leadley","given":"Paul"},{"family":"Chaplin-Kramer","given":"Rebecca"},{"family":"De Meester","given":"Luc"},{"family":"Dulloo","given":"Ehsan"},{"family":"Martín-López","given":"Berta"},{"family":"Shaw","given":"M. Rebecca"},{"family":"Visconti","given":"Piero"},{"family":"Broadgate","given":"Wendy"},{"family":"Bruford","given":"Michael W."},{"family":"Burgess","given":"Neil D."},{"family":"Cavender-Bares","given":"Jeannine"},{"family":"DeClerck","given":"Fabrice"},{"family":"Fernández-Palacios","given":"José María"},{"family":"Garibaldi","given":"Lucas A."},{"family":"Hill","given":"Samantha L. L."},{"family":"Isbell","given":"Forest"},{"family":"Khoury","given":"Colin K."},{"family":"Krug","given":"Cornelia B."},{"family":"Liu","given":"Jianguo"},{"family":"Maron","given":"Martine"},{"family":"McGowan","given":"Philip J. K."},{"family":"Pereira","given":"Henrique M."},{"family":"Reyes-García","given":"Victoria"},{"family":"Rocha","given":"Juan"},{"family":"Rondinini","given":"Carlo"},{"family":"Shannon","given":"Lynne"},{"family":"Shin","given":"Yunne-Jai"},{"family":"Snelgrove","given":"Paul V. R."},{"family":"Spehn","given":"Eva M."},{"family":"Strassburg","given":"Bernardo"},{"family":"Subramanian","given":"Suneetha M."},{"family":"Tewksbury","given":"Joshua J."},{"family":"Watson","given":"James E. M."},{"family":"Zanne","given":"Amy E."}],"issued":{"date-parts":[["2020",10,23]]}}}],"schema":"https://github.com/citation-style-language/schema/raw/master/csl-citation.json"} </w:instrText>
      </w:r>
      <w:r w:rsidR="00DF0089" w:rsidRPr="002A566E">
        <w:fldChar w:fldCharType="separate"/>
      </w:r>
      <w:r w:rsidR="00CC33DA" w:rsidRPr="00CC33DA">
        <w:rPr>
          <w:rFonts w:ascii="Aptos" w:hAnsi="Aptos" w:cs="Times New Roman"/>
          <w:kern w:val="0"/>
        </w:rPr>
        <w:t>(Díaz et al., 2020)</w:t>
      </w:r>
      <w:r w:rsidR="00DF0089" w:rsidRPr="002A566E">
        <w:fldChar w:fldCharType="end"/>
      </w:r>
      <w:r w:rsidRPr="002A566E">
        <w:t xml:space="preserve">. The </w:t>
      </w:r>
      <w:r w:rsidRPr="00CB3F84">
        <w:rPr>
          <w:b/>
          <w:bCs/>
          <w:i/>
          <w:iCs/>
        </w:rPr>
        <w:t>Maturing habitats</w:t>
      </w:r>
      <w:r w:rsidRPr="002A566E">
        <w:t xml:space="preserve"> case</w:t>
      </w:r>
      <w:r>
        <w:t xml:space="preserve"> doubles the area of mature managed forests from 2020 level until 2100. </w:t>
      </w:r>
    </w:p>
    <w:p w14:paraId="55E045E5" w14:textId="15C47850" w:rsidR="00267159" w:rsidRPr="002A566E" w:rsidRDefault="00267159" w:rsidP="00267159">
      <w:pPr>
        <w:spacing w:line="276" w:lineRule="auto"/>
        <w:jc w:val="both"/>
      </w:pPr>
      <w:r w:rsidRPr="004708AE">
        <w:t xml:space="preserve">The </w:t>
      </w:r>
      <w:r w:rsidRPr="00CB3F84">
        <w:rPr>
          <w:b/>
          <w:bCs/>
          <w:i/>
          <w:iCs/>
        </w:rPr>
        <w:t>Halting Biodiversity Loss</w:t>
      </w:r>
      <w:r w:rsidRPr="004708AE">
        <w:t xml:space="preserve"> case represents large-scale restoration efforts to reverse land-use change-driven biodiversity loss. It requires a net increase in natural land classes—including primary ecosystems, secondary non-forests, and secondary forests older than 80 years—by 1.44 million km² by 2050 and 4.32 million km² by 2100 </w:t>
      </w:r>
      <w:r w:rsidR="00DF0089" w:rsidRPr="002A566E">
        <w:fldChar w:fldCharType="begin"/>
      </w:r>
      <w:r w:rsidR="00CC33DA">
        <w:instrText xml:space="preserve"> ADDIN ZOTERO_ITEM CSL_CITATION {"citationID":"OvjUJGEE","properties":{"formattedCitation":"(Lecl\\uc0\\u232{}re et al., 2020)","plainCitation":"(Leclère et al., 2020)","noteIndex":0},"citationItems":[{"id":985,"uris":["http://zotero.org/users/11614317/items/7MULZUE6"],"itemData":{"id":985,"type":"article-journal","abstract":"Increased efforts are required to prevent further losses to terrestrial biodiversity and the ecosystem services that it  provides1,2. Ambitious targets have been proposed, such as reversing the declining trends in biodiversity3; however, just feeding the growing human population will make this a challenge4. Here we use an ensemble of land-use and biodiversity models to assess whether—and how—humanity can reverse the declines in terrestrial biodiversity caused by habitat conversion, which is a major threat to biodiversity5. We show that immediate efforts, consistent with the broader sustainability agenda but of unprecedented ambition and coordination, could enable the provision of food for the growing human population while reversing the global terrestrial biodiversity trends caused by habitat conversion. If we decide to increase the extent of land under conservation management, restore degraded land and generalize landscape-level conservation planning, biodiversity trends from habitat conversion could become positive by the mid-twenty-first century on average across models (confidence interval, 2042–2061), but this was not the case for all models. Food prices could increase and, on average across models, almost half (confidence interval, 34–50%) of the future biodiversity losses could not be avoided. However, additionally tackling the drivers of land-use change could avoid conflict with affordable food provision and reduces the environmental effects of the food-provision system. Through further sustainable intensification and trade, reduced food waste and more plant-based human diets, more than two thirds of future biodiversity losses are avoided and the biodiversity trends from habitat conversion are reversed by 2050 for almost all of the models. Although limiting further loss will remain challenging in several biodiversity-rich regions, and other threats—such as climate change—must be addressed to truly reverse the declines in biodiversity, our results show that ambitious conservation efforts and food system transformation are central to an effective post-2020 biodiversity strategy.","container-title":"Nature","DOI":"10.1038/s41586-020-2705-y","ISSN":"1476-4687","issue":"7826","language":"en","license":"2020 The Author(s), under exclusive licence to Springer Nature Limited","note":"publisher: Nature Publishing Group","page":"551-556","source":"www-nature-com.libproxy.aalto.fi","title":"Bending the curve of terrestrial biodiversity needs an integrated strategy","volume":"585","author":[{"family":"Leclère","given":"David"},{"family":"Obersteiner","given":"Michael"},{"family":"Barrett","given":"Mike"},{"family":"Butchart","given":"Stuart H. M."},{"family":"Chaudhary","given":"Abhishek"},{"family":"De Palma","given":"Adriana"},{"family":"DeClerck","given":"Fabrice A. J."},{"family":"Di Marco","given":"Moreno"},{"family":"Doelman","given":"Jonathan C."},{"family":"Dürauer","given":"Martina"},{"family":"Freeman","given":"Robin"},{"family":"Harfoot","given":"Michael"},{"family":"Hasegawa","given":"Tomoko"},{"family":"Hellweg","given":"Stefanie"},{"family":"Hilbers","given":"Jelle P."},{"family":"Hill","given":"Samantha L. L."},{"family":"Humpenöder","given":"Florian"},{"family":"Jennings","given":"Nancy"},{"family":"Krisztin","given":"Tamás"},{"family":"Mace","given":"Georgina M."},{"family":"Ohashi","given":"Haruka"},{"family":"Popp","given":"Alexander"},{"family":"Purvis","given":"Andy"},{"family":"Schipper","given":"Aafke M."},{"family":"Tabeau","given":"Andrzej"},{"family":"Valin","given":"Hugo"},{"family":"Meijl","given":"Hans","non-dropping-particle":"van"},{"family":"Zeist","given":"Willem-Jan","non-dropping-particle":"van"},{"family":"Visconti","given":"Piero"},{"family":"Alkemade","given":"Rob"},{"family":"Almond","given":"Rosamunde"},{"family":"Bunting","given":"Gill"},{"family":"Burgess","given":"Neil D."},{"family":"Cornell","given":"Sarah E."},{"family":"Di Fulvio","given":"Fulvio"},{"family":"Ferrier","given":"Simon"},{"family":"Fritz","given":"Steffen"},{"family":"Fujimori","given":"Shinichiro"},{"family":"Grooten","given":"Monique"},{"family":"Harwood","given":"Thomas"},{"family":"Havlík","given":"Petr"},{"family":"Herrero","given":"Mario"},{"family":"Hoskins","given":"Andrew J."},{"family":"Jung","given":"Martin"},{"family":"Kram","given":"Tom"},{"family":"Lotze-Campen","given":"Hermann"},{"family":"Matsui","given":"Tetsuya"},{"family":"Meyer","given":"Carsten"},{"family":"Nel","given":"Deon"},{"family":"Newbold","given":"Tim"},{"family":"Schmidt-Traub","given":"Guido"},{"family":"Stehfest","given":"Elke"},{"family":"Strassburg","given":"Bernardo B. N."},{"family":"Vuuren","given":"Detlef P.","non-dropping-particle":"van"},{"family":"Ware","given":"Chris"},{"family":"Watson","given":"James E. M."},{"family":"Wu","given":"Wenchao"},{"family":"Young","given":"Lucy"}],"issued":{"date-parts":[["2020",9]]}}}],"schema":"https://github.com/citation-style-language/schema/raw/master/csl-citation.json"} </w:instrText>
      </w:r>
      <w:r w:rsidR="00DF0089" w:rsidRPr="002A566E">
        <w:fldChar w:fldCharType="separate"/>
      </w:r>
      <w:r w:rsidR="00CC33DA" w:rsidRPr="00CC33DA">
        <w:rPr>
          <w:rFonts w:ascii="Aptos" w:hAnsi="Aptos" w:cs="Times New Roman"/>
          <w:kern w:val="0"/>
        </w:rPr>
        <w:t>(Leclère et al., 2020)</w:t>
      </w:r>
      <w:r w:rsidR="00DF0089" w:rsidRPr="002A566E">
        <w:fldChar w:fldCharType="end"/>
      </w:r>
      <w:r w:rsidRPr="002A566E">
        <w:t xml:space="preserve">. </w:t>
      </w:r>
      <w:r w:rsidR="004724AA">
        <w:t>This component made scenarios infeasible</w:t>
      </w:r>
      <w:r w:rsidR="00916311">
        <w:t xml:space="preserve">, likely because </w:t>
      </w:r>
      <w:r w:rsidR="00A84040">
        <w:t>the optimisation</w:t>
      </w:r>
      <w:r w:rsidR="00916311">
        <w:t xml:space="preserve"> </w:t>
      </w:r>
      <w:r w:rsidR="003520CD">
        <w:t>was not</w:t>
      </w:r>
      <w:r w:rsidR="00916311">
        <w:t xml:space="preserve"> able to </w:t>
      </w:r>
      <w:r w:rsidR="003520CD">
        <w:t>expand natural areas</w:t>
      </w:r>
      <w:r w:rsidR="00916311">
        <w:t xml:space="preserve"> </w:t>
      </w:r>
      <w:r w:rsidR="513BE32F">
        <w:t>by this</w:t>
      </w:r>
      <w:r w:rsidR="00916311">
        <w:t xml:space="preserve"> </w:t>
      </w:r>
      <w:r w:rsidR="513BE32F">
        <w:t>magnitude</w:t>
      </w:r>
      <w:r w:rsidR="00916311">
        <w:t xml:space="preserve"> </w:t>
      </w:r>
      <w:r w:rsidR="00916311" w:rsidRPr="00916311">
        <w:rPr>
          <w:i/>
          <w:iCs/>
        </w:rPr>
        <w:t>and</w:t>
      </w:r>
      <w:r w:rsidR="00916311">
        <w:t xml:space="preserve"> fulfil </w:t>
      </w:r>
      <w:r w:rsidR="472C72F5">
        <w:t xml:space="preserve">food and </w:t>
      </w:r>
      <w:r w:rsidR="00916311">
        <w:t>wood demands</w:t>
      </w:r>
      <w:r w:rsidR="003520CD">
        <w:t xml:space="preserve"> simultaneously</w:t>
      </w:r>
      <w:r w:rsidR="00E1131D">
        <w:t xml:space="preserve">. </w:t>
      </w:r>
      <w:r w:rsidR="003520CD">
        <w:t xml:space="preserve">Therefore, these </w:t>
      </w:r>
      <w:r w:rsidR="002D275E">
        <w:t>results are not further presented or discussed in th</w:t>
      </w:r>
      <w:r w:rsidR="00E4353F">
        <w:t>is</w:t>
      </w:r>
      <w:r w:rsidR="002D275E">
        <w:t xml:space="preserve"> paper.</w:t>
      </w:r>
    </w:p>
    <w:p w14:paraId="17E65788" w14:textId="77777777" w:rsidR="00267159" w:rsidRDefault="00267159" w:rsidP="00267159">
      <w:pPr>
        <w:spacing w:line="276" w:lineRule="auto"/>
        <w:jc w:val="both"/>
      </w:pPr>
    </w:p>
    <w:p w14:paraId="7AB8C11D" w14:textId="5761B0EA" w:rsidR="00267159" w:rsidRPr="00FC4EEF" w:rsidRDefault="00267159" w:rsidP="00267159">
      <w:pPr>
        <w:pStyle w:val="Heading3"/>
      </w:pPr>
      <w:bookmarkStart w:id="7" w:name="_Toc167708311"/>
      <w:bookmarkStart w:id="8" w:name="_Toc197023390"/>
      <w:r w:rsidRPr="00FC4EEF">
        <w:t xml:space="preserve">Biomaterial </w:t>
      </w:r>
      <w:bookmarkEnd w:id="7"/>
      <w:r>
        <w:t>utilisation</w:t>
      </w:r>
      <w:bookmarkEnd w:id="8"/>
    </w:p>
    <w:p w14:paraId="1CD56508" w14:textId="77D210A2" w:rsidR="00267159" w:rsidRDefault="00267159" w:rsidP="00267159">
      <w:pPr>
        <w:spacing w:line="276" w:lineRule="auto"/>
        <w:jc w:val="both"/>
      </w:pPr>
      <w:r w:rsidRPr="00F278D6">
        <w:t xml:space="preserve">The </w:t>
      </w:r>
      <w:r w:rsidRPr="00CB3F84">
        <w:rPr>
          <w:b/>
          <w:bCs/>
          <w:i/>
          <w:iCs/>
        </w:rPr>
        <w:t>Forestry as Usual</w:t>
      </w:r>
      <w:r w:rsidRPr="00F278D6">
        <w:t xml:space="preserve"> scenario follows SSP2-level demand for wood-derived products, including timber, paper, and pulp</w:t>
      </w:r>
      <w:r>
        <w:t xml:space="preserve"> </w:t>
      </w:r>
      <w:r w:rsidR="00DF0089">
        <w:fldChar w:fldCharType="begin"/>
      </w:r>
      <w:r w:rsidR="00DF0089">
        <w:instrText xml:space="preserve"> ADDIN ZOTERO_ITEM CSL_CITATION {"citationID":"4sufWuX3","properties":{"formattedCitation":"(IIASA, 2018)","plainCitation":"(IIASA, 2018)","noteIndex":0},"citationItems":[{"id":246,"uris":["http://zotero.org/users/11614317/items/XINSDLZI"],"itemData":{"id":246,"type":"dataset","title":"SSP Database","URL":"https://tntcat.iiasa.ac.at/SspDb/dsd?Action=htmlpage&amp;page=40","author":[{"literal":"IIASA"}],"accessed":{"date-parts":[["2023",12,7]]},"issued":{"date-parts":[["2018"]]}}}],"schema":"https://github.com/citation-style-language/schema/raw/master/csl-citation.json"} </w:instrText>
      </w:r>
      <w:r w:rsidR="00DF0089">
        <w:fldChar w:fldCharType="separate"/>
      </w:r>
      <w:r w:rsidR="00CC33DA" w:rsidRPr="00CC33DA">
        <w:rPr>
          <w:rFonts w:ascii="Aptos" w:hAnsi="Aptos"/>
        </w:rPr>
        <w:t>(IIASA, 2018)</w:t>
      </w:r>
      <w:r w:rsidR="00DF0089">
        <w:fldChar w:fldCharType="end"/>
      </w:r>
      <w:r w:rsidRPr="00F278D6">
        <w:t>.</w:t>
      </w:r>
      <w:r>
        <w:t xml:space="preserve"> </w:t>
      </w:r>
      <w:r w:rsidRPr="00F278D6">
        <w:t xml:space="preserve">The </w:t>
      </w:r>
      <w:r w:rsidRPr="00CB3F84">
        <w:rPr>
          <w:b/>
          <w:bCs/>
          <w:i/>
          <w:iCs/>
        </w:rPr>
        <w:t>Electronic Papers</w:t>
      </w:r>
      <w:r w:rsidRPr="00F278D6">
        <w:t xml:space="preserve"> scenario assumes a 90% shift of graphic paper use to digital formats, covering newspapers, magazines, books, and advertisements. </w:t>
      </w:r>
      <w:r w:rsidR="00380F42">
        <w:t>Following</w:t>
      </w:r>
      <w:r w:rsidR="00380F42" w:rsidRPr="00F278D6">
        <w:t xml:space="preserve"> 2020</w:t>
      </w:r>
      <w:r w:rsidR="00380F42">
        <w:t xml:space="preserve"> statistics</w:t>
      </w:r>
      <w:r w:rsidR="00380F42" w:rsidRPr="00F278D6">
        <w:t xml:space="preserve">, </w:t>
      </w:r>
      <w:r w:rsidR="00380F42">
        <w:t xml:space="preserve">we assume </w:t>
      </w:r>
      <w:r w:rsidR="00380F42" w:rsidRPr="00F278D6">
        <w:t>graphic paper account</w:t>
      </w:r>
      <w:r w:rsidR="00772E8D">
        <w:t>s</w:t>
      </w:r>
      <w:r w:rsidR="00380F42" w:rsidRPr="00F278D6">
        <w:t xml:space="preserve"> for</w:t>
      </w:r>
      <w:r w:rsidR="00380F42">
        <w:t xml:space="preserve"> </w:t>
      </w:r>
      <w:r w:rsidR="00380F42" w:rsidRPr="00F278D6">
        <w:t>24% of total paper demand</w:t>
      </w:r>
      <w:r w:rsidR="00380F42">
        <w:t xml:space="preserve"> </w:t>
      </w:r>
      <w:r w:rsidR="00DF0089">
        <w:fldChar w:fldCharType="begin"/>
      </w:r>
      <w:r w:rsidR="00DF0089">
        <w:instrText xml:space="preserve"> ADDIN ZOTERO_ITEM CSL_CITATION {"citationID":"5AVoi4uq","properties":{"formattedCitation":"(FAO, 2021)","plainCitation":"(FAO, 2021)","noteIndex":0},"citationItems":[{"id":1287,"uris":["http://zotero.org/users/11614317/items/H8XWZUFK"],"itemData":{"id":1287,"type":"report","event-place":"Rome","number":"ISSN 2664-7508","page":"158-196","publisher":"Food and Agricultural Organization of the United Nations","publisher-place":"Rome","title":"Pulp and Paper Capacities Survey 2020-2025","URL":"https://doi.org/10.4060/cb7300t","author":[{"literal":"FAO"}],"accessed":{"date-parts":[["2025",3,24]]},"issued":{"date-parts":[["2021"]]}}}],"schema":"https://github.com/citation-style-language/schema/raw/master/csl-citation.json"} </w:instrText>
      </w:r>
      <w:r w:rsidR="00DF0089">
        <w:fldChar w:fldCharType="separate"/>
      </w:r>
      <w:r w:rsidR="00CC33DA" w:rsidRPr="00CC33DA">
        <w:rPr>
          <w:rFonts w:ascii="Aptos" w:hAnsi="Aptos"/>
        </w:rPr>
        <w:t>(FAO, 2021)</w:t>
      </w:r>
      <w:r w:rsidR="00DF0089">
        <w:fldChar w:fldCharType="end"/>
      </w:r>
      <w:r w:rsidR="00380F42" w:rsidRPr="00F278D6">
        <w:t>.</w:t>
      </w:r>
      <w:r w:rsidR="00C675DC">
        <w:t xml:space="preserve"> </w:t>
      </w:r>
      <w:r w:rsidRPr="00F278D6">
        <w:t xml:space="preserve">To enhance urban carbon storage, the </w:t>
      </w:r>
      <w:r w:rsidRPr="00CB3F84">
        <w:rPr>
          <w:b/>
          <w:bCs/>
          <w:i/>
          <w:iCs/>
        </w:rPr>
        <w:t>Timber Cities</w:t>
      </w:r>
      <w:r w:rsidRPr="00F278D6">
        <w:t xml:space="preserve"> scenario follows </w:t>
      </w:r>
      <w:r>
        <w:fldChar w:fldCharType="begin"/>
      </w:r>
      <w:r>
        <w:instrText xml:space="preserve"> ADDIN ZOTERO_ITEM CSL_CITATION {"citationID":"Uayz2W0N","properties":{"formattedCitation":"(Mishra {\\i{}et al.}, 2022)","plainCitation":"(Mishra et al., 2022)","dontUpdate":true,"noteIndex":0},"citationItems":[{"id":1006,"uris":["http://zotero.org/users/11614317/items/VZAM9MJP"],"itemData":{"id":1006,"type":"article-journal","abstract":"Using engineered wood for construction has been discussed for climate change mitigation. It remains unclear where and in which way the additional demand for wooden construction material shall be fulfilled. Here we assess the global and regional impacts of increased demand for engineered wood on land use and associated CO2 emissions until 2100 using an open-source land system model. We show that if 90% of the new urban population would be housed in newly built urban mid-rise buildings with wooden constructions, 106 Gt of additional CO2 could be saved by 2100. Forest plantations would need to expand by up to 149 Mha by 2100 and harvests from unprotected natural forests would increase. Our results indicate that expansion of timber plantations for wooden buildings is possible without major repercussions on agricultural production. Strong governance and careful planning are required to ensure a sustainable transition to timber cities even if frontier forests and biodiversity hotspots are protected.","container-title":"Nature Communications","DOI":"10.1038/s41467-022-32244-w","ISSN":"2041-1723","issue":"1","journalAbbreviation":"Nat Commun","language":"en","license":"2022 The Author(s)","note":"publisher: Nature Publishing Group","page":"4889","source":"www-nature-com.libproxy.aalto.fi","title":"Land use change and carbon emissions of a transformation to timber cities","volume":"13","author":[{"family":"Mishra","given":"Abhijeet"},{"family":"Humpenöder","given":"Florian"},{"family":"Churkina","given":"Galina"},{"family":"Reyer","given":"Christopher P. O."},{"family":"Beier","given":"Felicitas"},{"family":"Bodirsky","given":"Benjamin Leon"},{"family":"Schellnhuber","given":"Hans Joachim"},{"family":"Lotze-Campen","given":"Hermann"},{"family":"Popp","given":"Alexander"}],"issued":{"date-parts":[["2022",8,30]]}}}],"schema":"https://github.com/citation-style-language/schema/raw/master/csl-citation.json"} </w:instrText>
      </w:r>
      <w:r>
        <w:fldChar w:fldCharType="separate"/>
      </w:r>
      <w:r w:rsidRPr="00496EDD">
        <w:rPr>
          <w:rFonts w:ascii="Aptos" w:hAnsi="Aptos" w:cs="Times New Roman"/>
          <w:kern w:val="0"/>
        </w:rPr>
        <w:t xml:space="preserve">Mishra </w:t>
      </w:r>
      <w:r w:rsidRPr="00496EDD">
        <w:rPr>
          <w:rFonts w:ascii="Aptos" w:hAnsi="Aptos" w:cs="Times New Roman"/>
          <w:i/>
          <w:iCs/>
          <w:kern w:val="0"/>
        </w:rPr>
        <w:t>et al.</w:t>
      </w:r>
      <w:r w:rsidRPr="00496EDD">
        <w:rPr>
          <w:rFonts w:ascii="Aptos" w:hAnsi="Aptos" w:cs="Times New Roman"/>
          <w:kern w:val="0"/>
        </w:rPr>
        <w:t xml:space="preserve"> </w:t>
      </w:r>
      <w:r>
        <w:rPr>
          <w:rFonts w:ascii="Aptos" w:hAnsi="Aptos" w:cs="Times New Roman"/>
          <w:kern w:val="0"/>
        </w:rPr>
        <w:t>(</w:t>
      </w:r>
      <w:r w:rsidRPr="00496EDD">
        <w:rPr>
          <w:rFonts w:ascii="Aptos" w:hAnsi="Aptos" w:cs="Times New Roman"/>
          <w:kern w:val="0"/>
        </w:rPr>
        <w:t>2022)</w:t>
      </w:r>
      <w:r>
        <w:fldChar w:fldCharType="end"/>
      </w:r>
      <w:r w:rsidRPr="00F278D6">
        <w:t xml:space="preserve">, assuming that half of new urban residential buildings are constructed with wood, thereby reducing </w:t>
      </w:r>
      <w:r w:rsidRPr="00F278D6">
        <w:lastRenderedPageBreak/>
        <w:t>cement demand</w:t>
      </w:r>
      <w:r>
        <w:t xml:space="preserve"> </w:t>
      </w:r>
      <w:r w:rsidRPr="009B1FFE">
        <w:t>(</w:t>
      </w:r>
      <w:r w:rsidRPr="009F6C20">
        <w:fldChar w:fldCharType="begin"/>
      </w:r>
      <w:r w:rsidRPr="009F6C20">
        <w:instrText xml:space="preserve"> REF _Ref165997206 \h  \* MERGEFORMAT </w:instrText>
      </w:r>
      <w:r w:rsidRPr="009F6C20">
        <w:fldChar w:fldCharType="separate"/>
      </w:r>
      <w:r w:rsidR="007B7678" w:rsidRPr="007B7678">
        <w:rPr>
          <w:b/>
          <w:bCs/>
        </w:rPr>
        <w:t xml:space="preserve">Table </w:t>
      </w:r>
      <w:r w:rsidR="007B7678" w:rsidRPr="007B7678">
        <w:rPr>
          <w:b/>
          <w:bCs/>
          <w:noProof/>
        </w:rPr>
        <w:t>1</w:t>
      </w:r>
      <w:r w:rsidRPr="009F6C20">
        <w:fldChar w:fldCharType="end"/>
      </w:r>
      <w:r w:rsidRPr="009F6C20">
        <w:t>)</w:t>
      </w:r>
      <w:r w:rsidRPr="00F278D6">
        <w:t xml:space="preserve">. Urbanization trends follow SSP2 projections for population growth and urban expansion </w:t>
      </w:r>
      <w:r w:rsidR="00DF0089">
        <w:fldChar w:fldCharType="begin"/>
      </w:r>
      <w:r w:rsidR="00CC33DA">
        <w:instrText xml:space="preserve"> ADDIN ZOTERO_ITEM CSL_CITATION {"citationID":"FTONWZus","properties":{"formattedCitation":"(IIASA, 2024, 2018)","plainCitation":"(IIASA, 2024, 2018)","noteIndex":0},"citationItems":[{"id":248,"uris":["http://zotero.org/users/11614317/items/P9YHISKD"],"itemData":{"id":248,"type":"dataset","title":"SSP Scenario Explorer (SSP 3.0, Release March 2024)","URL":"https://data.ece.iiasa.ac.at/ssp/#/workspaces","author":[{"literal":"IIASA"}],"accessed":{"date-parts":[["2024",3,19]]},"issued":{"date-parts":[["2024",3]]}}},{"id":246,"uris":["http://zotero.org/users/11614317/items/XINSDLZI"],"itemData":{"id":246,"type":"dataset","title":"SSP Database","URL":"https://tntcat.iiasa.ac.at/SspDb/dsd?Action=htmlpage&amp;page=40","author":[{"literal":"IIASA"}],"accessed":{"date-parts":[["2023",12,7]]},"issued":{"date-parts":[["2018"]]}}}],"schema":"https://github.com/citation-style-language/schema/raw/master/csl-citation.json"} </w:instrText>
      </w:r>
      <w:r w:rsidR="00DF0089">
        <w:fldChar w:fldCharType="separate"/>
      </w:r>
      <w:r w:rsidR="00CC33DA" w:rsidRPr="00CC33DA">
        <w:rPr>
          <w:rFonts w:ascii="Aptos" w:hAnsi="Aptos"/>
        </w:rPr>
        <w:t>(IIASA, 2024, 2018)</w:t>
      </w:r>
      <w:r w:rsidR="00DF0089">
        <w:fldChar w:fldCharType="end"/>
      </w:r>
      <w:r w:rsidRPr="00F278D6">
        <w:t>.</w:t>
      </w:r>
    </w:p>
    <w:p w14:paraId="4191A22C" w14:textId="77777777" w:rsidR="00267159" w:rsidRDefault="00267159" w:rsidP="00267159">
      <w:pPr>
        <w:spacing w:line="276" w:lineRule="auto"/>
        <w:jc w:val="both"/>
      </w:pPr>
    </w:p>
    <w:p w14:paraId="0B0749A7" w14:textId="47235F77" w:rsidR="00267159" w:rsidRPr="000A45A5" w:rsidRDefault="00267159" w:rsidP="00267159">
      <w:pPr>
        <w:pStyle w:val="Caption"/>
        <w:keepNext/>
        <w:jc w:val="both"/>
        <w:rPr>
          <w:color w:val="auto"/>
          <w:sz w:val="20"/>
          <w:szCs w:val="20"/>
        </w:rPr>
      </w:pPr>
      <w:bookmarkStart w:id="9" w:name="_Ref165997206"/>
      <w:r w:rsidRPr="000A3E9F">
        <w:rPr>
          <w:b/>
          <w:bCs/>
          <w:i w:val="0"/>
          <w:iCs w:val="0"/>
          <w:color w:val="auto"/>
          <w:sz w:val="20"/>
          <w:szCs w:val="20"/>
        </w:rPr>
        <w:t xml:space="preserve">Table </w:t>
      </w:r>
      <w:r w:rsidRPr="000A3E9F">
        <w:rPr>
          <w:b/>
          <w:bCs/>
          <w:i w:val="0"/>
          <w:iCs w:val="0"/>
          <w:color w:val="auto"/>
          <w:sz w:val="20"/>
          <w:szCs w:val="20"/>
        </w:rPr>
        <w:fldChar w:fldCharType="begin"/>
      </w:r>
      <w:r w:rsidRPr="000A3E9F">
        <w:rPr>
          <w:b/>
          <w:bCs/>
          <w:i w:val="0"/>
          <w:iCs w:val="0"/>
          <w:color w:val="auto"/>
          <w:sz w:val="20"/>
          <w:szCs w:val="20"/>
        </w:rPr>
        <w:instrText xml:space="preserve"> SEQ Table \* ARABIC </w:instrText>
      </w:r>
      <w:r w:rsidRPr="000A3E9F">
        <w:rPr>
          <w:b/>
          <w:bCs/>
          <w:i w:val="0"/>
          <w:iCs w:val="0"/>
          <w:color w:val="auto"/>
          <w:sz w:val="20"/>
          <w:szCs w:val="20"/>
        </w:rPr>
        <w:fldChar w:fldCharType="separate"/>
      </w:r>
      <w:r w:rsidR="007B7678">
        <w:rPr>
          <w:b/>
          <w:bCs/>
          <w:i w:val="0"/>
          <w:iCs w:val="0"/>
          <w:noProof/>
          <w:color w:val="auto"/>
          <w:sz w:val="20"/>
          <w:szCs w:val="20"/>
        </w:rPr>
        <w:t>1</w:t>
      </w:r>
      <w:r w:rsidRPr="000A3E9F">
        <w:rPr>
          <w:b/>
          <w:bCs/>
          <w:i w:val="0"/>
          <w:iCs w:val="0"/>
          <w:color w:val="auto"/>
          <w:sz w:val="20"/>
          <w:szCs w:val="20"/>
        </w:rPr>
        <w:fldChar w:fldCharType="end"/>
      </w:r>
      <w:bookmarkEnd w:id="9"/>
      <w:r w:rsidRPr="000A3E9F">
        <w:rPr>
          <w:b/>
          <w:bCs/>
          <w:i w:val="0"/>
          <w:iCs w:val="0"/>
          <w:color w:val="auto"/>
          <w:sz w:val="20"/>
          <w:szCs w:val="20"/>
        </w:rPr>
        <w:t>: Scenarios for wood-based products demand.</w:t>
      </w:r>
      <w:r w:rsidRPr="000A45A5">
        <w:rPr>
          <w:color w:val="auto"/>
          <w:sz w:val="20"/>
          <w:szCs w:val="20"/>
        </w:rPr>
        <w:t xml:space="preserve"> </w:t>
      </w:r>
      <w:r>
        <w:rPr>
          <w:color w:val="auto"/>
          <w:sz w:val="20"/>
          <w:szCs w:val="20"/>
        </w:rPr>
        <w:t xml:space="preserve">“Forestry as Usual” refers to the </w:t>
      </w:r>
      <w:r w:rsidRPr="00367141">
        <w:rPr>
          <w:color w:val="auto"/>
          <w:sz w:val="20"/>
          <w:szCs w:val="20"/>
        </w:rPr>
        <w:t>original demands for timber and paper in SuCCESs</w:t>
      </w:r>
      <w:r>
        <w:rPr>
          <w:color w:val="auto"/>
          <w:sz w:val="20"/>
          <w:szCs w:val="20"/>
        </w:rPr>
        <w:t>.</w:t>
      </w:r>
    </w:p>
    <w:tbl>
      <w:tblPr>
        <w:tblStyle w:val="PlainTable3"/>
        <w:tblW w:w="9706" w:type="dxa"/>
        <w:tblLook w:val="04A0" w:firstRow="1" w:lastRow="0" w:firstColumn="1" w:lastColumn="0" w:noHBand="0" w:noVBand="1"/>
      </w:tblPr>
      <w:tblGrid>
        <w:gridCol w:w="690"/>
        <w:gridCol w:w="1033"/>
        <w:gridCol w:w="992"/>
        <w:gridCol w:w="992"/>
        <w:gridCol w:w="1033"/>
        <w:gridCol w:w="992"/>
        <w:gridCol w:w="919"/>
        <w:gridCol w:w="1001"/>
        <w:gridCol w:w="1146"/>
        <w:gridCol w:w="908"/>
      </w:tblGrid>
      <w:tr w:rsidR="00267159" w:rsidRPr="004D62A0" w14:paraId="1AB6DDE1" w14:textId="77777777" w:rsidTr="03D9AF8F">
        <w:trPr>
          <w:cnfStyle w:val="100000000000" w:firstRow="1" w:lastRow="0" w:firstColumn="0" w:lastColumn="0" w:oddVBand="0" w:evenVBand="0" w:oddHBand="0" w:evenHBand="0" w:firstRowFirstColumn="0" w:firstRowLastColumn="0" w:lastRowFirstColumn="0" w:lastRowLastColumn="0"/>
          <w:trHeight w:val="365"/>
        </w:trPr>
        <w:tc>
          <w:tcPr>
            <w:cnfStyle w:val="001000000100" w:firstRow="0" w:lastRow="0" w:firstColumn="1" w:lastColumn="0" w:oddVBand="0" w:evenVBand="0" w:oddHBand="0" w:evenHBand="0" w:firstRowFirstColumn="1" w:firstRowLastColumn="0" w:lastRowFirstColumn="0" w:lastRowLastColumn="0"/>
            <w:tcW w:w="690" w:type="dxa"/>
            <w:tcBorders>
              <w:top w:val="single" w:sz="4" w:space="0" w:color="auto"/>
              <w:right w:val="single" w:sz="4" w:space="0" w:color="auto"/>
            </w:tcBorders>
            <w:noWrap/>
          </w:tcPr>
          <w:p w14:paraId="31A15313" w14:textId="77777777" w:rsidR="00267159" w:rsidRPr="004D62A0" w:rsidRDefault="00267159" w:rsidP="00662F5C">
            <w:pPr>
              <w:jc w:val="center"/>
              <w:rPr>
                <w:rFonts w:ascii="Aptos Narrow" w:eastAsia="Times New Roman" w:hAnsi="Aptos Narrow" w:cs="Times New Roman"/>
                <w:color w:val="000000"/>
                <w:kern w:val="0"/>
                <w:sz w:val="20"/>
                <w:szCs w:val="20"/>
                <w:lang w:eastAsia="en-GB"/>
                <w14:ligatures w14:val="none"/>
              </w:rPr>
            </w:pPr>
          </w:p>
        </w:tc>
        <w:tc>
          <w:tcPr>
            <w:tcW w:w="3017" w:type="dxa"/>
            <w:gridSpan w:val="3"/>
            <w:tcBorders>
              <w:top w:val="single" w:sz="4" w:space="0" w:color="auto"/>
              <w:left w:val="single" w:sz="4" w:space="0" w:color="auto"/>
              <w:right w:val="single" w:sz="4" w:space="0" w:color="auto"/>
            </w:tcBorders>
            <w:noWrap/>
            <w:vAlign w:val="center"/>
          </w:tcPr>
          <w:p w14:paraId="14FCDDB7" w14:textId="77777777" w:rsidR="00267159" w:rsidRPr="004D62A0" w:rsidRDefault="00267159" w:rsidP="00662F5C">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val="0"/>
                <w:bCs w:val="0"/>
                <w:caps w:val="0"/>
                <w:color w:val="000000"/>
                <w:kern w:val="0"/>
                <w:sz w:val="20"/>
                <w:szCs w:val="20"/>
                <w:lang w:val="de-AT" w:eastAsia="en-GB"/>
                <w14:ligatures w14:val="none"/>
              </w:rPr>
            </w:pPr>
            <w:r w:rsidRPr="004D62A0">
              <w:rPr>
                <w:rFonts w:eastAsia="Times New Roman" w:cs="Times New Roman"/>
                <w:color w:val="000000"/>
                <w:kern w:val="0"/>
                <w:sz w:val="20"/>
                <w:szCs w:val="20"/>
                <w:lang w:val="de-AT" w:eastAsia="en-GB"/>
                <w14:ligatures w14:val="none"/>
              </w:rPr>
              <w:t>Wood  demand</w:t>
            </w:r>
          </w:p>
          <w:p w14:paraId="43D278D7" w14:textId="77777777" w:rsidR="00267159" w:rsidRPr="004D62A0" w:rsidRDefault="00267159" w:rsidP="00662F5C">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val="0"/>
                <w:bCs w:val="0"/>
                <w:caps w:val="0"/>
                <w:color w:val="000000"/>
                <w:kern w:val="0"/>
                <w:sz w:val="20"/>
                <w:szCs w:val="20"/>
                <w:lang w:val="de-AT" w:eastAsia="en-GB"/>
                <w14:ligatures w14:val="none"/>
              </w:rPr>
            </w:pPr>
            <w:r w:rsidRPr="004D62A0">
              <w:rPr>
                <w:rFonts w:eastAsia="Times New Roman" w:cs="Times New Roman"/>
                <w:b w:val="0"/>
                <w:bCs w:val="0"/>
                <w:caps w:val="0"/>
                <w:color w:val="000000"/>
                <w:kern w:val="0"/>
                <w:sz w:val="20"/>
                <w:szCs w:val="20"/>
                <w:lang w:val="de-AT" w:eastAsia="en-GB"/>
                <w14:ligatures w14:val="none"/>
              </w:rPr>
              <w:t>(</w:t>
            </w:r>
            <w:proofErr w:type="spellStart"/>
            <w:r w:rsidRPr="004D62A0">
              <w:rPr>
                <w:rFonts w:eastAsia="Times New Roman" w:cs="Times New Roman"/>
                <w:b w:val="0"/>
                <w:bCs w:val="0"/>
                <w:caps w:val="0"/>
                <w:color w:val="000000"/>
                <w:kern w:val="0"/>
                <w:sz w:val="20"/>
                <w:szCs w:val="20"/>
                <w:lang w:val="de-AT" w:eastAsia="en-GB"/>
                <w14:ligatures w14:val="none"/>
              </w:rPr>
              <w:t>Mt</w:t>
            </w:r>
            <w:proofErr w:type="spellEnd"/>
            <w:r w:rsidRPr="004D62A0">
              <w:rPr>
                <w:rFonts w:eastAsia="Times New Roman" w:cs="Times New Roman"/>
                <w:b w:val="0"/>
                <w:bCs w:val="0"/>
                <w:caps w:val="0"/>
                <w:color w:val="000000"/>
                <w:kern w:val="0"/>
                <w:sz w:val="20"/>
                <w:szCs w:val="20"/>
                <w:lang w:val="de-AT" w:eastAsia="en-GB"/>
                <w14:ligatures w14:val="none"/>
              </w:rPr>
              <w:t xml:space="preserve"> DM ∙yr</w:t>
            </w:r>
            <w:r w:rsidRPr="004D62A0">
              <w:rPr>
                <w:rFonts w:eastAsia="Times New Roman" w:cs="Times New Roman"/>
                <w:b w:val="0"/>
                <w:bCs w:val="0"/>
                <w:caps w:val="0"/>
                <w:color w:val="000000"/>
                <w:kern w:val="0"/>
                <w:sz w:val="20"/>
                <w:szCs w:val="20"/>
                <w:vertAlign w:val="superscript"/>
                <w:lang w:val="de-AT" w:eastAsia="en-GB"/>
                <w14:ligatures w14:val="none"/>
              </w:rPr>
              <w:t>-1</w:t>
            </w:r>
            <w:r w:rsidRPr="004D62A0">
              <w:rPr>
                <w:rFonts w:eastAsia="Times New Roman" w:cs="Times New Roman"/>
                <w:b w:val="0"/>
                <w:bCs w:val="0"/>
                <w:caps w:val="0"/>
                <w:color w:val="000000"/>
                <w:kern w:val="0"/>
                <w:sz w:val="20"/>
                <w:szCs w:val="20"/>
                <w:lang w:val="de-AT" w:eastAsia="en-GB"/>
                <w14:ligatures w14:val="none"/>
              </w:rPr>
              <w:t>)</w:t>
            </w:r>
          </w:p>
        </w:tc>
        <w:tc>
          <w:tcPr>
            <w:tcW w:w="2944" w:type="dxa"/>
            <w:gridSpan w:val="3"/>
            <w:tcBorders>
              <w:top w:val="single" w:sz="4" w:space="0" w:color="auto"/>
              <w:left w:val="single" w:sz="4" w:space="0" w:color="auto"/>
            </w:tcBorders>
            <w:noWrap/>
            <w:vAlign w:val="center"/>
          </w:tcPr>
          <w:p w14:paraId="7C72B541" w14:textId="77777777" w:rsidR="00267159" w:rsidRPr="004D62A0" w:rsidRDefault="00267159" w:rsidP="00662F5C">
            <w:pPr>
              <w:jc w:val="center"/>
              <w:cnfStyle w:val="100000000000" w:firstRow="1" w:lastRow="0" w:firstColumn="0" w:lastColumn="0" w:oddVBand="0" w:evenVBand="0" w:oddHBand="0" w:evenHBand="0" w:firstRowFirstColumn="0" w:firstRowLastColumn="0" w:lastRowFirstColumn="0" w:lastRowLastColumn="0"/>
              <w:rPr>
                <w:b w:val="0"/>
                <w:bCs w:val="0"/>
                <w:caps w:val="0"/>
                <w:color w:val="000000"/>
                <w:sz w:val="20"/>
                <w:szCs w:val="20"/>
                <w:lang w:val="de-AT"/>
              </w:rPr>
            </w:pPr>
            <w:r w:rsidRPr="004D62A0">
              <w:rPr>
                <w:color w:val="000000"/>
                <w:sz w:val="20"/>
                <w:szCs w:val="20"/>
                <w:lang w:val="de-AT"/>
              </w:rPr>
              <w:t>cement  demand</w:t>
            </w:r>
          </w:p>
          <w:p w14:paraId="57A0870E" w14:textId="77777777" w:rsidR="00267159" w:rsidRPr="004D62A0" w:rsidRDefault="00267159" w:rsidP="00662F5C">
            <w:pPr>
              <w:jc w:val="center"/>
              <w:cnfStyle w:val="100000000000" w:firstRow="1" w:lastRow="0" w:firstColumn="0" w:lastColumn="0" w:oddVBand="0" w:evenVBand="0" w:oddHBand="0" w:evenHBand="0" w:firstRowFirstColumn="0" w:firstRowLastColumn="0" w:lastRowFirstColumn="0" w:lastRowLastColumn="0"/>
              <w:rPr>
                <w:color w:val="000000"/>
                <w:sz w:val="20"/>
                <w:szCs w:val="20"/>
                <w:lang w:val="de-AT"/>
              </w:rPr>
            </w:pPr>
            <w:r w:rsidRPr="004D62A0">
              <w:rPr>
                <w:rFonts w:eastAsia="Times New Roman" w:cs="Times New Roman"/>
                <w:b w:val="0"/>
                <w:bCs w:val="0"/>
                <w:caps w:val="0"/>
                <w:color w:val="000000"/>
                <w:kern w:val="0"/>
                <w:sz w:val="20"/>
                <w:szCs w:val="20"/>
                <w:lang w:val="de-AT" w:eastAsia="en-GB"/>
                <w14:ligatures w14:val="none"/>
              </w:rPr>
              <w:t>(</w:t>
            </w:r>
            <w:proofErr w:type="spellStart"/>
            <w:r w:rsidRPr="004D62A0">
              <w:rPr>
                <w:rFonts w:eastAsia="Times New Roman" w:cs="Times New Roman"/>
                <w:b w:val="0"/>
                <w:bCs w:val="0"/>
                <w:caps w:val="0"/>
                <w:color w:val="000000"/>
                <w:kern w:val="0"/>
                <w:sz w:val="20"/>
                <w:szCs w:val="20"/>
                <w:lang w:val="de-AT" w:eastAsia="en-GB"/>
                <w14:ligatures w14:val="none"/>
              </w:rPr>
              <w:t>Mt</w:t>
            </w:r>
            <w:proofErr w:type="spellEnd"/>
            <w:r w:rsidRPr="004D62A0">
              <w:rPr>
                <w:rFonts w:eastAsia="Times New Roman" w:cs="Times New Roman"/>
                <w:b w:val="0"/>
                <w:bCs w:val="0"/>
                <w:caps w:val="0"/>
                <w:color w:val="000000"/>
                <w:kern w:val="0"/>
                <w:sz w:val="20"/>
                <w:szCs w:val="20"/>
                <w:lang w:val="de-AT" w:eastAsia="en-GB"/>
                <w14:ligatures w14:val="none"/>
              </w:rPr>
              <w:t xml:space="preserve"> ∙yr</w:t>
            </w:r>
            <w:r w:rsidRPr="004D62A0">
              <w:rPr>
                <w:rFonts w:eastAsia="Times New Roman" w:cs="Times New Roman"/>
                <w:b w:val="0"/>
                <w:bCs w:val="0"/>
                <w:caps w:val="0"/>
                <w:color w:val="000000"/>
                <w:kern w:val="0"/>
                <w:sz w:val="20"/>
                <w:szCs w:val="20"/>
                <w:vertAlign w:val="superscript"/>
                <w:lang w:val="de-AT" w:eastAsia="en-GB"/>
                <w14:ligatures w14:val="none"/>
              </w:rPr>
              <w:t>-1</w:t>
            </w:r>
            <w:r w:rsidRPr="004D62A0">
              <w:rPr>
                <w:rFonts w:eastAsia="Times New Roman" w:cs="Times New Roman"/>
                <w:b w:val="0"/>
                <w:bCs w:val="0"/>
                <w:caps w:val="0"/>
                <w:color w:val="000000"/>
                <w:kern w:val="0"/>
                <w:sz w:val="20"/>
                <w:szCs w:val="20"/>
                <w:lang w:val="de-AT" w:eastAsia="en-GB"/>
                <w14:ligatures w14:val="none"/>
              </w:rPr>
              <w:t>)</w:t>
            </w:r>
          </w:p>
        </w:tc>
        <w:tc>
          <w:tcPr>
            <w:tcW w:w="3055" w:type="dxa"/>
            <w:gridSpan w:val="3"/>
            <w:tcBorders>
              <w:top w:val="single" w:sz="4" w:space="0" w:color="auto"/>
              <w:left w:val="single" w:sz="4" w:space="0" w:color="auto"/>
            </w:tcBorders>
          </w:tcPr>
          <w:p w14:paraId="446A1B72" w14:textId="77777777" w:rsidR="00267159" w:rsidRPr="004D62A0" w:rsidRDefault="00267159" w:rsidP="03D9AF8F">
            <w:pPr>
              <w:jc w:val="center"/>
              <w:cnfStyle w:val="100000000000" w:firstRow="1" w:lastRow="0" w:firstColumn="0" w:lastColumn="0" w:oddVBand="0" w:evenVBand="0" w:oddHBand="0" w:evenHBand="0" w:firstRowFirstColumn="0" w:firstRowLastColumn="0" w:lastRowFirstColumn="0" w:lastRowLastColumn="0"/>
              <w:rPr>
                <w:b w:val="0"/>
                <w:bCs w:val="0"/>
                <w:caps w:val="0"/>
                <w:color w:val="000000"/>
                <w:sz w:val="20"/>
                <w:szCs w:val="20"/>
              </w:rPr>
            </w:pPr>
            <w:r w:rsidRPr="03D9AF8F">
              <w:rPr>
                <w:color w:val="000000" w:themeColor="text1"/>
                <w:sz w:val="20"/>
                <w:szCs w:val="20"/>
              </w:rPr>
              <w:t>Paper  demand</w:t>
            </w:r>
          </w:p>
          <w:p w14:paraId="35ABCBD1" w14:textId="4FDF6AA6" w:rsidR="00267159" w:rsidRPr="004D62A0" w:rsidRDefault="00267159" w:rsidP="00662F5C">
            <w:pPr>
              <w:jc w:val="center"/>
              <w:cnfStyle w:val="100000000000" w:firstRow="1" w:lastRow="0" w:firstColumn="0" w:lastColumn="0" w:oddVBand="0" w:evenVBand="0" w:oddHBand="0" w:evenHBand="0" w:firstRowFirstColumn="0" w:firstRowLastColumn="0" w:lastRowFirstColumn="0" w:lastRowLastColumn="0"/>
              <w:rPr>
                <w:color w:val="000000"/>
                <w:sz w:val="20"/>
                <w:szCs w:val="20"/>
              </w:rPr>
            </w:pPr>
            <w:r w:rsidRPr="03D9AF8F">
              <w:rPr>
                <w:rFonts w:eastAsia="Times New Roman" w:cs="Times New Roman"/>
                <w:b w:val="0"/>
                <w:bCs w:val="0"/>
                <w:caps w:val="0"/>
                <w:color w:val="000000"/>
                <w:kern w:val="0"/>
                <w:sz w:val="20"/>
                <w:szCs w:val="20"/>
                <w:lang w:val="de-AT" w:eastAsia="en-GB"/>
                <w14:ligatures w14:val="none"/>
              </w:rPr>
              <w:t>(</w:t>
            </w:r>
            <w:proofErr w:type="spellStart"/>
            <w:r w:rsidRPr="03D9AF8F">
              <w:rPr>
                <w:rFonts w:eastAsia="Times New Roman" w:cs="Times New Roman"/>
                <w:b w:val="0"/>
                <w:bCs w:val="0"/>
                <w:caps w:val="0"/>
                <w:color w:val="000000"/>
                <w:kern w:val="0"/>
                <w:sz w:val="20"/>
                <w:szCs w:val="20"/>
                <w:lang w:val="de-AT" w:eastAsia="en-GB"/>
                <w14:ligatures w14:val="none"/>
              </w:rPr>
              <w:t>Mt</w:t>
            </w:r>
            <w:proofErr w:type="spellEnd"/>
            <w:r w:rsidRPr="03D9AF8F">
              <w:rPr>
                <w:rFonts w:eastAsia="Times New Roman" w:cs="Times New Roman"/>
                <w:b w:val="0"/>
                <w:bCs w:val="0"/>
                <w:caps w:val="0"/>
                <w:color w:val="000000"/>
                <w:kern w:val="0"/>
                <w:sz w:val="20"/>
                <w:szCs w:val="20"/>
                <w:lang w:val="de-AT" w:eastAsia="en-GB"/>
                <w14:ligatures w14:val="none"/>
              </w:rPr>
              <w:t xml:space="preserve"> ∙yr</w:t>
            </w:r>
            <w:r w:rsidRPr="03D9AF8F">
              <w:rPr>
                <w:rFonts w:eastAsia="Times New Roman" w:cs="Times New Roman"/>
                <w:b w:val="0"/>
                <w:bCs w:val="0"/>
                <w:caps w:val="0"/>
                <w:color w:val="000000"/>
                <w:kern w:val="0"/>
                <w:sz w:val="20"/>
                <w:szCs w:val="20"/>
                <w:vertAlign w:val="superscript"/>
                <w:lang w:val="de-AT" w:eastAsia="en-GB"/>
                <w14:ligatures w14:val="none"/>
              </w:rPr>
              <w:t>-1</w:t>
            </w:r>
            <w:r w:rsidRPr="03D9AF8F">
              <w:rPr>
                <w:rFonts w:eastAsia="Times New Roman" w:cs="Times New Roman"/>
                <w:b w:val="0"/>
                <w:bCs w:val="0"/>
                <w:caps w:val="0"/>
                <w:color w:val="000000"/>
                <w:kern w:val="0"/>
                <w:sz w:val="20"/>
                <w:szCs w:val="20"/>
                <w:lang w:val="de-AT" w:eastAsia="en-GB"/>
                <w14:ligatures w14:val="none"/>
              </w:rPr>
              <w:t>)</w:t>
            </w:r>
          </w:p>
        </w:tc>
      </w:tr>
      <w:tr w:rsidR="00267159" w:rsidRPr="004D62A0" w14:paraId="087250E9" w14:textId="77777777" w:rsidTr="03D9AF8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90" w:type="dxa"/>
            <w:noWrap/>
            <w:vAlign w:val="center"/>
            <w:hideMark/>
          </w:tcPr>
          <w:p w14:paraId="746AC91E" w14:textId="77777777" w:rsidR="00267159" w:rsidRPr="004D62A0" w:rsidRDefault="00267159" w:rsidP="00662F5C">
            <w:pPr>
              <w:jc w:val="right"/>
              <w:rPr>
                <w:rFonts w:ascii="Aptos Narrow" w:eastAsia="Times New Roman" w:hAnsi="Aptos Narrow" w:cs="Times New Roman"/>
                <w:color w:val="000000"/>
                <w:kern w:val="0"/>
                <w:sz w:val="20"/>
                <w:szCs w:val="20"/>
                <w:lang w:eastAsia="en-GB"/>
                <w14:ligatures w14:val="none"/>
              </w:rPr>
            </w:pPr>
          </w:p>
        </w:tc>
        <w:tc>
          <w:tcPr>
            <w:tcW w:w="1033" w:type="dxa"/>
            <w:noWrap/>
            <w:hideMark/>
          </w:tcPr>
          <w:p w14:paraId="3FB26F92" w14:textId="77777777" w:rsidR="00267159" w:rsidRPr="004D62A0"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b/>
                <w:bCs/>
                <w:color w:val="000000"/>
                <w:kern w:val="0"/>
                <w:sz w:val="20"/>
                <w:szCs w:val="20"/>
                <w:lang w:eastAsia="en-GB"/>
                <w14:ligatures w14:val="none"/>
              </w:rPr>
            </w:pPr>
            <w:r>
              <w:rPr>
                <w:rFonts w:ascii="Aptos Narrow" w:eastAsia="Times New Roman" w:hAnsi="Aptos Narrow" w:cs="Times New Roman"/>
                <w:b/>
                <w:bCs/>
                <w:color w:val="000000"/>
                <w:kern w:val="0"/>
                <w:sz w:val="20"/>
                <w:szCs w:val="20"/>
                <w:lang w:eastAsia="en-GB"/>
                <w14:ligatures w14:val="none"/>
              </w:rPr>
              <w:t>Forestry as Usual</w:t>
            </w:r>
          </w:p>
        </w:tc>
        <w:tc>
          <w:tcPr>
            <w:tcW w:w="992" w:type="dxa"/>
            <w:noWrap/>
            <w:hideMark/>
          </w:tcPr>
          <w:p w14:paraId="3B6F0EA1" w14:textId="77777777" w:rsidR="00267159" w:rsidRPr="004D62A0"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b/>
                <w:bCs/>
                <w:color w:val="000000"/>
                <w:kern w:val="0"/>
                <w:sz w:val="20"/>
                <w:szCs w:val="20"/>
                <w:lang w:eastAsia="en-GB"/>
                <w14:ligatures w14:val="none"/>
              </w:rPr>
            </w:pPr>
            <w:r w:rsidRPr="004D62A0">
              <w:rPr>
                <w:rFonts w:ascii="Aptos Narrow" w:eastAsia="Times New Roman" w:hAnsi="Aptos Narrow" w:cs="Times New Roman"/>
                <w:b/>
                <w:bCs/>
                <w:color w:val="000000"/>
                <w:kern w:val="0"/>
                <w:sz w:val="20"/>
                <w:szCs w:val="20"/>
                <w:lang w:eastAsia="en-GB"/>
                <w14:ligatures w14:val="none"/>
              </w:rPr>
              <w:t>Timber Cities</w:t>
            </w:r>
          </w:p>
        </w:tc>
        <w:tc>
          <w:tcPr>
            <w:tcW w:w="992" w:type="dxa"/>
            <w:tcBorders>
              <w:right w:val="single" w:sz="4" w:space="0" w:color="auto"/>
            </w:tcBorders>
            <w:noWrap/>
            <w:hideMark/>
          </w:tcPr>
          <w:p w14:paraId="2E91011E" w14:textId="77777777" w:rsidR="00267159" w:rsidRPr="004D62A0"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b/>
                <w:bCs/>
                <w:color w:val="000000"/>
                <w:kern w:val="0"/>
                <w:sz w:val="20"/>
                <w:szCs w:val="20"/>
                <w:lang w:eastAsia="en-GB"/>
                <w14:ligatures w14:val="none"/>
              </w:rPr>
            </w:pPr>
            <w:r w:rsidRPr="004D62A0">
              <w:rPr>
                <w:rFonts w:ascii="Aptos Narrow" w:eastAsia="Times New Roman" w:hAnsi="Aptos Narrow" w:cs="Times New Roman"/>
                <w:b/>
                <w:bCs/>
                <w:color w:val="000000"/>
                <w:kern w:val="0"/>
                <w:sz w:val="20"/>
                <w:szCs w:val="20"/>
                <w:lang w:eastAsia="en-GB"/>
                <w14:ligatures w14:val="none"/>
              </w:rPr>
              <w:t>Change</w:t>
            </w:r>
          </w:p>
        </w:tc>
        <w:tc>
          <w:tcPr>
            <w:tcW w:w="1033" w:type="dxa"/>
            <w:tcBorders>
              <w:left w:val="single" w:sz="4" w:space="0" w:color="auto"/>
            </w:tcBorders>
            <w:noWrap/>
            <w:hideMark/>
          </w:tcPr>
          <w:p w14:paraId="0BE4B272" w14:textId="77777777" w:rsidR="00267159" w:rsidRPr="004D62A0"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b/>
                <w:bCs/>
                <w:color w:val="000000"/>
                <w:kern w:val="0"/>
                <w:sz w:val="20"/>
                <w:szCs w:val="20"/>
                <w:lang w:eastAsia="en-GB"/>
                <w14:ligatures w14:val="none"/>
              </w:rPr>
            </w:pPr>
            <w:r>
              <w:rPr>
                <w:rFonts w:ascii="Aptos Narrow" w:eastAsia="Times New Roman" w:hAnsi="Aptos Narrow" w:cs="Times New Roman"/>
                <w:b/>
                <w:bCs/>
                <w:color w:val="000000"/>
                <w:kern w:val="0"/>
                <w:sz w:val="20"/>
                <w:szCs w:val="20"/>
                <w:lang w:eastAsia="en-GB"/>
                <w14:ligatures w14:val="none"/>
              </w:rPr>
              <w:t>Forestry as Usual</w:t>
            </w:r>
          </w:p>
        </w:tc>
        <w:tc>
          <w:tcPr>
            <w:tcW w:w="992" w:type="dxa"/>
            <w:noWrap/>
            <w:hideMark/>
          </w:tcPr>
          <w:p w14:paraId="5F9E6B05" w14:textId="77777777" w:rsidR="00267159" w:rsidRPr="004D62A0"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b/>
                <w:bCs/>
                <w:color w:val="000000"/>
                <w:kern w:val="0"/>
                <w:sz w:val="20"/>
                <w:szCs w:val="20"/>
                <w:lang w:eastAsia="en-GB"/>
                <w14:ligatures w14:val="none"/>
              </w:rPr>
            </w:pPr>
            <w:r w:rsidRPr="004D62A0">
              <w:rPr>
                <w:rFonts w:ascii="Aptos Narrow" w:eastAsia="Times New Roman" w:hAnsi="Aptos Narrow" w:cs="Times New Roman"/>
                <w:b/>
                <w:bCs/>
                <w:color w:val="000000"/>
                <w:kern w:val="0"/>
                <w:sz w:val="20"/>
                <w:szCs w:val="20"/>
                <w:lang w:eastAsia="en-GB"/>
                <w14:ligatures w14:val="none"/>
              </w:rPr>
              <w:t>Timber Cities</w:t>
            </w:r>
          </w:p>
        </w:tc>
        <w:tc>
          <w:tcPr>
            <w:tcW w:w="919" w:type="dxa"/>
            <w:tcBorders>
              <w:top w:val="single" w:sz="4" w:space="0" w:color="7F7F7F" w:themeColor="text1" w:themeTint="80"/>
              <w:right w:val="single" w:sz="4" w:space="0" w:color="auto"/>
            </w:tcBorders>
          </w:tcPr>
          <w:p w14:paraId="5B7C9414" w14:textId="77777777" w:rsidR="00267159" w:rsidRPr="004D62A0"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b/>
                <w:bCs/>
                <w:color w:val="000000"/>
                <w:kern w:val="0"/>
                <w:sz w:val="20"/>
                <w:szCs w:val="20"/>
                <w:lang w:eastAsia="en-GB"/>
                <w14:ligatures w14:val="none"/>
              </w:rPr>
            </w:pPr>
            <w:r w:rsidRPr="004D62A0">
              <w:rPr>
                <w:rFonts w:ascii="Aptos Narrow" w:hAnsi="Aptos Narrow"/>
                <w:b/>
                <w:bCs/>
                <w:color w:val="000000"/>
                <w:sz w:val="20"/>
                <w:szCs w:val="20"/>
              </w:rPr>
              <w:t>Change</w:t>
            </w:r>
          </w:p>
        </w:tc>
        <w:tc>
          <w:tcPr>
            <w:tcW w:w="1001" w:type="dxa"/>
            <w:tcBorders>
              <w:left w:val="single" w:sz="4" w:space="0" w:color="auto"/>
            </w:tcBorders>
          </w:tcPr>
          <w:p w14:paraId="5549A75E" w14:textId="77777777" w:rsidR="00267159" w:rsidRPr="004D62A0"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Narrow" w:hAnsi="Aptos Narrow"/>
                <w:b/>
                <w:bCs/>
                <w:color w:val="000000"/>
                <w:sz w:val="20"/>
                <w:szCs w:val="20"/>
              </w:rPr>
            </w:pPr>
            <w:r>
              <w:rPr>
                <w:rFonts w:ascii="Aptos Narrow" w:eastAsia="Times New Roman" w:hAnsi="Aptos Narrow" w:cs="Times New Roman"/>
                <w:b/>
                <w:bCs/>
                <w:color w:val="000000"/>
                <w:kern w:val="0"/>
                <w:sz w:val="20"/>
                <w:szCs w:val="20"/>
                <w:lang w:eastAsia="en-GB"/>
                <w14:ligatures w14:val="none"/>
              </w:rPr>
              <w:t>Forestry as Usual</w:t>
            </w:r>
          </w:p>
        </w:tc>
        <w:tc>
          <w:tcPr>
            <w:tcW w:w="1146" w:type="dxa"/>
          </w:tcPr>
          <w:p w14:paraId="05A6B4C4" w14:textId="77777777" w:rsidR="00267159" w:rsidRPr="004D62A0"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Narrow" w:hAnsi="Aptos Narrow"/>
                <w:b/>
                <w:bCs/>
                <w:color w:val="000000"/>
                <w:sz w:val="20"/>
                <w:szCs w:val="20"/>
              </w:rPr>
            </w:pPr>
            <w:r w:rsidRPr="004D62A0">
              <w:rPr>
                <w:rFonts w:ascii="Aptos Narrow" w:hAnsi="Aptos Narrow"/>
                <w:b/>
                <w:bCs/>
                <w:color w:val="000000"/>
                <w:sz w:val="20"/>
                <w:szCs w:val="20"/>
              </w:rPr>
              <w:t>Electronic Papers</w:t>
            </w:r>
          </w:p>
        </w:tc>
        <w:tc>
          <w:tcPr>
            <w:tcW w:w="908" w:type="dxa"/>
          </w:tcPr>
          <w:p w14:paraId="67718118" w14:textId="77777777" w:rsidR="00267159" w:rsidRPr="004D62A0"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Narrow" w:hAnsi="Aptos Narrow"/>
                <w:b/>
                <w:bCs/>
                <w:color w:val="000000"/>
                <w:sz w:val="20"/>
                <w:szCs w:val="20"/>
              </w:rPr>
            </w:pPr>
            <w:r w:rsidRPr="004D62A0">
              <w:rPr>
                <w:rFonts w:ascii="Aptos Narrow" w:hAnsi="Aptos Narrow"/>
                <w:b/>
                <w:bCs/>
                <w:color w:val="000000"/>
                <w:sz w:val="20"/>
                <w:szCs w:val="20"/>
              </w:rPr>
              <w:t>Change</w:t>
            </w:r>
          </w:p>
        </w:tc>
      </w:tr>
      <w:tr w:rsidR="00267159" w:rsidRPr="004D62A0" w14:paraId="61F137BA" w14:textId="77777777" w:rsidTr="03D9AF8F">
        <w:trPr>
          <w:trHeight w:val="288"/>
        </w:trPr>
        <w:tc>
          <w:tcPr>
            <w:cnfStyle w:val="001000000000" w:firstRow="0" w:lastRow="0" w:firstColumn="1" w:lastColumn="0" w:oddVBand="0" w:evenVBand="0" w:oddHBand="0" w:evenHBand="0" w:firstRowFirstColumn="0" w:firstRowLastColumn="0" w:lastRowFirstColumn="0" w:lastRowLastColumn="0"/>
            <w:tcW w:w="0" w:type="dxa"/>
            <w:noWrap/>
            <w:vAlign w:val="center"/>
            <w:hideMark/>
          </w:tcPr>
          <w:p w14:paraId="2496B04C" w14:textId="77777777" w:rsidR="00267159" w:rsidRPr="004D62A0" w:rsidRDefault="00267159" w:rsidP="00662F5C">
            <w:pPr>
              <w:jc w:val="right"/>
              <w:rPr>
                <w:rFonts w:eastAsia="Times New Roman" w:cs="Times New Roman"/>
                <w:color w:val="000000"/>
                <w:kern w:val="0"/>
                <w:sz w:val="20"/>
                <w:szCs w:val="20"/>
                <w:lang w:eastAsia="en-GB"/>
                <w14:ligatures w14:val="none"/>
              </w:rPr>
            </w:pPr>
            <w:r w:rsidRPr="004D62A0">
              <w:rPr>
                <w:rFonts w:eastAsia="Times New Roman" w:cs="Times New Roman"/>
                <w:color w:val="000000"/>
                <w:kern w:val="0"/>
                <w:sz w:val="20"/>
                <w:szCs w:val="20"/>
                <w:lang w:eastAsia="en-GB"/>
                <w14:ligatures w14:val="none"/>
              </w:rPr>
              <w:t>2020</w:t>
            </w:r>
          </w:p>
        </w:tc>
        <w:tc>
          <w:tcPr>
            <w:tcW w:w="0" w:type="dxa"/>
            <w:noWrap/>
            <w:vAlign w:val="center"/>
            <w:hideMark/>
          </w:tcPr>
          <w:p w14:paraId="43F6092F" w14:textId="77777777" w:rsidR="00267159" w:rsidRPr="004D62A0" w:rsidRDefault="00267159" w:rsidP="00662F5C">
            <w:pPr>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rFonts w:eastAsia="Times New Roman" w:cs="Times New Roman"/>
                <w:color w:val="000000"/>
                <w:kern w:val="0"/>
                <w:sz w:val="20"/>
                <w:szCs w:val="20"/>
                <w:lang w:eastAsia="en-GB"/>
                <w14:ligatures w14:val="none"/>
              </w:rPr>
              <w:t>780</w:t>
            </w:r>
          </w:p>
        </w:tc>
        <w:tc>
          <w:tcPr>
            <w:tcW w:w="0" w:type="dxa"/>
            <w:noWrap/>
            <w:vAlign w:val="center"/>
            <w:hideMark/>
          </w:tcPr>
          <w:p w14:paraId="50CB250B" w14:textId="77777777" w:rsidR="00267159" w:rsidRPr="004D62A0" w:rsidRDefault="00267159" w:rsidP="00662F5C">
            <w:pPr>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rFonts w:eastAsia="Times New Roman" w:cs="Times New Roman"/>
                <w:color w:val="000000"/>
                <w:kern w:val="0"/>
                <w:sz w:val="20"/>
                <w:szCs w:val="20"/>
                <w:lang w:eastAsia="en-GB"/>
                <w14:ligatures w14:val="none"/>
              </w:rPr>
              <w:t>780</w:t>
            </w:r>
          </w:p>
        </w:tc>
        <w:tc>
          <w:tcPr>
            <w:tcW w:w="0" w:type="dxa"/>
            <w:tcBorders>
              <w:right w:val="single" w:sz="4" w:space="0" w:color="auto"/>
            </w:tcBorders>
            <w:noWrap/>
            <w:vAlign w:val="center"/>
            <w:hideMark/>
          </w:tcPr>
          <w:p w14:paraId="1C58F017" w14:textId="77777777" w:rsidR="00267159" w:rsidRPr="004D62A0" w:rsidRDefault="00267159" w:rsidP="00662F5C">
            <w:pPr>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rFonts w:eastAsia="Times New Roman" w:cs="Times New Roman"/>
                <w:color w:val="000000"/>
                <w:kern w:val="0"/>
                <w:sz w:val="20"/>
                <w:szCs w:val="20"/>
                <w:lang w:eastAsia="en-GB"/>
                <w14:ligatures w14:val="none"/>
              </w:rPr>
              <w:t>0%</w:t>
            </w:r>
          </w:p>
        </w:tc>
        <w:tc>
          <w:tcPr>
            <w:tcW w:w="0" w:type="dxa"/>
            <w:tcBorders>
              <w:left w:val="single" w:sz="4" w:space="0" w:color="auto"/>
            </w:tcBorders>
            <w:noWrap/>
            <w:vAlign w:val="center"/>
            <w:hideMark/>
          </w:tcPr>
          <w:p w14:paraId="1AFF54B6" w14:textId="77777777" w:rsidR="00267159" w:rsidRPr="004D62A0" w:rsidRDefault="00267159" w:rsidP="00662F5C">
            <w:pPr>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rFonts w:eastAsia="Times New Roman" w:cs="Times New Roman"/>
                <w:color w:val="000000"/>
                <w:kern w:val="0"/>
                <w:sz w:val="20"/>
                <w:szCs w:val="20"/>
                <w:lang w:eastAsia="en-GB"/>
                <w14:ligatures w14:val="none"/>
              </w:rPr>
              <w:t>4050</w:t>
            </w:r>
          </w:p>
        </w:tc>
        <w:tc>
          <w:tcPr>
            <w:tcW w:w="0" w:type="dxa"/>
            <w:noWrap/>
            <w:vAlign w:val="center"/>
            <w:hideMark/>
          </w:tcPr>
          <w:p w14:paraId="50617FFD" w14:textId="77777777" w:rsidR="00267159" w:rsidRPr="004D62A0" w:rsidRDefault="00267159" w:rsidP="00662F5C">
            <w:pPr>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sz w:val="20"/>
                <w:szCs w:val="20"/>
              </w:rPr>
              <w:t>4050</w:t>
            </w:r>
          </w:p>
        </w:tc>
        <w:tc>
          <w:tcPr>
            <w:tcW w:w="0" w:type="dxa"/>
            <w:tcBorders>
              <w:right w:val="single" w:sz="4" w:space="0" w:color="auto"/>
            </w:tcBorders>
            <w:vAlign w:val="center"/>
          </w:tcPr>
          <w:p w14:paraId="4777FDC1" w14:textId="77777777" w:rsidR="00267159" w:rsidRPr="004D62A0" w:rsidRDefault="00267159" w:rsidP="00662F5C">
            <w:pPr>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rFonts w:ascii="Aptos Narrow" w:hAnsi="Aptos Narrow"/>
                <w:color w:val="000000"/>
                <w:sz w:val="20"/>
                <w:szCs w:val="20"/>
              </w:rPr>
              <w:t>0%</w:t>
            </w:r>
          </w:p>
        </w:tc>
        <w:tc>
          <w:tcPr>
            <w:tcW w:w="0" w:type="dxa"/>
            <w:tcBorders>
              <w:left w:val="single" w:sz="4" w:space="0" w:color="auto"/>
            </w:tcBorders>
            <w:vAlign w:val="center"/>
          </w:tcPr>
          <w:p w14:paraId="614E9DB8" w14:textId="77777777" w:rsidR="00267159" w:rsidRPr="004D62A0" w:rsidRDefault="00267159" w:rsidP="00662F5C">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4D62A0">
              <w:rPr>
                <w:color w:val="000000"/>
                <w:sz w:val="20"/>
                <w:szCs w:val="20"/>
              </w:rPr>
              <w:t>116</w:t>
            </w:r>
          </w:p>
        </w:tc>
        <w:tc>
          <w:tcPr>
            <w:tcW w:w="0" w:type="dxa"/>
            <w:vAlign w:val="center"/>
          </w:tcPr>
          <w:p w14:paraId="2005760F" w14:textId="77777777" w:rsidR="00267159" w:rsidRPr="004D62A0" w:rsidRDefault="00267159" w:rsidP="00662F5C">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4D62A0">
              <w:rPr>
                <w:color w:val="000000"/>
                <w:sz w:val="20"/>
                <w:szCs w:val="20"/>
              </w:rPr>
              <w:t>116</w:t>
            </w:r>
          </w:p>
        </w:tc>
        <w:tc>
          <w:tcPr>
            <w:tcW w:w="0" w:type="dxa"/>
            <w:vAlign w:val="center"/>
          </w:tcPr>
          <w:p w14:paraId="0C8EEB9A" w14:textId="77777777" w:rsidR="00267159" w:rsidRPr="004D62A0" w:rsidRDefault="00267159" w:rsidP="00662F5C">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4D62A0">
              <w:rPr>
                <w:color w:val="000000"/>
                <w:sz w:val="20"/>
                <w:szCs w:val="20"/>
              </w:rPr>
              <w:t>0%</w:t>
            </w:r>
          </w:p>
        </w:tc>
      </w:tr>
      <w:tr w:rsidR="00267159" w:rsidRPr="004D62A0" w14:paraId="05CEC541" w14:textId="77777777" w:rsidTr="03D9AF8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dxa"/>
            <w:noWrap/>
            <w:vAlign w:val="center"/>
            <w:hideMark/>
          </w:tcPr>
          <w:p w14:paraId="7DF3D107" w14:textId="77777777" w:rsidR="00267159" w:rsidRPr="004D62A0" w:rsidRDefault="00267159" w:rsidP="00662F5C">
            <w:pPr>
              <w:jc w:val="right"/>
              <w:rPr>
                <w:rFonts w:eastAsia="Times New Roman" w:cs="Times New Roman"/>
                <w:color w:val="000000"/>
                <w:kern w:val="0"/>
                <w:sz w:val="20"/>
                <w:szCs w:val="20"/>
                <w:lang w:eastAsia="en-GB"/>
                <w14:ligatures w14:val="none"/>
              </w:rPr>
            </w:pPr>
            <w:r w:rsidRPr="004D62A0">
              <w:rPr>
                <w:rFonts w:eastAsia="Times New Roman" w:cs="Times New Roman"/>
                <w:color w:val="000000"/>
                <w:kern w:val="0"/>
                <w:sz w:val="20"/>
                <w:szCs w:val="20"/>
                <w:lang w:eastAsia="en-GB"/>
                <w14:ligatures w14:val="none"/>
              </w:rPr>
              <w:t>2030</w:t>
            </w:r>
          </w:p>
        </w:tc>
        <w:tc>
          <w:tcPr>
            <w:tcW w:w="0" w:type="dxa"/>
            <w:noWrap/>
            <w:vAlign w:val="center"/>
            <w:hideMark/>
          </w:tcPr>
          <w:p w14:paraId="0DA7006B" w14:textId="77777777" w:rsidR="00267159" w:rsidRPr="004D62A0" w:rsidRDefault="00267159" w:rsidP="00662F5C">
            <w:pPr>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rFonts w:eastAsia="Times New Roman" w:cs="Times New Roman"/>
                <w:color w:val="000000"/>
                <w:kern w:val="0"/>
                <w:sz w:val="20"/>
                <w:szCs w:val="20"/>
                <w:lang w:eastAsia="en-GB"/>
                <w14:ligatures w14:val="none"/>
              </w:rPr>
              <w:t>870</w:t>
            </w:r>
          </w:p>
        </w:tc>
        <w:tc>
          <w:tcPr>
            <w:tcW w:w="0" w:type="dxa"/>
            <w:noWrap/>
            <w:vAlign w:val="center"/>
            <w:hideMark/>
          </w:tcPr>
          <w:p w14:paraId="5AC7BA8C" w14:textId="77777777" w:rsidR="00267159" w:rsidRPr="004D62A0" w:rsidRDefault="00267159" w:rsidP="00662F5C">
            <w:pPr>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rFonts w:eastAsia="Times New Roman" w:cs="Times New Roman"/>
                <w:color w:val="000000"/>
                <w:kern w:val="0"/>
                <w:sz w:val="20"/>
                <w:szCs w:val="20"/>
                <w:lang w:eastAsia="en-GB"/>
                <w14:ligatures w14:val="none"/>
              </w:rPr>
              <w:t>1000</w:t>
            </w:r>
          </w:p>
        </w:tc>
        <w:tc>
          <w:tcPr>
            <w:tcW w:w="0" w:type="dxa"/>
            <w:tcBorders>
              <w:right w:val="single" w:sz="4" w:space="0" w:color="auto"/>
            </w:tcBorders>
            <w:noWrap/>
            <w:vAlign w:val="center"/>
            <w:hideMark/>
          </w:tcPr>
          <w:p w14:paraId="3B4C771C" w14:textId="77777777" w:rsidR="00267159" w:rsidRPr="004D62A0" w:rsidRDefault="00267159" w:rsidP="00662F5C">
            <w:pPr>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rFonts w:eastAsia="Times New Roman" w:cs="Times New Roman"/>
                <w:color w:val="000000"/>
                <w:kern w:val="0"/>
                <w:sz w:val="20"/>
                <w:szCs w:val="20"/>
                <w:lang w:eastAsia="en-GB"/>
                <w14:ligatures w14:val="none"/>
              </w:rPr>
              <w:t>15%</w:t>
            </w:r>
          </w:p>
        </w:tc>
        <w:tc>
          <w:tcPr>
            <w:tcW w:w="0" w:type="dxa"/>
            <w:tcBorders>
              <w:left w:val="single" w:sz="4" w:space="0" w:color="auto"/>
            </w:tcBorders>
            <w:noWrap/>
            <w:vAlign w:val="center"/>
            <w:hideMark/>
          </w:tcPr>
          <w:p w14:paraId="7F823660" w14:textId="77777777" w:rsidR="00267159" w:rsidRPr="004D62A0" w:rsidRDefault="00267159" w:rsidP="00662F5C">
            <w:pPr>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rFonts w:eastAsia="Times New Roman" w:cs="Times New Roman"/>
                <w:color w:val="000000"/>
                <w:kern w:val="0"/>
                <w:sz w:val="20"/>
                <w:szCs w:val="20"/>
                <w:lang w:eastAsia="en-GB"/>
                <w14:ligatures w14:val="none"/>
              </w:rPr>
              <w:t>5463</w:t>
            </w:r>
          </w:p>
        </w:tc>
        <w:tc>
          <w:tcPr>
            <w:tcW w:w="0" w:type="dxa"/>
            <w:noWrap/>
            <w:vAlign w:val="center"/>
            <w:hideMark/>
          </w:tcPr>
          <w:p w14:paraId="416CEC79" w14:textId="77777777" w:rsidR="00267159" w:rsidRPr="004D62A0" w:rsidRDefault="00267159" w:rsidP="00662F5C">
            <w:pPr>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sz w:val="20"/>
                <w:szCs w:val="20"/>
              </w:rPr>
              <w:t>5349</w:t>
            </w:r>
          </w:p>
        </w:tc>
        <w:tc>
          <w:tcPr>
            <w:tcW w:w="0" w:type="dxa"/>
            <w:tcBorders>
              <w:right w:val="single" w:sz="4" w:space="0" w:color="auto"/>
            </w:tcBorders>
            <w:vAlign w:val="center"/>
          </w:tcPr>
          <w:p w14:paraId="0AB8B181" w14:textId="77777777" w:rsidR="00267159" w:rsidRPr="004D62A0" w:rsidRDefault="00267159" w:rsidP="00662F5C">
            <w:pPr>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rFonts w:ascii="Aptos Narrow" w:hAnsi="Aptos Narrow"/>
                <w:color w:val="000000"/>
                <w:sz w:val="20"/>
                <w:szCs w:val="20"/>
              </w:rPr>
              <w:t>-2%</w:t>
            </w:r>
          </w:p>
        </w:tc>
        <w:tc>
          <w:tcPr>
            <w:tcW w:w="0" w:type="dxa"/>
            <w:tcBorders>
              <w:left w:val="single" w:sz="4" w:space="0" w:color="auto"/>
            </w:tcBorders>
            <w:vAlign w:val="center"/>
          </w:tcPr>
          <w:p w14:paraId="6A7E69A4" w14:textId="77777777" w:rsidR="00267159" w:rsidRPr="004D62A0" w:rsidRDefault="00267159" w:rsidP="00662F5C">
            <w:pPr>
              <w:jc w:val="center"/>
              <w:cnfStyle w:val="000000100000" w:firstRow="0" w:lastRow="0" w:firstColumn="0" w:lastColumn="0" w:oddVBand="0" w:evenVBand="0" w:oddHBand="1" w:evenHBand="0" w:firstRowFirstColumn="0" w:firstRowLastColumn="0" w:lastRowFirstColumn="0" w:lastRowLastColumn="0"/>
              <w:rPr>
                <w:color w:val="000000"/>
                <w:sz w:val="20"/>
                <w:szCs w:val="20"/>
              </w:rPr>
            </w:pPr>
            <w:r w:rsidRPr="004D62A0">
              <w:rPr>
                <w:color w:val="000000"/>
                <w:sz w:val="20"/>
                <w:szCs w:val="20"/>
              </w:rPr>
              <w:t>98</w:t>
            </w:r>
          </w:p>
        </w:tc>
        <w:tc>
          <w:tcPr>
            <w:tcW w:w="0" w:type="dxa"/>
            <w:vAlign w:val="center"/>
          </w:tcPr>
          <w:p w14:paraId="0EA7B93C" w14:textId="77777777" w:rsidR="00267159" w:rsidRPr="004D62A0" w:rsidRDefault="00267159" w:rsidP="00662F5C">
            <w:pPr>
              <w:jc w:val="center"/>
              <w:cnfStyle w:val="000000100000" w:firstRow="0" w:lastRow="0" w:firstColumn="0" w:lastColumn="0" w:oddVBand="0" w:evenVBand="0" w:oddHBand="1" w:evenHBand="0" w:firstRowFirstColumn="0" w:firstRowLastColumn="0" w:lastRowFirstColumn="0" w:lastRowLastColumn="0"/>
              <w:rPr>
                <w:color w:val="000000"/>
                <w:sz w:val="20"/>
                <w:szCs w:val="20"/>
              </w:rPr>
            </w:pPr>
            <w:r w:rsidRPr="004D62A0">
              <w:rPr>
                <w:color w:val="000000"/>
                <w:sz w:val="20"/>
                <w:szCs w:val="20"/>
              </w:rPr>
              <w:t>77</w:t>
            </w:r>
          </w:p>
        </w:tc>
        <w:tc>
          <w:tcPr>
            <w:tcW w:w="0" w:type="dxa"/>
            <w:vAlign w:val="center"/>
          </w:tcPr>
          <w:p w14:paraId="5379E18D" w14:textId="77777777" w:rsidR="00267159" w:rsidRPr="004D62A0" w:rsidRDefault="00267159" w:rsidP="00662F5C">
            <w:pPr>
              <w:jc w:val="center"/>
              <w:cnfStyle w:val="000000100000" w:firstRow="0" w:lastRow="0" w:firstColumn="0" w:lastColumn="0" w:oddVBand="0" w:evenVBand="0" w:oddHBand="1" w:evenHBand="0" w:firstRowFirstColumn="0" w:firstRowLastColumn="0" w:lastRowFirstColumn="0" w:lastRowLastColumn="0"/>
              <w:rPr>
                <w:color w:val="000000"/>
                <w:sz w:val="20"/>
                <w:szCs w:val="20"/>
              </w:rPr>
            </w:pPr>
            <w:r w:rsidRPr="004D62A0">
              <w:rPr>
                <w:color w:val="000000"/>
                <w:sz w:val="20"/>
                <w:szCs w:val="20"/>
              </w:rPr>
              <w:t>-21%</w:t>
            </w:r>
          </w:p>
        </w:tc>
      </w:tr>
      <w:tr w:rsidR="00267159" w:rsidRPr="004D62A0" w14:paraId="7C985CDE" w14:textId="77777777" w:rsidTr="03D9AF8F">
        <w:trPr>
          <w:trHeight w:val="288"/>
        </w:trPr>
        <w:tc>
          <w:tcPr>
            <w:cnfStyle w:val="001000000000" w:firstRow="0" w:lastRow="0" w:firstColumn="1" w:lastColumn="0" w:oddVBand="0" w:evenVBand="0" w:oddHBand="0" w:evenHBand="0" w:firstRowFirstColumn="0" w:firstRowLastColumn="0" w:lastRowFirstColumn="0" w:lastRowLastColumn="0"/>
            <w:tcW w:w="0" w:type="dxa"/>
            <w:noWrap/>
            <w:vAlign w:val="center"/>
            <w:hideMark/>
          </w:tcPr>
          <w:p w14:paraId="6871F8B9" w14:textId="77777777" w:rsidR="00267159" w:rsidRPr="004D62A0" w:rsidRDefault="00267159" w:rsidP="00662F5C">
            <w:pPr>
              <w:jc w:val="right"/>
              <w:rPr>
                <w:rFonts w:eastAsia="Times New Roman" w:cs="Times New Roman"/>
                <w:color w:val="000000"/>
                <w:kern w:val="0"/>
                <w:sz w:val="20"/>
                <w:szCs w:val="20"/>
                <w:lang w:eastAsia="en-GB"/>
                <w14:ligatures w14:val="none"/>
              </w:rPr>
            </w:pPr>
            <w:r w:rsidRPr="004D62A0">
              <w:rPr>
                <w:rFonts w:eastAsia="Times New Roman" w:cs="Times New Roman"/>
                <w:color w:val="000000"/>
                <w:kern w:val="0"/>
                <w:sz w:val="20"/>
                <w:szCs w:val="20"/>
                <w:lang w:eastAsia="en-GB"/>
                <w14:ligatures w14:val="none"/>
              </w:rPr>
              <w:t>2040</w:t>
            </w:r>
          </w:p>
        </w:tc>
        <w:tc>
          <w:tcPr>
            <w:tcW w:w="0" w:type="dxa"/>
            <w:noWrap/>
            <w:vAlign w:val="center"/>
            <w:hideMark/>
          </w:tcPr>
          <w:p w14:paraId="775FAE31" w14:textId="77777777" w:rsidR="00267159" w:rsidRPr="004D62A0" w:rsidRDefault="00267159" w:rsidP="00662F5C">
            <w:pPr>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rFonts w:eastAsia="Times New Roman" w:cs="Times New Roman"/>
                <w:color w:val="000000"/>
                <w:kern w:val="0"/>
                <w:sz w:val="20"/>
                <w:szCs w:val="20"/>
                <w:lang w:eastAsia="en-GB"/>
                <w14:ligatures w14:val="none"/>
              </w:rPr>
              <w:t>945</w:t>
            </w:r>
          </w:p>
        </w:tc>
        <w:tc>
          <w:tcPr>
            <w:tcW w:w="0" w:type="dxa"/>
            <w:noWrap/>
            <w:vAlign w:val="center"/>
            <w:hideMark/>
          </w:tcPr>
          <w:p w14:paraId="2CAA779A" w14:textId="77777777" w:rsidR="00267159" w:rsidRPr="004D62A0" w:rsidRDefault="00267159" w:rsidP="00662F5C">
            <w:pPr>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rFonts w:eastAsia="Times New Roman" w:cs="Times New Roman"/>
                <w:color w:val="000000"/>
                <w:kern w:val="0"/>
                <w:sz w:val="20"/>
                <w:szCs w:val="20"/>
                <w:lang w:eastAsia="en-GB"/>
                <w14:ligatures w14:val="none"/>
              </w:rPr>
              <w:t>1197</w:t>
            </w:r>
          </w:p>
        </w:tc>
        <w:tc>
          <w:tcPr>
            <w:tcW w:w="0" w:type="dxa"/>
            <w:tcBorders>
              <w:right w:val="single" w:sz="4" w:space="0" w:color="auto"/>
            </w:tcBorders>
            <w:noWrap/>
            <w:vAlign w:val="center"/>
            <w:hideMark/>
          </w:tcPr>
          <w:p w14:paraId="22BB14B5" w14:textId="77777777" w:rsidR="00267159" w:rsidRPr="004D62A0" w:rsidRDefault="00267159" w:rsidP="00662F5C">
            <w:pPr>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rFonts w:eastAsia="Times New Roman" w:cs="Times New Roman"/>
                <w:color w:val="000000"/>
                <w:kern w:val="0"/>
                <w:sz w:val="20"/>
                <w:szCs w:val="20"/>
                <w:lang w:eastAsia="en-GB"/>
                <w14:ligatures w14:val="none"/>
              </w:rPr>
              <w:t>27%</w:t>
            </w:r>
          </w:p>
        </w:tc>
        <w:tc>
          <w:tcPr>
            <w:tcW w:w="0" w:type="dxa"/>
            <w:tcBorders>
              <w:left w:val="single" w:sz="4" w:space="0" w:color="auto"/>
            </w:tcBorders>
            <w:noWrap/>
            <w:vAlign w:val="center"/>
            <w:hideMark/>
          </w:tcPr>
          <w:p w14:paraId="7E161B59" w14:textId="77777777" w:rsidR="00267159" w:rsidRPr="004D62A0" w:rsidRDefault="00267159" w:rsidP="00662F5C">
            <w:pPr>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rFonts w:eastAsia="Times New Roman" w:cs="Times New Roman"/>
                <w:color w:val="000000"/>
                <w:kern w:val="0"/>
                <w:sz w:val="20"/>
                <w:szCs w:val="20"/>
                <w:lang w:eastAsia="en-GB"/>
                <w14:ligatures w14:val="none"/>
              </w:rPr>
              <w:t>6387</w:t>
            </w:r>
          </w:p>
        </w:tc>
        <w:tc>
          <w:tcPr>
            <w:tcW w:w="0" w:type="dxa"/>
            <w:noWrap/>
            <w:vAlign w:val="center"/>
            <w:hideMark/>
          </w:tcPr>
          <w:p w14:paraId="31241CFE" w14:textId="77777777" w:rsidR="00267159" w:rsidRPr="004D62A0" w:rsidRDefault="00267159" w:rsidP="00662F5C">
            <w:pPr>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sz w:val="20"/>
                <w:szCs w:val="20"/>
              </w:rPr>
              <w:t>6167</w:t>
            </w:r>
          </w:p>
        </w:tc>
        <w:tc>
          <w:tcPr>
            <w:tcW w:w="0" w:type="dxa"/>
            <w:tcBorders>
              <w:right w:val="single" w:sz="4" w:space="0" w:color="auto"/>
            </w:tcBorders>
            <w:vAlign w:val="center"/>
          </w:tcPr>
          <w:p w14:paraId="51791942" w14:textId="77777777" w:rsidR="00267159" w:rsidRPr="004D62A0" w:rsidRDefault="00267159" w:rsidP="00662F5C">
            <w:pPr>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rFonts w:ascii="Aptos Narrow" w:hAnsi="Aptos Narrow"/>
                <w:color w:val="000000"/>
                <w:sz w:val="20"/>
                <w:szCs w:val="20"/>
              </w:rPr>
              <w:t>-3%</w:t>
            </w:r>
          </w:p>
        </w:tc>
        <w:tc>
          <w:tcPr>
            <w:tcW w:w="0" w:type="dxa"/>
            <w:tcBorders>
              <w:left w:val="single" w:sz="4" w:space="0" w:color="auto"/>
            </w:tcBorders>
            <w:vAlign w:val="center"/>
          </w:tcPr>
          <w:p w14:paraId="2DCAE2C7" w14:textId="77777777" w:rsidR="00267159" w:rsidRPr="004D62A0" w:rsidRDefault="00267159" w:rsidP="00662F5C">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4D62A0">
              <w:rPr>
                <w:color w:val="000000"/>
                <w:sz w:val="20"/>
                <w:szCs w:val="20"/>
              </w:rPr>
              <w:t>87</w:t>
            </w:r>
          </w:p>
        </w:tc>
        <w:tc>
          <w:tcPr>
            <w:tcW w:w="0" w:type="dxa"/>
            <w:vAlign w:val="center"/>
          </w:tcPr>
          <w:p w14:paraId="5B6AB20D" w14:textId="77777777" w:rsidR="00267159" w:rsidRPr="004D62A0" w:rsidRDefault="00267159" w:rsidP="00662F5C">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4D62A0">
              <w:rPr>
                <w:color w:val="000000"/>
                <w:sz w:val="20"/>
                <w:szCs w:val="20"/>
              </w:rPr>
              <w:t>68</w:t>
            </w:r>
          </w:p>
        </w:tc>
        <w:tc>
          <w:tcPr>
            <w:tcW w:w="0" w:type="dxa"/>
            <w:vAlign w:val="center"/>
          </w:tcPr>
          <w:p w14:paraId="273D7AAF" w14:textId="77777777" w:rsidR="00267159" w:rsidRPr="004D62A0" w:rsidRDefault="00267159" w:rsidP="00662F5C">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4D62A0">
              <w:rPr>
                <w:color w:val="000000"/>
                <w:sz w:val="20"/>
                <w:szCs w:val="20"/>
              </w:rPr>
              <w:t>-21%</w:t>
            </w:r>
          </w:p>
        </w:tc>
      </w:tr>
      <w:tr w:rsidR="00267159" w:rsidRPr="004D62A0" w14:paraId="4817E94D" w14:textId="77777777" w:rsidTr="03D9AF8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dxa"/>
            <w:noWrap/>
            <w:vAlign w:val="center"/>
            <w:hideMark/>
          </w:tcPr>
          <w:p w14:paraId="7C2FB3EB" w14:textId="77777777" w:rsidR="00267159" w:rsidRPr="004D62A0" w:rsidRDefault="00267159" w:rsidP="00662F5C">
            <w:pPr>
              <w:jc w:val="right"/>
              <w:rPr>
                <w:rFonts w:eastAsia="Times New Roman" w:cs="Times New Roman"/>
                <w:color w:val="000000"/>
                <w:kern w:val="0"/>
                <w:sz w:val="20"/>
                <w:szCs w:val="20"/>
                <w:lang w:eastAsia="en-GB"/>
                <w14:ligatures w14:val="none"/>
              </w:rPr>
            </w:pPr>
            <w:r w:rsidRPr="004D62A0">
              <w:rPr>
                <w:rFonts w:eastAsia="Times New Roman" w:cs="Times New Roman"/>
                <w:color w:val="000000"/>
                <w:kern w:val="0"/>
                <w:sz w:val="20"/>
                <w:szCs w:val="20"/>
                <w:lang w:eastAsia="en-GB"/>
                <w14:ligatures w14:val="none"/>
              </w:rPr>
              <w:t>2050</w:t>
            </w:r>
          </w:p>
        </w:tc>
        <w:tc>
          <w:tcPr>
            <w:tcW w:w="0" w:type="dxa"/>
            <w:noWrap/>
            <w:vAlign w:val="center"/>
            <w:hideMark/>
          </w:tcPr>
          <w:p w14:paraId="4D164790" w14:textId="77777777" w:rsidR="00267159" w:rsidRPr="004D62A0" w:rsidRDefault="00267159" w:rsidP="00662F5C">
            <w:pPr>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rFonts w:eastAsia="Times New Roman" w:cs="Times New Roman"/>
                <w:color w:val="000000"/>
                <w:kern w:val="0"/>
                <w:sz w:val="20"/>
                <w:szCs w:val="20"/>
                <w:lang w:eastAsia="en-GB"/>
                <w14:ligatures w14:val="none"/>
              </w:rPr>
              <w:t>1005</w:t>
            </w:r>
          </w:p>
        </w:tc>
        <w:tc>
          <w:tcPr>
            <w:tcW w:w="0" w:type="dxa"/>
            <w:noWrap/>
            <w:vAlign w:val="center"/>
            <w:hideMark/>
          </w:tcPr>
          <w:p w14:paraId="6AC44FA1" w14:textId="77777777" w:rsidR="00267159" w:rsidRPr="004D62A0" w:rsidRDefault="00267159" w:rsidP="00662F5C">
            <w:pPr>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rFonts w:eastAsia="Times New Roman" w:cs="Times New Roman"/>
                <w:color w:val="000000"/>
                <w:kern w:val="0"/>
                <w:sz w:val="20"/>
                <w:szCs w:val="20"/>
                <w:lang w:eastAsia="en-GB"/>
                <w14:ligatures w14:val="none"/>
              </w:rPr>
              <w:t>1365</w:t>
            </w:r>
          </w:p>
        </w:tc>
        <w:tc>
          <w:tcPr>
            <w:tcW w:w="0" w:type="dxa"/>
            <w:tcBorders>
              <w:right w:val="single" w:sz="4" w:space="0" w:color="auto"/>
            </w:tcBorders>
            <w:noWrap/>
            <w:vAlign w:val="center"/>
            <w:hideMark/>
          </w:tcPr>
          <w:p w14:paraId="082FB80C" w14:textId="77777777" w:rsidR="00267159" w:rsidRPr="004D62A0" w:rsidRDefault="00267159" w:rsidP="00662F5C">
            <w:pPr>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rFonts w:eastAsia="Times New Roman" w:cs="Times New Roman"/>
                <w:color w:val="000000"/>
                <w:kern w:val="0"/>
                <w:sz w:val="20"/>
                <w:szCs w:val="20"/>
                <w:lang w:eastAsia="en-GB"/>
                <w14:ligatures w14:val="none"/>
              </w:rPr>
              <w:t>36%</w:t>
            </w:r>
          </w:p>
        </w:tc>
        <w:tc>
          <w:tcPr>
            <w:tcW w:w="0" w:type="dxa"/>
            <w:tcBorders>
              <w:left w:val="single" w:sz="4" w:space="0" w:color="auto"/>
            </w:tcBorders>
            <w:noWrap/>
            <w:vAlign w:val="center"/>
            <w:hideMark/>
          </w:tcPr>
          <w:p w14:paraId="29B44EB2" w14:textId="77777777" w:rsidR="00267159" w:rsidRPr="004D62A0" w:rsidRDefault="00267159" w:rsidP="00662F5C">
            <w:pPr>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rFonts w:eastAsia="Times New Roman" w:cs="Times New Roman"/>
                <w:color w:val="000000"/>
                <w:kern w:val="0"/>
                <w:sz w:val="20"/>
                <w:szCs w:val="20"/>
                <w:lang w:eastAsia="en-GB"/>
                <w14:ligatures w14:val="none"/>
              </w:rPr>
              <w:t>7001</w:t>
            </w:r>
          </w:p>
        </w:tc>
        <w:tc>
          <w:tcPr>
            <w:tcW w:w="0" w:type="dxa"/>
            <w:noWrap/>
            <w:vAlign w:val="center"/>
            <w:hideMark/>
          </w:tcPr>
          <w:p w14:paraId="053BCE32" w14:textId="77777777" w:rsidR="00267159" w:rsidRPr="004D62A0" w:rsidRDefault="00267159" w:rsidP="00662F5C">
            <w:pPr>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sz w:val="20"/>
                <w:szCs w:val="20"/>
              </w:rPr>
              <w:t>6687</w:t>
            </w:r>
          </w:p>
        </w:tc>
        <w:tc>
          <w:tcPr>
            <w:tcW w:w="0" w:type="dxa"/>
            <w:tcBorders>
              <w:right w:val="single" w:sz="4" w:space="0" w:color="auto"/>
            </w:tcBorders>
            <w:vAlign w:val="center"/>
          </w:tcPr>
          <w:p w14:paraId="62620B3C" w14:textId="77777777" w:rsidR="00267159" w:rsidRPr="004D62A0" w:rsidRDefault="00267159" w:rsidP="00662F5C">
            <w:pPr>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rFonts w:ascii="Aptos Narrow" w:hAnsi="Aptos Narrow"/>
                <w:color w:val="000000"/>
                <w:sz w:val="20"/>
                <w:szCs w:val="20"/>
              </w:rPr>
              <w:t>-4%</w:t>
            </w:r>
          </w:p>
        </w:tc>
        <w:tc>
          <w:tcPr>
            <w:tcW w:w="0" w:type="dxa"/>
            <w:tcBorders>
              <w:left w:val="single" w:sz="4" w:space="0" w:color="auto"/>
            </w:tcBorders>
            <w:vAlign w:val="center"/>
          </w:tcPr>
          <w:p w14:paraId="6655EA0A" w14:textId="77777777" w:rsidR="00267159" w:rsidRPr="004D62A0" w:rsidRDefault="00267159" w:rsidP="00662F5C">
            <w:pPr>
              <w:jc w:val="center"/>
              <w:cnfStyle w:val="000000100000" w:firstRow="0" w:lastRow="0" w:firstColumn="0" w:lastColumn="0" w:oddVBand="0" w:evenVBand="0" w:oddHBand="1" w:evenHBand="0" w:firstRowFirstColumn="0" w:firstRowLastColumn="0" w:lastRowFirstColumn="0" w:lastRowLastColumn="0"/>
              <w:rPr>
                <w:color w:val="000000"/>
                <w:sz w:val="20"/>
                <w:szCs w:val="20"/>
              </w:rPr>
            </w:pPr>
            <w:r w:rsidRPr="004D62A0">
              <w:rPr>
                <w:color w:val="000000"/>
                <w:sz w:val="20"/>
                <w:szCs w:val="20"/>
              </w:rPr>
              <w:t>79</w:t>
            </w:r>
          </w:p>
        </w:tc>
        <w:tc>
          <w:tcPr>
            <w:tcW w:w="0" w:type="dxa"/>
            <w:vAlign w:val="center"/>
          </w:tcPr>
          <w:p w14:paraId="09007B65" w14:textId="77777777" w:rsidR="00267159" w:rsidRPr="004D62A0" w:rsidRDefault="00267159" w:rsidP="00662F5C">
            <w:pPr>
              <w:jc w:val="center"/>
              <w:cnfStyle w:val="000000100000" w:firstRow="0" w:lastRow="0" w:firstColumn="0" w:lastColumn="0" w:oddVBand="0" w:evenVBand="0" w:oddHBand="1" w:evenHBand="0" w:firstRowFirstColumn="0" w:firstRowLastColumn="0" w:lastRowFirstColumn="0" w:lastRowLastColumn="0"/>
              <w:rPr>
                <w:color w:val="000000"/>
                <w:sz w:val="20"/>
                <w:szCs w:val="20"/>
              </w:rPr>
            </w:pPr>
            <w:r w:rsidRPr="004D62A0">
              <w:rPr>
                <w:color w:val="000000"/>
                <w:sz w:val="20"/>
                <w:szCs w:val="20"/>
              </w:rPr>
              <w:t>62</w:t>
            </w:r>
          </w:p>
        </w:tc>
        <w:tc>
          <w:tcPr>
            <w:tcW w:w="0" w:type="dxa"/>
            <w:vAlign w:val="center"/>
          </w:tcPr>
          <w:p w14:paraId="728A8B89" w14:textId="77777777" w:rsidR="00267159" w:rsidRPr="004D62A0" w:rsidRDefault="00267159" w:rsidP="00662F5C">
            <w:pPr>
              <w:jc w:val="center"/>
              <w:cnfStyle w:val="000000100000" w:firstRow="0" w:lastRow="0" w:firstColumn="0" w:lastColumn="0" w:oddVBand="0" w:evenVBand="0" w:oddHBand="1" w:evenHBand="0" w:firstRowFirstColumn="0" w:firstRowLastColumn="0" w:lastRowFirstColumn="0" w:lastRowLastColumn="0"/>
              <w:rPr>
                <w:color w:val="000000"/>
                <w:sz w:val="20"/>
                <w:szCs w:val="20"/>
              </w:rPr>
            </w:pPr>
            <w:r w:rsidRPr="004D62A0">
              <w:rPr>
                <w:color w:val="000000"/>
                <w:sz w:val="20"/>
                <w:szCs w:val="20"/>
              </w:rPr>
              <w:t>-21%</w:t>
            </w:r>
          </w:p>
        </w:tc>
      </w:tr>
      <w:tr w:rsidR="00267159" w:rsidRPr="004D62A0" w14:paraId="42A14FB5" w14:textId="77777777" w:rsidTr="03D9AF8F">
        <w:trPr>
          <w:trHeight w:val="288"/>
        </w:trPr>
        <w:tc>
          <w:tcPr>
            <w:cnfStyle w:val="001000000000" w:firstRow="0" w:lastRow="0" w:firstColumn="1" w:lastColumn="0" w:oddVBand="0" w:evenVBand="0" w:oddHBand="0" w:evenHBand="0" w:firstRowFirstColumn="0" w:firstRowLastColumn="0" w:lastRowFirstColumn="0" w:lastRowLastColumn="0"/>
            <w:tcW w:w="0" w:type="dxa"/>
            <w:noWrap/>
            <w:vAlign w:val="center"/>
            <w:hideMark/>
          </w:tcPr>
          <w:p w14:paraId="585E036A" w14:textId="77777777" w:rsidR="00267159" w:rsidRPr="004D62A0" w:rsidRDefault="00267159" w:rsidP="00662F5C">
            <w:pPr>
              <w:jc w:val="right"/>
              <w:rPr>
                <w:rFonts w:eastAsia="Times New Roman" w:cs="Times New Roman"/>
                <w:color w:val="000000"/>
                <w:kern w:val="0"/>
                <w:sz w:val="20"/>
                <w:szCs w:val="20"/>
                <w:lang w:eastAsia="en-GB"/>
                <w14:ligatures w14:val="none"/>
              </w:rPr>
            </w:pPr>
            <w:r w:rsidRPr="004D62A0">
              <w:rPr>
                <w:rFonts w:eastAsia="Times New Roman" w:cs="Times New Roman"/>
                <w:color w:val="000000"/>
                <w:kern w:val="0"/>
                <w:sz w:val="20"/>
                <w:szCs w:val="20"/>
                <w:lang w:eastAsia="en-GB"/>
                <w14:ligatures w14:val="none"/>
              </w:rPr>
              <w:t>2060</w:t>
            </w:r>
          </w:p>
        </w:tc>
        <w:tc>
          <w:tcPr>
            <w:tcW w:w="0" w:type="dxa"/>
            <w:noWrap/>
            <w:vAlign w:val="center"/>
            <w:hideMark/>
          </w:tcPr>
          <w:p w14:paraId="29B5EE8C" w14:textId="77777777" w:rsidR="00267159" w:rsidRPr="004D62A0" w:rsidRDefault="00267159" w:rsidP="00662F5C">
            <w:pPr>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rFonts w:eastAsia="Times New Roman" w:cs="Times New Roman"/>
                <w:color w:val="000000"/>
                <w:kern w:val="0"/>
                <w:sz w:val="20"/>
                <w:szCs w:val="20"/>
                <w:lang w:eastAsia="en-GB"/>
                <w14:ligatures w14:val="none"/>
              </w:rPr>
              <w:t>1052</w:t>
            </w:r>
          </w:p>
        </w:tc>
        <w:tc>
          <w:tcPr>
            <w:tcW w:w="0" w:type="dxa"/>
            <w:noWrap/>
            <w:vAlign w:val="center"/>
            <w:hideMark/>
          </w:tcPr>
          <w:p w14:paraId="438D400F" w14:textId="77777777" w:rsidR="00267159" w:rsidRPr="004D62A0" w:rsidRDefault="00267159" w:rsidP="00662F5C">
            <w:pPr>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rFonts w:eastAsia="Times New Roman" w:cs="Times New Roman"/>
                <w:color w:val="000000"/>
                <w:kern w:val="0"/>
                <w:sz w:val="20"/>
                <w:szCs w:val="20"/>
                <w:lang w:eastAsia="en-GB"/>
                <w14:ligatures w14:val="none"/>
              </w:rPr>
              <w:t>1498</w:t>
            </w:r>
          </w:p>
        </w:tc>
        <w:tc>
          <w:tcPr>
            <w:tcW w:w="0" w:type="dxa"/>
            <w:tcBorders>
              <w:right w:val="single" w:sz="4" w:space="0" w:color="auto"/>
            </w:tcBorders>
            <w:noWrap/>
            <w:vAlign w:val="center"/>
            <w:hideMark/>
          </w:tcPr>
          <w:p w14:paraId="1CDF5911" w14:textId="77777777" w:rsidR="00267159" w:rsidRPr="004D62A0" w:rsidRDefault="00267159" w:rsidP="00662F5C">
            <w:pPr>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rFonts w:eastAsia="Times New Roman" w:cs="Times New Roman"/>
                <w:color w:val="000000"/>
                <w:kern w:val="0"/>
                <w:sz w:val="20"/>
                <w:szCs w:val="20"/>
                <w:lang w:eastAsia="en-GB"/>
                <w14:ligatures w14:val="none"/>
              </w:rPr>
              <w:t>42%</w:t>
            </w:r>
          </w:p>
        </w:tc>
        <w:tc>
          <w:tcPr>
            <w:tcW w:w="0" w:type="dxa"/>
            <w:tcBorders>
              <w:left w:val="single" w:sz="4" w:space="0" w:color="auto"/>
            </w:tcBorders>
            <w:noWrap/>
            <w:vAlign w:val="center"/>
            <w:hideMark/>
          </w:tcPr>
          <w:p w14:paraId="3F689DF1" w14:textId="77777777" w:rsidR="00267159" w:rsidRPr="004D62A0" w:rsidRDefault="00267159" w:rsidP="00662F5C">
            <w:pPr>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rFonts w:eastAsia="Times New Roman" w:cs="Times New Roman"/>
                <w:color w:val="000000"/>
                <w:kern w:val="0"/>
                <w:sz w:val="20"/>
                <w:szCs w:val="20"/>
                <w:lang w:eastAsia="en-GB"/>
                <w14:ligatures w14:val="none"/>
              </w:rPr>
              <w:t>7413</w:t>
            </w:r>
          </w:p>
        </w:tc>
        <w:tc>
          <w:tcPr>
            <w:tcW w:w="0" w:type="dxa"/>
            <w:noWrap/>
            <w:vAlign w:val="center"/>
            <w:hideMark/>
          </w:tcPr>
          <w:p w14:paraId="2B800C4E" w14:textId="77777777" w:rsidR="00267159" w:rsidRPr="004D62A0" w:rsidRDefault="00267159" w:rsidP="00662F5C">
            <w:pPr>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sz w:val="20"/>
                <w:szCs w:val="20"/>
              </w:rPr>
              <w:t>7024</w:t>
            </w:r>
          </w:p>
        </w:tc>
        <w:tc>
          <w:tcPr>
            <w:tcW w:w="0" w:type="dxa"/>
            <w:tcBorders>
              <w:right w:val="single" w:sz="4" w:space="0" w:color="auto"/>
            </w:tcBorders>
            <w:vAlign w:val="center"/>
          </w:tcPr>
          <w:p w14:paraId="6A64D96F" w14:textId="77777777" w:rsidR="00267159" w:rsidRPr="004D62A0" w:rsidRDefault="00267159" w:rsidP="00662F5C">
            <w:pPr>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rFonts w:ascii="Aptos Narrow" w:hAnsi="Aptos Narrow"/>
                <w:color w:val="000000"/>
                <w:sz w:val="20"/>
                <w:szCs w:val="20"/>
              </w:rPr>
              <w:t>-5%</w:t>
            </w:r>
          </w:p>
        </w:tc>
        <w:tc>
          <w:tcPr>
            <w:tcW w:w="0" w:type="dxa"/>
            <w:tcBorders>
              <w:left w:val="single" w:sz="4" w:space="0" w:color="auto"/>
            </w:tcBorders>
            <w:vAlign w:val="center"/>
          </w:tcPr>
          <w:p w14:paraId="39F67401" w14:textId="77777777" w:rsidR="00267159" w:rsidRPr="004D62A0" w:rsidRDefault="00267159" w:rsidP="00662F5C">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4D62A0">
              <w:rPr>
                <w:color w:val="000000"/>
                <w:sz w:val="20"/>
                <w:szCs w:val="20"/>
              </w:rPr>
              <w:t>74</w:t>
            </w:r>
          </w:p>
        </w:tc>
        <w:tc>
          <w:tcPr>
            <w:tcW w:w="0" w:type="dxa"/>
            <w:vAlign w:val="center"/>
          </w:tcPr>
          <w:p w14:paraId="3ECD2DCB" w14:textId="77777777" w:rsidR="00267159" w:rsidRPr="004D62A0" w:rsidRDefault="00267159" w:rsidP="00662F5C">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4D62A0">
              <w:rPr>
                <w:color w:val="000000"/>
                <w:sz w:val="20"/>
                <w:szCs w:val="20"/>
              </w:rPr>
              <w:t>58</w:t>
            </w:r>
          </w:p>
        </w:tc>
        <w:tc>
          <w:tcPr>
            <w:tcW w:w="0" w:type="dxa"/>
            <w:vAlign w:val="center"/>
          </w:tcPr>
          <w:p w14:paraId="6062A002" w14:textId="77777777" w:rsidR="00267159" w:rsidRPr="004D62A0" w:rsidRDefault="00267159" w:rsidP="00662F5C">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4D62A0">
              <w:rPr>
                <w:color w:val="000000"/>
                <w:sz w:val="20"/>
                <w:szCs w:val="20"/>
              </w:rPr>
              <w:t>-21%</w:t>
            </w:r>
          </w:p>
        </w:tc>
      </w:tr>
      <w:tr w:rsidR="00267159" w:rsidRPr="004D62A0" w14:paraId="1D06FA04" w14:textId="77777777" w:rsidTr="03D9AF8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dxa"/>
            <w:noWrap/>
            <w:vAlign w:val="center"/>
            <w:hideMark/>
          </w:tcPr>
          <w:p w14:paraId="417BAA92" w14:textId="77777777" w:rsidR="00267159" w:rsidRPr="004D62A0" w:rsidRDefault="00267159" w:rsidP="00662F5C">
            <w:pPr>
              <w:jc w:val="right"/>
              <w:rPr>
                <w:rFonts w:eastAsia="Times New Roman" w:cs="Times New Roman"/>
                <w:color w:val="000000"/>
                <w:kern w:val="0"/>
                <w:sz w:val="20"/>
                <w:szCs w:val="20"/>
                <w:lang w:eastAsia="en-GB"/>
                <w14:ligatures w14:val="none"/>
              </w:rPr>
            </w:pPr>
            <w:r w:rsidRPr="004D62A0">
              <w:rPr>
                <w:rFonts w:eastAsia="Times New Roman" w:cs="Times New Roman"/>
                <w:color w:val="000000"/>
                <w:kern w:val="0"/>
                <w:sz w:val="20"/>
                <w:szCs w:val="20"/>
                <w:lang w:eastAsia="en-GB"/>
                <w14:ligatures w14:val="none"/>
              </w:rPr>
              <w:t>2070</w:t>
            </w:r>
          </w:p>
        </w:tc>
        <w:tc>
          <w:tcPr>
            <w:tcW w:w="0" w:type="dxa"/>
            <w:noWrap/>
            <w:vAlign w:val="center"/>
            <w:hideMark/>
          </w:tcPr>
          <w:p w14:paraId="404B7862" w14:textId="77777777" w:rsidR="00267159" w:rsidRPr="004D62A0" w:rsidRDefault="00267159" w:rsidP="00662F5C">
            <w:pPr>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rFonts w:eastAsia="Times New Roman" w:cs="Times New Roman"/>
                <w:color w:val="000000"/>
                <w:kern w:val="0"/>
                <w:sz w:val="20"/>
                <w:szCs w:val="20"/>
                <w:lang w:eastAsia="en-GB"/>
                <w14:ligatures w14:val="none"/>
              </w:rPr>
              <w:t>1090</w:t>
            </w:r>
          </w:p>
        </w:tc>
        <w:tc>
          <w:tcPr>
            <w:tcW w:w="0" w:type="dxa"/>
            <w:noWrap/>
            <w:vAlign w:val="center"/>
            <w:hideMark/>
          </w:tcPr>
          <w:p w14:paraId="2A561D2C" w14:textId="77777777" w:rsidR="00267159" w:rsidRPr="004D62A0" w:rsidRDefault="00267159" w:rsidP="00662F5C">
            <w:pPr>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rFonts w:eastAsia="Times New Roman" w:cs="Times New Roman"/>
                <w:color w:val="000000"/>
                <w:kern w:val="0"/>
                <w:sz w:val="20"/>
                <w:szCs w:val="20"/>
                <w:lang w:eastAsia="en-GB"/>
                <w14:ligatures w14:val="none"/>
              </w:rPr>
              <w:t>1616</w:t>
            </w:r>
          </w:p>
        </w:tc>
        <w:tc>
          <w:tcPr>
            <w:tcW w:w="0" w:type="dxa"/>
            <w:tcBorders>
              <w:right w:val="single" w:sz="4" w:space="0" w:color="auto"/>
            </w:tcBorders>
            <w:noWrap/>
            <w:vAlign w:val="center"/>
            <w:hideMark/>
          </w:tcPr>
          <w:p w14:paraId="44A9E518" w14:textId="77777777" w:rsidR="00267159" w:rsidRPr="004D62A0" w:rsidRDefault="00267159" w:rsidP="00662F5C">
            <w:pPr>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rFonts w:eastAsia="Times New Roman" w:cs="Times New Roman"/>
                <w:color w:val="000000"/>
                <w:kern w:val="0"/>
                <w:sz w:val="20"/>
                <w:szCs w:val="20"/>
                <w:lang w:eastAsia="en-GB"/>
                <w14:ligatures w14:val="none"/>
              </w:rPr>
              <w:t>48%</w:t>
            </w:r>
          </w:p>
        </w:tc>
        <w:tc>
          <w:tcPr>
            <w:tcW w:w="0" w:type="dxa"/>
            <w:tcBorders>
              <w:left w:val="single" w:sz="4" w:space="0" w:color="auto"/>
            </w:tcBorders>
            <w:noWrap/>
            <w:vAlign w:val="center"/>
            <w:hideMark/>
          </w:tcPr>
          <w:p w14:paraId="44C6A7D4" w14:textId="77777777" w:rsidR="00267159" w:rsidRPr="004D62A0" w:rsidRDefault="00267159" w:rsidP="00662F5C">
            <w:pPr>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rFonts w:eastAsia="Times New Roman" w:cs="Times New Roman"/>
                <w:color w:val="000000"/>
                <w:kern w:val="0"/>
                <w:sz w:val="20"/>
                <w:szCs w:val="20"/>
                <w:lang w:eastAsia="en-GB"/>
                <w14:ligatures w14:val="none"/>
              </w:rPr>
              <w:t>7701</w:t>
            </w:r>
          </w:p>
        </w:tc>
        <w:tc>
          <w:tcPr>
            <w:tcW w:w="0" w:type="dxa"/>
            <w:noWrap/>
            <w:vAlign w:val="center"/>
            <w:hideMark/>
          </w:tcPr>
          <w:p w14:paraId="14214F41" w14:textId="77777777" w:rsidR="00267159" w:rsidRPr="004D62A0" w:rsidRDefault="00267159" w:rsidP="00662F5C">
            <w:pPr>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sz w:val="20"/>
                <w:szCs w:val="20"/>
              </w:rPr>
              <w:t>7242</w:t>
            </w:r>
          </w:p>
        </w:tc>
        <w:tc>
          <w:tcPr>
            <w:tcW w:w="0" w:type="dxa"/>
            <w:tcBorders>
              <w:right w:val="single" w:sz="4" w:space="0" w:color="auto"/>
            </w:tcBorders>
            <w:vAlign w:val="center"/>
          </w:tcPr>
          <w:p w14:paraId="5CEA1EEB" w14:textId="77777777" w:rsidR="00267159" w:rsidRPr="004D62A0" w:rsidRDefault="00267159" w:rsidP="00662F5C">
            <w:pPr>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rFonts w:ascii="Aptos Narrow" w:hAnsi="Aptos Narrow"/>
                <w:color w:val="000000"/>
                <w:sz w:val="20"/>
                <w:szCs w:val="20"/>
              </w:rPr>
              <w:t>-6%</w:t>
            </w:r>
          </w:p>
        </w:tc>
        <w:tc>
          <w:tcPr>
            <w:tcW w:w="0" w:type="dxa"/>
            <w:tcBorders>
              <w:left w:val="single" w:sz="4" w:space="0" w:color="auto"/>
            </w:tcBorders>
            <w:vAlign w:val="center"/>
          </w:tcPr>
          <w:p w14:paraId="1CB100F4" w14:textId="77777777" w:rsidR="00267159" w:rsidRPr="004D62A0" w:rsidRDefault="00267159" w:rsidP="00662F5C">
            <w:pPr>
              <w:jc w:val="center"/>
              <w:cnfStyle w:val="000000100000" w:firstRow="0" w:lastRow="0" w:firstColumn="0" w:lastColumn="0" w:oddVBand="0" w:evenVBand="0" w:oddHBand="1" w:evenHBand="0" w:firstRowFirstColumn="0" w:firstRowLastColumn="0" w:lastRowFirstColumn="0" w:lastRowLastColumn="0"/>
              <w:rPr>
                <w:color w:val="000000"/>
                <w:sz w:val="20"/>
                <w:szCs w:val="20"/>
              </w:rPr>
            </w:pPr>
            <w:r w:rsidRPr="004D62A0">
              <w:rPr>
                <w:color w:val="000000"/>
                <w:sz w:val="20"/>
                <w:szCs w:val="20"/>
              </w:rPr>
              <w:t>70</w:t>
            </w:r>
          </w:p>
        </w:tc>
        <w:tc>
          <w:tcPr>
            <w:tcW w:w="0" w:type="dxa"/>
            <w:vAlign w:val="center"/>
          </w:tcPr>
          <w:p w14:paraId="4D7E537A" w14:textId="77777777" w:rsidR="00267159" w:rsidRPr="004D62A0" w:rsidRDefault="00267159" w:rsidP="00662F5C">
            <w:pPr>
              <w:jc w:val="center"/>
              <w:cnfStyle w:val="000000100000" w:firstRow="0" w:lastRow="0" w:firstColumn="0" w:lastColumn="0" w:oddVBand="0" w:evenVBand="0" w:oddHBand="1" w:evenHBand="0" w:firstRowFirstColumn="0" w:firstRowLastColumn="0" w:lastRowFirstColumn="0" w:lastRowLastColumn="0"/>
              <w:rPr>
                <w:color w:val="000000"/>
                <w:sz w:val="20"/>
                <w:szCs w:val="20"/>
              </w:rPr>
            </w:pPr>
            <w:r w:rsidRPr="004D62A0">
              <w:rPr>
                <w:color w:val="000000"/>
                <w:sz w:val="20"/>
                <w:szCs w:val="20"/>
              </w:rPr>
              <w:t>55</w:t>
            </w:r>
          </w:p>
        </w:tc>
        <w:tc>
          <w:tcPr>
            <w:tcW w:w="0" w:type="dxa"/>
            <w:vAlign w:val="center"/>
          </w:tcPr>
          <w:p w14:paraId="02554A10" w14:textId="77777777" w:rsidR="00267159" w:rsidRPr="004D62A0" w:rsidRDefault="00267159" w:rsidP="00662F5C">
            <w:pPr>
              <w:jc w:val="center"/>
              <w:cnfStyle w:val="000000100000" w:firstRow="0" w:lastRow="0" w:firstColumn="0" w:lastColumn="0" w:oddVBand="0" w:evenVBand="0" w:oddHBand="1" w:evenHBand="0" w:firstRowFirstColumn="0" w:firstRowLastColumn="0" w:lastRowFirstColumn="0" w:lastRowLastColumn="0"/>
              <w:rPr>
                <w:color w:val="000000"/>
                <w:sz w:val="20"/>
                <w:szCs w:val="20"/>
              </w:rPr>
            </w:pPr>
            <w:r w:rsidRPr="004D62A0">
              <w:rPr>
                <w:color w:val="000000"/>
                <w:sz w:val="20"/>
                <w:szCs w:val="20"/>
              </w:rPr>
              <w:t>-21%</w:t>
            </w:r>
          </w:p>
        </w:tc>
      </w:tr>
      <w:tr w:rsidR="00267159" w:rsidRPr="004D62A0" w14:paraId="585B3302" w14:textId="77777777" w:rsidTr="03D9AF8F">
        <w:trPr>
          <w:trHeight w:val="288"/>
        </w:trPr>
        <w:tc>
          <w:tcPr>
            <w:cnfStyle w:val="001000000000" w:firstRow="0" w:lastRow="0" w:firstColumn="1" w:lastColumn="0" w:oddVBand="0" w:evenVBand="0" w:oddHBand="0" w:evenHBand="0" w:firstRowFirstColumn="0" w:firstRowLastColumn="0" w:lastRowFirstColumn="0" w:lastRowLastColumn="0"/>
            <w:tcW w:w="0" w:type="dxa"/>
            <w:noWrap/>
            <w:vAlign w:val="center"/>
            <w:hideMark/>
          </w:tcPr>
          <w:p w14:paraId="2FB239C2" w14:textId="77777777" w:rsidR="00267159" w:rsidRPr="004D62A0" w:rsidRDefault="00267159" w:rsidP="00662F5C">
            <w:pPr>
              <w:jc w:val="right"/>
              <w:rPr>
                <w:rFonts w:eastAsia="Times New Roman" w:cs="Times New Roman"/>
                <w:color w:val="000000"/>
                <w:kern w:val="0"/>
                <w:sz w:val="20"/>
                <w:szCs w:val="20"/>
                <w:lang w:eastAsia="en-GB"/>
                <w14:ligatures w14:val="none"/>
              </w:rPr>
            </w:pPr>
            <w:r w:rsidRPr="004D62A0">
              <w:rPr>
                <w:rFonts w:eastAsia="Times New Roman" w:cs="Times New Roman"/>
                <w:color w:val="000000"/>
                <w:kern w:val="0"/>
                <w:sz w:val="20"/>
                <w:szCs w:val="20"/>
                <w:lang w:eastAsia="en-GB"/>
                <w14:ligatures w14:val="none"/>
              </w:rPr>
              <w:t>2080</w:t>
            </w:r>
          </w:p>
        </w:tc>
        <w:tc>
          <w:tcPr>
            <w:tcW w:w="0" w:type="dxa"/>
            <w:noWrap/>
            <w:vAlign w:val="center"/>
            <w:hideMark/>
          </w:tcPr>
          <w:p w14:paraId="635E8AD6" w14:textId="77777777" w:rsidR="00267159" w:rsidRPr="004D62A0" w:rsidRDefault="00267159" w:rsidP="00662F5C">
            <w:pPr>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rFonts w:eastAsia="Times New Roman" w:cs="Times New Roman"/>
                <w:color w:val="000000"/>
                <w:kern w:val="0"/>
                <w:sz w:val="20"/>
                <w:szCs w:val="20"/>
                <w:lang w:eastAsia="en-GB"/>
                <w14:ligatures w14:val="none"/>
              </w:rPr>
              <w:t>1118</w:t>
            </w:r>
          </w:p>
        </w:tc>
        <w:tc>
          <w:tcPr>
            <w:tcW w:w="0" w:type="dxa"/>
            <w:noWrap/>
            <w:vAlign w:val="center"/>
            <w:hideMark/>
          </w:tcPr>
          <w:p w14:paraId="3D0118E5" w14:textId="77777777" w:rsidR="00267159" w:rsidRPr="004D62A0" w:rsidRDefault="00267159" w:rsidP="00662F5C">
            <w:pPr>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rFonts w:eastAsia="Times New Roman" w:cs="Times New Roman"/>
                <w:color w:val="000000"/>
                <w:kern w:val="0"/>
                <w:sz w:val="20"/>
                <w:szCs w:val="20"/>
                <w:lang w:eastAsia="en-GB"/>
                <w14:ligatures w14:val="none"/>
              </w:rPr>
              <w:t>1719</w:t>
            </w:r>
          </w:p>
        </w:tc>
        <w:tc>
          <w:tcPr>
            <w:tcW w:w="0" w:type="dxa"/>
            <w:tcBorders>
              <w:right w:val="single" w:sz="4" w:space="0" w:color="auto"/>
            </w:tcBorders>
            <w:noWrap/>
            <w:vAlign w:val="center"/>
            <w:hideMark/>
          </w:tcPr>
          <w:p w14:paraId="6E24EB45" w14:textId="77777777" w:rsidR="00267159" w:rsidRPr="004D62A0" w:rsidRDefault="00267159" w:rsidP="00662F5C">
            <w:pPr>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rFonts w:eastAsia="Times New Roman" w:cs="Times New Roman"/>
                <w:color w:val="000000"/>
                <w:kern w:val="0"/>
                <w:sz w:val="20"/>
                <w:szCs w:val="20"/>
                <w:lang w:eastAsia="en-GB"/>
                <w14:ligatures w14:val="none"/>
              </w:rPr>
              <w:t>54%</w:t>
            </w:r>
          </w:p>
        </w:tc>
        <w:tc>
          <w:tcPr>
            <w:tcW w:w="0" w:type="dxa"/>
            <w:tcBorders>
              <w:left w:val="single" w:sz="4" w:space="0" w:color="auto"/>
            </w:tcBorders>
            <w:noWrap/>
            <w:vAlign w:val="center"/>
            <w:hideMark/>
          </w:tcPr>
          <w:p w14:paraId="1962AD5B" w14:textId="77777777" w:rsidR="00267159" w:rsidRPr="004D62A0" w:rsidRDefault="00267159" w:rsidP="00662F5C">
            <w:pPr>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rFonts w:eastAsia="Times New Roman" w:cs="Times New Roman"/>
                <w:color w:val="000000"/>
                <w:kern w:val="0"/>
                <w:sz w:val="20"/>
                <w:szCs w:val="20"/>
                <w:lang w:eastAsia="en-GB"/>
                <w14:ligatures w14:val="none"/>
              </w:rPr>
              <w:t>7891</w:t>
            </w:r>
          </w:p>
        </w:tc>
        <w:tc>
          <w:tcPr>
            <w:tcW w:w="0" w:type="dxa"/>
            <w:noWrap/>
            <w:vAlign w:val="center"/>
            <w:hideMark/>
          </w:tcPr>
          <w:p w14:paraId="79A13620" w14:textId="77777777" w:rsidR="00267159" w:rsidRPr="004D62A0" w:rsidRDefault="00267159" w:rsidP="00662F5C">
            <w:pPr>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sz w:val="20"/>
                <w:szCs w:val="20"/>
              </w:rPr>
              <w:t>7367</w:t>
            </w:r>
          </w:p>
        </w:tc>
        <w:tc>
          <w:tcPr>
            <w:tcW w:w="0" w:type="dxa"/>
            <w:tcBorders>
              <w:right w:val="single" w:sz="4" w:space="0" w:color="auto"/>
            </w:tcBorders>
            <w:vAlign w:val="center"/>
          </w:tcPr>
          <w:p w14:paraId="38A66110" w14:textId="77777777" w:rsidR="00267159" w:rsidRPr="004D62A0" w:rsidRDefault="00267159" w:rsidP="00662F5C">
            <w:pPr>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rFonts w:ascii="Aptos Narrow" w:hAnsi="Aptos Narrow"/>
                <w:color w:val="000000"/>
                <w:sz w:val="20"/>
                <w:szCs w:val="20"/>
              </w:rPr>
              <w:t>-7%</w:t>
            </w:r>
          </w:p>
        </w:tc>
        <w:tc>
          <w:tcPr>
            <w:tcW w:w="0" w:type="dxa"/>
            <w:tcBorders>
              <w:left w:val="single" w:sz="4" w:space="0" w:color="auto"/>
            </w:tcBorders>
            <w:vAlign w:val="center"/>
          </w:tcPr>
          <w:p w14:paraId="61E66AF7" w14:textId="77777777" w:rsidR="00267159" w:rsidRPr="004D62A0" w:rsidRDefault="00267159" w:rsidP="00662F5C">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4D62A0">
              <w:rPr>
                <w:color w:val="000000"/>
                <w:sz w:val="20"/>
                <w:szCs w:val="20"/>
              </w:rPr>
              <w:t>68</w:t>
            </w:r>
          </w:p>
        </w:tc>
        <w:tc>
          <w:tcPr>
            <w:tcW w:w="0" w:type="dxa"/>
            <w:vAlign w:val="center"/>
          </w:tcPr>
          <w:p w14:paraId="5FA282DC" w14:textId="77777777" w:rsidR="00267159" w:rsidRPr="004D62A0" w:rsidRDefault="00267159" w:rsidP="00662F5C">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4D62A0">
              <w:rPr>
                <w:color w:val="000000"/>
                <w:sz w:val="20"/>
                <w:szCs w:val="20"/>
              </w:rPr>
              <w:t>53</w:t>
            </w:r>
          </w:p>
        </w:tc>
        <w:tc>
          <w:tcPr>
            <w:tcW w:w="0" w:type="dxa"/>
            <w:vAlign w:val="center"/>
          </w:tcPr>
          <w:p w14:paraId="788318CC" w14:textId="77777777" w:rsidR="00267159" w:rsidRPr="004D62A0" w:rsidRDefault="00267159" w:rsidP="00662F5C">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4D62A0">
              <w:rPr>
                <w:color w:val="000000"/>
                <w:sz w:val="20"/>
                <w:szCs w:val="20"/>
              </w:rPr>
              <w:t>-21%</w:t>
            </w:r>
          </w:p>
        </w:tc>
      </w:tr>
      <w:tr w:rsidR="00267159" w:rsidRPr="004D62A0" w14:paraId="1102D71E" w14:textId="77777777" w:rsidTr="03D9AF8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dxa"/>
            <w:noWrap/>
            <w:vAlign w:val="center"/>
            <w:hideMark/>
          </w:tcPr>
          <w:p w14:paraId="3DC0B8F5" w14:textId="77777777" w:rsidR="00267159" w:rsidRPr="004D62A0" w:rsidRDefault="00267159" w:rsidP="00662F5C">
            <w:pPr>
              <w:jc w:val="right"/>
              <w:rPr>
                <w:rFonts w:eastAsia="Times New Roman" w:cs="Times New Roman"/>
                <w:color w:val="000000"/>
                <w:kern w:val="0"/>
                <w:sz w:val="20"/>
                <w:szCs w:val="20"/>
                <w:lang w:eastAsia="en-GB"/>
                <w14:ligatures w14:val="none"/>
              </w:rPr>
            </w:pPr>
            <w:r w:rsidRPr="004D62A0">
              <w:rPr>
                <w:rFonts w:eastAsia="Times New Roman" w:cs="Times New Roman"/>
                <w:color w:val="000000"/>
                <w:kern w:val="0"/>
                <w:sz w:val="20"/>
                <w:szCs w:val="20"/>
                <w:lang w:eastAsia="en-GB"/>
                <w14:ligatures w14:val="none"/>
              </w:rPr>
              <w:t>2090</w:t>
            </w:r>
          </w:p>
        </w:tc>
        <w:tc>
          <w:tcPr>
            <w:tcW w:w="0" w:type="dxa"/>
            <w:noWrap/>
            <w:vAlign w:val="center"/>
            <w:hideMark/>
          </w:tcPr>
          <w:p w14:paraId="258451B1" w14:textId="77777777" w:rsidR="00267159" w:rsidRPr="004D62A0" w:rsidRDefault="00267159" w:rsidP="00662F5C">
            <w:pPr>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rFonts w:eastAsia="Times New Roman" w:cs="Times New Roman"/>
                <w:color w:val="000000"/>
                <w:kern w:val="0"/>
                <w:sz w:val="20"/>
                <w:szCs w:val="20"/>
                <w:lang w:eastAsia="en-GB"/>
                <w14:ligatures w14:val="none"/>
              </w:rPr>
              <w:t>1140</w:t>
            </w:r>
          </w:p>
        </w:tc>
        <w:tc>
          <w:tcPr>
            <w:tcW w:w="0" w:type="dxa"/>
            <w:noWrap/>
            <w:vAlign w:val="center"/>
            <w:hideMark/>
          </w:tcPr>
          <w:p w14:paraId="603EC01A" w14:textId="77777777" w:rsidR="00267159" w:rsidRPr="004D62A0" w:rsidRDefault="00267159" w:rsidP="00662F5C">
            <w:pPr>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rFonts w:eastAsia="Times New Roman" w:cs="Times New Roman"/>
                <w:color w:val="000000"/>
                <w:kern w:val="0"/>
                <w:sz w:val="20"/>
                <w:szCs w:val="20"/>
                <w:lang w:eastAsia="en-GB"/>
                <w14:ligatures w14:val="none"/>
              </w:rPr>
              <w:t>1810</w:t>
            </w:r>
          </w:p>
        </w:tc>
        <w:tc>
          <w:tcPr>
            <w:tcW w:w="0" w:type="dxa"/>
            <w:tcBorders>
              <w:right w:val="single" w:sz="4" w:space="0" w:color="auto"/>
            </w:tcBorders>
            <w:noWrap/>
            <w:vAlign w:val="center"/>
            <w:hideMark/>
          </w:tcPr>
          <w:p w14:paraId="625C8640" w14:textId="77777777" w:rsidR="00267159" w:rsidRPr="004D62A0" w:rsidRDefault="00267159" w:rsidP="00662F5C">
            <w:pPr>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rFonts w:eastAsia="Times New Roman" w:cs="Times New Roman"/>
                <w:color w:val="000000"/>
                <w:kern w:val="0"/>
                <w:sz w:val="20"/>
                <w:szCs w:val="20"/>
                <w:lang w:eastAsia="en-GB"/>
                <w14:ligatures w14:val="none"/>
              </w:rPr>
              <w:t>59%</w:t>
            </w:r>
          </w:p>
        </w:tc>
        <w:tc>
          <w:tcPr>
            <w:tcW w:w="0" w:type="dxa"/>
            <w:tcBorders>
              <w:left w:val="single" w:sz="4" w:space="0" w:color="auto"/>
            </w:tcBorders>
            <w:noWrap/>
            <w:vAlign w:val="center"/>
            <w:hideMark/>
          </w:tcPr>
          <w:p w14:paraId="1297392B" w14:textId="77777777" w:rsidR="00267159" w:rsidRPr="004D62A0" w:rsidRDefault="00267159" w:rsidP="00662F5C">
            <w:pPr>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rFonts w:eastAsia="Times New Roman" w:cs="Times New Roman"/>
                <w:color w:val="000000"/>
                <w:kern w:val="0"/>
                <w:sz w:val="20"/>
                <w:szCs w:val="20"/>
                <w:lang w:eastAsia="en-GB"/>
                <w14:ligatures w14:val="none"/>
              </w:rPr>
              <w:t>8018</w:t>
            </w:r>
          </w:p>
        </w:tc>
        <w:tc>
          <w:tcPr>
            <w:tcW w:w="0" w:type="dxa"/>
            <w:noWrap/>
            <w:vAlign w:val="center"/>
            <w:hideMark/>
          </w:tcPr>
          <w:p w14:paraId="4E78DA05" w14:textId="77777777" w:rsidR="00267159" w:rsidRPr="004D62A0" w:rsidRDefault="00267159" w:rsidP="00662F5C">
            <w:pPr>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sz w:val="20"/>
                <w:szCs w:val="20"/>
              </w:rPr>
              <w:t>7433</w:t>
            </w:r>
          </w:p>
        </w:tc>
        <w:tc>
          <w:tcPr>
            <w:tcW w:w="0" w:type="dxa"/>
            <w:tcBorders>
              <w:right w:val="single" w:sz="4" w:space="0" w:color="auto"/>
            </w:tcBorders>
            <w:vAlign w:val="center"/>
          </w:tcPr>
          <w:p w14:paraId="0D50E2E3" w14:textId="77777777" w:rsidR="00267159" w:rsidRPr="004D62A0" w:rsidRDefault="00267159" w:rsidP="00662F5C">
            <w:pPr>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rFonts w:ascii="Aptos Narrow" w:hAnsi="Aptos Narrow"/>
                <w:color w:val="000000"/>
                <w:sz w:val="20"/>
                <w:szCs w:val="20"/>
              </w:rPr>
              <w:t>-7%</w:t>
            </w:r>
          </w:p>
        </w:tc>
        <w:tc>
          <w:tcPr>
            <w:tcW w:w="0" w:type="dxa"/>
            <w:tcBorders>
              <w:left w:val="single" w:sz="4" w:space="0" w:color="auto"/>
            </w:tcBorders>
            <w:vAlign w:val="center"/>
          </w:tcPr>
          <w:p w14:paraId="731CD59C" w14:textId="77777777" w:rsidR="00267159" w:rsidRPr="004D62A0" w:rsidRDefault="00267159" w:rsidP="00662F5C">
            <w:pPr>
              <w:jc w:val="center"/>
              <w:cnfStyle w:val="000000100000" w:firstRow="0" w:lastRow="0" w:firstColumn="0" w:lastColumn="0" w:oddVBand="0" w:evenVBand="0" w:oddHBand="1" w:evenHBand="0" w:firstRowFirstColumn="0" w:firstRowLastColumn="0" w:lastRowFirstColumn="0" w:lastRowLastColumn="0"/>
              <w:rPr>
                <w:color w:val="000000"/>
                <w:sz w:val="20"/>
                <w:szCs w:val="20"/>
              </w:rPr>
            </w:pPr>
            <w:r w:rsidRPr="004D62A0">
              <w:rPr>
                <w:color w:val="000000"/>
                <w:sz w:val="20"/>
                <w:szCs w:val="20"/>
              </w:rPr>
              <w:t>66</w:t>
            </w:r>
          </w:p>
        </w:tc>
        <w:tc>
          <w:tcPr>
            <w:tcW w:w="0" w:type="dxa"/>
            <w:vAlign w:val="center"/>
          </w:tcPr>
          <w:p w14:paraId="343BB5E3" w14:textId="77777777" w:rsidR="00267159" w:rsidRPr="004D62A0" w:rsidRDefault="00267159" w:rsidP="00662F5C">
            <w:pPr>
              <w:jc w:val="center"/>
              <w:cnfStyle w:val="000000100000" w:firstRow="0" w:lastRow="0" w:firstColumn="0" w:lastColumn="0" w:oddVBand="0" w:evenVBand="0" w:oddHBand="1" w:evenHBand="0" w:firstRowFirstColumn="0" w:firstRowLastColumn="0" w:lastRowFirstColumn="0" w:lastRowLastColumn="0"/>
              <w:rPr>
                <w:color w:val="000000"/>
                <w:sz w:val="20"/>
                <w:szCs w:val="20"/>
              </w:rPr>
            </w:pPr>
            <w:r w:rsidRPr="004D62A0">
              <w:rPr>
                <w:color w:val="000000"/>
                <w:sz w:val="20"/>
                <w:szCs w:val="20"/>
              </w:rPr>
              <w:t>52</w:t>
            </w:r>
          </w:p>
        </w:tc>
        <w:tc>
          <w:tcPr>
            <w:tcW w:w="0" w:type="dxa"/>
            <w:vAlign w:val="center"/>
          </w:tcPr>
          <w:p w14:paraId="71BD94D0" w14:textId="77777777" w:rsidR="00267159" w:rsidRPr="004D62A0" w:rsidRDefault="00267159" w:rsidP="00662F5C">
            <w:pPr>
              <w:jc w:val="center"/>
              <w:cnfStyle w:val="000000100000" w:firstRow="0" w:lastRow="0" w:firstColumn="0" w:lastColumn="0" w:oddVBand="0" w:evenVBand="0" w:oddHBand="1" w:evenHBand="0" w:firstRowFirstColumn="0" w:firstRowLastColumn="0" w:lastRowFirstColumn="0" w:lastRowLastColumn="0"/>
              <w:rPr>
                <w:color w:val="000000"/>
                <w:sz w:val="20"/>
                <w:szCs w:val="20"/>
              </w:rPr>
            </w:pPr>
            <w:r w:rsidRPr="004D62A0">
              <w:rPr>
                <w:color w:val="000000"/>
                <w:sz w:val="20"/>
                <w:szCs w:val="20"/>
              </w:rPr>
              <w:t>-21%</w:t>
            </w:r>
          </w:p>
        </w:tc>
      </w:tr>
      <w:tr w:rsidR="00267159" w:rsidRPr="004D62A0" w14:paraId="7E902876" w14:textId="77777777" w:rsidTr="03D9AF8F">
        <w:trPr>
          <w:trHeight w:val="288"/>
        </w:trPr>
        <w:tc>
          <w:tcPr>
            <w:cnfStyle w:val="001000000000" w:firstRow="0" w:lastRow="0" w:firstColumn="1" w:lastColumn="0" w:oddVBand="0" w:evenVBand="0" w:oddHBand="0" w:evenHBand="0" w:firstRowFirstColumn="0" w:firstRowLastColumn="0" w:lastRowFirstColumn="0" w:lastRowLastColumn="0"/>
            <w:tcW w:w="0" w:type="dxa"/>
            <w:tcBorders>
              <w:bottom w:val="single" w:sz="4" w:space="0" w:color="auto"/>
            </w:tcBorders>
            <w:noWrap/>
            <w:vAlign w:val="center"/>
            <w:hideMark/>
          </w:tcPr>
          <w:p w14:paraId="35034E93" w14:textId="77777777" w:rsidR="00267159" w:rsidRPr="004D62A0" w:rsidRDefault="00267159" w:rsidP="00662F5C">
            <w:pPr>
              <w:jc w:val="right"/>
              <w:rPr>
                <w:rFonts w:eastAsia="Times New Roman" w:cs="Times New Roman"/>
                <w:color w:val="000000"/>
                <w:kern w:val="0"/>
                <w:sz w:val="20"/>
                <w:szCs w:val="20"/>
                <w:lang w:eastAsia="en-GB"/>
                <w14:ligatures w14:val="none"/>
              </w:rPr>
            </w:pPr>
            <w:r w:rsidRPr="004D62A0">
              <w:rPr>
                <w:rFonts w:eastAsia="Times New Roman" w:cs="Times New Roman"/>
                <w:color w:val="000000"/>
                <w:kern w:val="0"/>
                <w:sz w:val="20"/>
                <w:szCs w:val="20"/>
                <w:lang w:eastAsia="en-GB"/>
                <w14:ligatures w14:val="none"/>
              </w:rPr>
              <w:t>2100</w:t>
            </w:r>
          </w:p>
        </w:tc>
        <w:tc>
          <w:tcPr>
            <w:tcW w:w="0" w:type="dxa"/>
            <w:tcBorders>
              <w:bottom w:val="single" w:sz="4" w:space="0" w:color="auto"/>
            </w:tcBorders>
            <w:noWrap/>
            <w:vAlign w:val="center"/>
            <w:hideMark/>
          </w:tcPr>
          <w:p w14:paraId="5AEA2B7A" w14:textId="77777777" w:rsidR="00267159" w:rsidRPr="004D62A0" w:rsidRDefault="00267159" w:rsidP="00662F5C">
            <w:pPr>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rFonts w:eastAsia="Times New Roman" w:cs="Times New Roman"/>
                <w:color w:val="000000"/>
                <w:kern w:val="0"/>
                <w:sz w:val="20"/>
                <w:szCs w:val="20"/>
                <w:lang w:eastAsia="en-GB"/>
                <w14:ligatures w14:val="none"/>
              </w:rPr>
              <w:t>1157</w:t>
            </w:r>
          </w:p>
        </w:tc>
        <w:tc>
          <w:tcPr>
            <w:tcW w:w="0" w:type="dxa"/>
            <w:tcBorders>
              <w:bottom w:val="single" w:sz="4" w:space="0" w:color="auto"/>
            </w:tcBorders>
            <w:noWrap/>
            <w:vAlign w:val="center"/>
            <w:hideMark/>
          </w:tcPr>
          <w:p w14:paraId="6492CB7F" w14:textId="77777777" w:rsidR="00267159" w:rsidRPr="004D62A0" w:rsidRDefault="00267159" w:rsidP="00662F5C">
            <w:pPr>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rFonts w:eastAsia="Times New Roman" w:cs="Times New Roman"/>
                <w:color w:val="000000"/>
                <w:kern w:val="0"/>
                <w:sz w:val="20"/>
                <w:szCs w:val="20"/>
                <w:lang w:eastAsia="en-GB"/>
                <w14:ligatures w14:val="none"/>
              </w:rPr>
              <w:t>1878</w:t>
            </w:r>
          </w:p>
        </w:tc>
        <w:tc>
          <w:tcPr>
            <w:tcW w:w="0" w:type="dxa"/>
            <w:tcBorders>
              <w:bottom w:val="single" w:sz="4" w:space="0" w:color="auto"/>
              <w:right w:val="single" w:sz="4" w:space="0" w:color="auto"/>
            </w:tcBorders>
            <w:noWrap/>
            <w:vAlign w:val="center"/>
            <w:hideMark/>
          </w:tcPr>
          <w:p w14:paraId="6E95C1B8" w14:textId="77777777" w:rsidR="00267159" w:rsidRPr="004D62A0" w:rsidRDefault="00267159" w:rsidP="00662F5C">
            <w:pPr>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rFonts w:eastAsia="Times New Roman" w:cs="Times New Roman"/>
                <w:color w:val="000000"/>
                <w:kern w:val="0"/>
                <w:sz w:val="20"/>
                <w:szCs w:val="20"/>
                <w:lang w:eastAsia="en-GB"/>
                <w14:ligatures w14:val="none"/>
              </w:rPr>
              <w:t>62%</w:t>
            </w:r>
          </w:p>
        </w:tc>
        <w:tc>
          <w:tcPr>
            <w:tcW w:w="0" w:type="dxa"/>
            <w:tcBorders>
              <w:left w:val="single" w:sz="4" w:space="0" w:color="auto"/>
              <w:bottom w:val="single" w:sz="4" w:space="0" w:color="auto"/>
            </w:tcBorders>
            <w:noWrap/>
            <w:vAlign w:val="center"/>
            <w:hideMark/>
          </w:tcPr>
          <w:p w14:paraId="02358FFB" w14:textId="77777777" w:rsidR="00267159" w:rsidRPr="004D62A0" w:rsidRDefault="00267159" w:rsidP="00662F5C">
            <w:pPr>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rFonts w:eastAsia="Times New Roman" w:cs="Times New Roman"/>
                <w:color w:val="000000"/>
                <w:kern w:val="0"/>
                <w:sz w:val="20"/>
                <w:szCs w:val="20"/>
                <w:lang w:eastAsia="en-GB"/>
                <w14:ligatures w14:val="none"/>
              </w:rPr>
              <w:t>8102</w:t>
            </w:r>
          </w:p>
        </w:tc>
        <w:tc>
          <w:tcPr>
            <w:tcW w:w="0" w:type="dxa"/>
            <w:tcBorders>
              <w:bottom w:val="single" w:sz="4" w:space="0" w:color="auto"/>
            </w:tcBorders>
            <w:noWrap/>
            <w:vAlign w:val="center"/>
            <w:hideMark/>
          </w:tcPr>
          <w:p w14:paraId="5BE14575" w14:textId="77777777" w:rsidR="00267159" w:rsidRPr="004D62A0" w:rsidRDefault="00267159" w:rsidP="00662F5C">
            <w:pPr>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sz w:val="20"/>
                <w:szCs w:val="20"/>
              </w:rPr>
              <w:t>7472</w:t>
            </w:r>
          </w:p>
        </w:tc>
        <w:tc>
          <w:tcPr>
            <w:tcW w:w="0" w:type="dxa"/>
            <w:tcBorders>
              <w:bottom w:val="single" w:sz="4" w:space="0" w:color="auto"/>
              <w:right w:val="single" w:sz="4" w:space="0" w:color="auto"/>
            </w:tcBorders>
            <w:vAlign w:val="center"/>
          </w:tcPr>
          <w:p w14:paraId="6C3278F6" w14:textId="77777777" w:rsidR="00267159" w:rsidRPr="004D62A0" w:rsidRDefault="00267159" w:rsidP="00662F5C">
            <w:pPr>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20"/>
                <w:szCs w:val="20"/>
                <w:lang w:eastAsia="en-GB"/>
                <w14:ligatures w14:val="none"/>
              </w:rPr>
            </w:pPr>
            <w:r w:rsidRPr="004D62A0">
              <w:rPr>
                <w:rFonts w:ascii="Aptos Narrow" w:hAnsi="Aptos Narrow"/>
                <w:color w:val="000000"/>
                <w:sz w:val="20"/>
                <w:szCs w:val="20"/>
              </w:rPr>
              <w:t>-8%</w:t>
            </w:r>
          </w:p>
        </w:tc>
        <w:tc>
          <w:tcPr>
            <w:tcW w:w="0" w:type="dxa"/>
            <w:tcBorders>
              <w:left w:val="single" w:sz="4" w:space="0" w:color="auto"/>
              <w:bottom w:val="single" w:sz="4" w:space="0" w:color="auto"/>
            </w:tcBorders>
            <w:vAlign w:val="center"/>
          </w:tcPr>
          <w:p w14:paraId="675775F1" w14:textId="77777777" w:rsidR="00267159" w:rsidRPr="004D62A0" w:rsidRDefault="00267159" w:rsidP="00662F5C">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4D62A0">
              <w:rPr>
                <w:color w:val="000000"/>
                <w:sz w:val="20"/>
                <w:szCs w:val="20"/>
              </w:rPr>
              <w:t>65</w:t>
            </w:r>
          </w:p>
        </w:tc>
        <w:tc>
          <w:tcPr>
            <w:tcW w:w="0" w:type="dxa"/>
            <w:tcBorders>
              <w:bottom w:val="single" w:sz="4" w:space="0" w:color="auto"/>
            </w:tcBorders>
            <w:vAlign w:val="center"/>
          </w:tcPr>
          <w:p w14:paraId="21549311" w14:textId="77777777" w:rsidR="00267159" w:rsidRPr="004D62A0" w:rsidRDefault="00267159" w:rsidP="00662F5C">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4D62A0">
              <w:rPr>
                <w:color w:val="000000"/>
                <w:sz w:val="20"/>
                <w:szCs w:val="20"/>
              </w:rPr>
              <w:t>51</w:t>
            </w:r>
          </w:p>
        </w:tc>
        <w:tc>
          <w:tcPr>
            <w:tcW w:w="0" w:type="dxa"/>
            <w:tcBorders>
              <w:bottom w:val="single" w:sz="4" w:space="0" w:color="auto"/>
            </w:tcBorders>
            <w:vAlign w:val="center"/>
          </w:tcPr>
          <w:p w14:paraId="449AB7F6" w14:textId="77777777" w:rsidR="00267159" w:rsidRPr="004D62A0" w:rsidRDefault="00267159" w:rsidP="00662F5C">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4D62A0">
              <w:rPr>
                <w:color w:val="000000"/>
                <w:sz w:val="20"/>
                <w:szCs w:val="20"/>
              </w:rPr>
              <w:t>-21%</w:t>
            </w:r>
          </w:p>
        </w:tc>
      </w:tr>
    </w:tbl>
    <w:p w14:paraId="7B6D3DBC" w14:textId="77777777" w:rsidR="00267159" w:rsidRDefault="00267159" w:rsidP="00267159">
      <w:pPr>
        <w:spacing w:line="276" w:lineRule="auto"/>
        <w:jc w:val="both"/>
      </w:pPr>
    </w:p>
    <w:p w14:paraId="28E653B4" w14:textId="77777777" w:rsidR="00267159" w:rsidRPr="007E4682" w:rsidRDefault="00267159" w:rsidP="00267159">
      <w:pPr>
        <w:spacing w:line="276" w:lineRule="auto"/>
        <w:jc w:val="both"/>
      </w:pPr>
    </w:p>
    <w:p w14:paraId="2725E45A" w14:textId="35142F3B" w:rsidR="00267159" w:rsidRPr="00FC4EEF" w:rsidRDefault="003A72A2" w:rsidP="00267159">
      <w:pPr>
        <w:pStyle w:val="Heading3"/>
        <w:rPr>
          <w:i/>
          <w:iCs/>
        </w:rPr>
      </w:pPr>
      <w:bookmarkStart w:id="10" w:name="_Toc197023391"/>
      <w:r>
        <w:t>Wildfire activity</w:t>
      </w:r>
      <w:bookmarkEnd w:id="10"/>
    </w:p>
    <w:p w14:paraId="73B620DE" w14:textId="4EDA516E" w:rsidR="00267159" w:rsidRDefault="00267159" w:rsidP="00267159">
      <w:pPr>
        <w:spacing w:line="276" w:lineRule="auto"/>
        <w:jc w:val="both"/>
      </w:pPr>
      <w:r>
        <w:t xml:space="preserve">Wildfire activity is </w:t>
      </w:r>
      <w:r w:rsidRPr="004A363A">
        <w:t>determined by the parametrization of SuCCESs’ land-use module CLASH</w:t>
      </w:r>
      <w:r>
        <w:t xml:space="preserve">, and they occur only in secondary (managed) forests in the current model version </w:t>
      </w:r>
      <w:r w:rsidR="00DF0089">
        <w:fldChar w:fldCharType="begin"/>
      </w:r>
      <w:r w:rsidR="00CC33DA">
        <w:instrText xml:space="preserve"> ADDIN ZOTERO_ITEM CSL_CITATION {"citationID":"Yy2AIHJh","properties":{"formattedCitation":"(Ekholm et al., 2024b)","plainCitation":"(Ekholm et al., 2024b)","noteIndex":0},"citationItems":[{"id":1023,"uris":["http://zotero.org/users/11614317/items/KVICBXQ8"],"itemData":{"id":1023,"type":"article-journal","abstract":"The Climate-responsive Land Allocation model with carbon Storage and Harvests (CLASH) is a global, biophysical land-use model that can be embedded into integrated assessment models (IAMs). CLASH represents vegetation growth, terrestrial carbon stocks, and production from agriculture and forestry for different land uses in a changing climate. Connecting CLASH to an IAM would allow the consideration of terrestrial carbon stocks, agriculture and forestry in global climate policy analyses. All terrestrial ecosystems and their carbon dynamics are comprehensively described at a coarse resolution. Special emphasis is placed on representing the world's forests. Vegetation growth, soil carbon stocks, agricultural yields and natural disturbance frequencies react to changing climatic conditions, emulating the dynamic global vegetation model LPJ-GUESS. Land is divided into 10 biomes with six land-use classes (including forests and agricultural classes). Secondary forests are age structured. The timing of forest harvests affects forest carbon stocks, and, hence, carbon storage per forest area can be increased through forest management. In addition to secondary forests, CLASH also includes primary ecosystems, cropland and pastures. The comprehensive inclusion of all land-use classes and their main functions allows representing the global land-use competition. In this article, we present, calibrate and validate the model; demonstrate its use; and discuss how it can be integrated into IAMs.","container-title":"Geoscientific Model Development","DOI":"10.5194/gmd-17-3041-2024","ISSN":"1991-959X","issue":"7","language":"English","note":"publisher: Copernicus GmbH","page":"3041-3062","source":"Copernicus Online Journals","title":"CLASH – Climate-responsive Land Allocation model with carbon Storage and Harvests","volume":"17","author":[{"family":"Ekholm","given":"Tommi"},{"family":"Freistetter","given":"Nadine-Cyra"},{"family":"Rautiainen","given":"Aapo"},{"family":"Thölix","given":"Laura"}],"issued":{"date-parts":[["2024",4,17]]}}}],"schema":"https://github.com/citation-style-language/schema/raw/master/csl-citation.json"} </w:instrText>
      </w:r>
      <w:r w:rsidR="00DF0089">
        <w:fldChar w:fldCharType="separate"/>
      </w:r>
      <w:r w:rsidR="00CC33DA" w:rsidRPr="00CC33DA">
        <w:rPr>
          <w:rFonts w:ascii="Aptos" w:hAnsi="Aptos"/>
        </w:rPr>
        <w:t>(Ekholm et al., 2024b)</w:t>
      </w:r>
      <w:r w:rsidR="00DF0089">
        <w:fldChar w:fldCharType="end"/>
      </w:r>
      <w:r w:rsidRPr="004A363A">
        <w:t>. The parametrization has originally been calculated with the LPJ-Guess-</w:t>
      </w:r>
      <w:proofErr w:type="spellStart"/>
      <w:r w:rsidRPr="004A363A">
        <w:t>Simfire</w:t>
      </w:r>
      <w:proofErr w:type="spellEnd"/>
      <w:r w:rsidRPr="004A363A">
        <w:t>-Blaze model</w:t>
      </w:r>
      <w:r>
        <w:t xml:space="preserve"> </w:t>
      </w:r>
      <w:r w:rsidR="00DF0089">
        <w:fldChar w:fldCharType="begin"/>
      </w:r>
      <w:r w:rsidR="00CC33DA">
        <w:instrText xml:space="preserve"> ADDIN ZOTERO_ITEM CSL_CITATION {"citationID":"YewQWY6B","properties":{"unsorted":true,"formattedCitation":"(Knorr et al., 2014; Rabin et al., 2017)","plainCitation":"(Knorr et al., 2014; Rabin et al., 2017)","noteIndex":0},"citationItems":[{"id":1021,"uris":["http://zotero.org/users/11614317/items/BMN6HTUY"],"itemData":{"id":1021,"type":"article-journal","abstract":"Human impact on wildfires, a major earth system component, remains poorly understood. While local studies have found more fires close to settlements and roads, assimilated charcoal records and analyses of regional fire patterns from remote-sensing observations point to a decline in fire frequency with increasing human population. Here, we present a global analysis using three multi-year satellite-based burned-area products combined with a parameter estimation and uncertainty analysis with a non-linear model. We show that at the global scale, the impact of increasing population density is mainly to reduce fire frequency. Only for areas with up to 0.1 people per km2, we find that fire frequency increases by 10 to 20% relative to its value at no population. The results are robust against choice of burned-area data set, and indicate that at only very few places on earth, fire frequency is limited by human ignitions. Applying the results to historical population estimates results in a moderate but accelerating decline of global burned area by around 14% since 1800, with most of the decline since 1950.","container-title":"Biogeosciences","DOI":"10.5194/bg-11-1085-2014","ISSN":"1726-4170","issue":"4","language":"English","note":"publisher: Copernicus GmbH","page":"1085-1102","source":"Copernicus Online Journals","title":"Impact of human population density on fire frequency at the global scale","volume":"11","author":[{"family":"Knorr","given":"W."},{"family":"Kaminski","given":"T."},{"family":"Arneth","given":"A."},{"family":"Weber","given":"U."}],"issued":{"date-parts":[["2014",2,26]]}}},{"id":1019,"uris":["http://zotero.org/users/11614317/items/PJCN9ACL"],"itemData":{"id":1019,"type":"article-journal","abstract":"The important role of fire in regulating vegetation community composition and contributions to emissions of greenhouse gases and aerosols make it a critical component of dynamic global vegetation models and Earth system models. Over 2 decades of development, a wide variety of model structures and mechanisms have been designed and incorporated into global fire models, which have been linked to different vegetation models. However, there has not yet been a systematic examination of how these different strategies contribute to model performance. Here we describe the structure of the first phase of the Fire Model Intercomparison Project (FireMIP), which for the first time seeks to systematically compare a number of models. By combining a standardized set of input data and model experiments with a rigorous comparison of model outputs to each other and to observations, we will improve the understanding of what drives vegetation fire, how it can best be simulated, and what new or improved observational data could allow better constraints on model behavior. In this paper, we introduce the fire models used in the first phase of FireMIP, the simulation protocols applied, and the benchmarking system used to evaluate the models. We have also created supplementary tables that describe, in thorough mathematical detail, the structure of each model.","container-title":"Geoscientific Model Development","DOI":"10.5194/gmd-10-1175-2017","ISSN":"1991-959X","issue":"3","language":"English","note":"publisher: Copernicus GmbH","page":"1175-1197","source":"Copernicus Online Journals","title":"The Fire Modeling Intercomparison Project (FireMIP), phase 1: experimental and analytical protocols with detailed model descriptions","title-short":"The Fire Modeling Intercomparison Project (FireMIP), phase 1","volume":"10","author":[{"family":"Rabin","given":"Sam S."},{"family":"Melton","given":"Joe R."},{"family":"Lasslop","given":"Gitta"},{"family":"Bachelet","given":"Dominique"},{"family":"Forrest","given":"Matthew"},{"family":"Hantson","given":"Stijn"},{"family":"Kaplan","given":"Jed O."},{"family":"Li","given":"Fang"},{"family":"Mangeon","given":"Stéphane"},{"family":"Ward","given":"Daniel S."},{"family":"Yue","given":"Chao"},{"family":"Arora","given":"Vivek K."},{"family":"Hickler","given":"Thomas"},{"family":"Kloster","given":"Silvia"},{"family":"Knorr","given":"Wolfgang"},{"family":"Nieradzik","given":"Lars"},{"family":"Spessa","given":"Allan"},{"family":"Folberth","given":"Gerd A."},{"family":"Sheehan","given":"Tim"},{"family":"Voulgarakis","given":"Apostolos"},{"family":"Kelley","given":"Douglas I."},{"family":"Prentice","given":"I. Colin"},{"family":"Sitch","given":"Stephen"},{"family":"Harrison","given":"Sandy"},{"family":"Arneth","given":"Almut"}],"issued":{"date-parts":[["2017",3,17]]}}}],"schema":"https://github.com/citation-style-language/schema/raw/master/csl-citation.json"} </w:instrText>
      </w:r>
      <w:r w:rsidR="00DF0089">
        <w:fldChar w:fldCharType="separate"/>
      </w:r>
      <w:r w:rsidR="00CC33DA" w:rsidRPr="00CC33DA">
        <w:rPr>
          <w:rFonts w:ascii="Aptos" w:hAnsi="Aptos"/>
        </w:rPr>
        <w:t>(Knorr et al., 2014; Rabin et al., 2017)</w:t>
      </w:r>
      <w:r w:rsidR="00DF0089">
        <w:fldChar w:fldCharType="end"/>
      </w:r>
      <w:r w:rsidRPr="004A363A">
        <w:t xml:space="preserve">. </w:t>
      </w:r>
      <w:proofErr w:type="spellStart"/>
      <w:r w:rsidRPr="004A363A">
        <w:t>Simfire</w:t>
      </w:r>
      <w:proofErr w:type="spellEnd"/>
      <w:r w:rsidRPr="004A363A">
        <w:t xml:space="preserve">-Blaze has been shown to outperform other wildfire models in the estimation of annual globally burnt area in intercomparisons with satellite observations </w:t>
      </w:r>
      <w:r w:rsidR="00DF0089" w:rsidRPr="004A363A">
        <w:fldChar w:fldCharType="begin"/>
      </w:r>
      <w:r w:rsidR="00CC33DA">
        <w:instrText xml:space="preserve"> ADDIN ZOTERO_ITEM CSL_CITATION {"citationID":"cv9Ggapr","properties":{"formattedCitation":"(Andela et al., 2017)","plainCitation":"(Andela et al., 2017)","noteIndex":0},"citationItems":[{"id":254,"uris":["http://zotero.org/users/11614317/items/86J5W9PQ"],"itemData":{"id":254,"type":"article-journal","abstract":"Fire is an essential Earth system process that alters ecosystem and atmospheric composition. Here we assessed long-term fire trends using multiple satellite data sets. We found that global burned area declined by 24.3 ± 8.8% over the past 18 years. The estimated decrease in burned area remained robust after adjusting for precipitation variability and was largest in savannas. Agricultural expansion and intensification were primary drivers of declining fire activity. Fewer and smaller fires reduced aerosol concentrations, modified vegetation structure, and increased the magnitude of the terrestrial carbon sink. Fire models were unable to reproduce the pattern and magnitude of observed declines, suggesting that they may overestimate fire emissions in future projections. Using economic and demographic variables, we developed a conceptual model for predicting fire in human-dominated landscapes.","container-title":"Science","DOI":"10.1126/science.aal4108","issue":"6345","note":"publisher: American Association for the Advancement of Science","page":"1356-1362","source":"science.org (Atypon)","title":"A human-driven decline in global burned area","volume":"356","author":[{"family":"Andela","given":"N."},{"family":"Morton","given":"D. C."},{"family":"Giglio","given":"L."},{"family":"Chen","given":"Y."},{"family":"Werf","given":"G. R.","non-dropping-particle":"van der"},{"family":"Kasibhatla","given":"P. S."},{"family":"DeFries","given":"R. S."},{"family":"Collatz","given":"G. J."},{"family":"Hantson","given":"S."},{"family":"Kloster","given":"S."},{"family":"Bachelet","given":"D."},{"family":"Forrest","given":"M."},{"family":"Lasslop","given":"G."},{"family":"Li","given":"F."},{"family":"Mangeon","given":"S."},{"family":"Melton","given":"J. R."},{"family":"Yue","given":"C."},{"family":"Randerson","given":"J. T."}],"issued":{"date-parts":[["2017",6,30]]}}}],"schema":"https://github.com/citation-style-language/schema/raw/master/csl-citation.json"} </w:instrText>
      </w:r>
      <w:r w:rsidR="00DF0089" w:rsidRPr="004A363A">
        <w:fldChar w:fldCharType="separate"/>
      </w:r>
      <w:r w:rsidR="00CC33DA" w:rsidRPr="00CC33DA">
        <w:rPr>
          <w:rFonts w:ascii="Aptos" w:hAnsi="Aptos"/>
        </w:rPr>
        <w:t>(Andela et al., 2017)</w:t>
      </w:r>
      <w:r w:rsidR="00DF0089" w:rsidRPr="004A363A">
        <w:fldChar w:fldCharType="end"/>
      </w:r>
      <w:r w:rsidRPr="004A363A">
        <w:t xml:space="preserve">. </w:t>
      </w:r>
      <w:r>
        <w:t xml:space="preserve">While </w:t>
      </w:r>
      <w:proofErr w:type="spellStart"/>
      <w:r>
        <w:t>Simfire</w:t>
      </w:r>
      <w:proofErr w:type="spellEnd"/>
      <w:r>
        <w:t>-Blaze has effectively depicted global wildfires in the early 21st century, there is no assurance it will maintain accuracy under climate shifts. To illustrate the current uncertainties surrounding climatic forest fires, we symmetrically incorporated into SuCCESs’ default projections</w:t>
      </w:r>
      <w:r w:rsidRPr="00EF7ADE">
        <w:t xml:space="preserve"> </w:t>
      </w:r>
      <w:r>
        <w:t xml:space="preserve">the range of estimated changes in global burnt forest area due to climatic change by an ensemble of leading integrated assessment models </w:t>
      </w:r>
      <w:r w:rsidR="00DF0089">
        <w:fldChar w:fldCharType="begin"/>
      </w:r>
      <w:r w:rsidR="00CC33DA">
        <w:instrText xml:space="preserve"> ADDIN ZOTERO_ITEM CSL_CITATION {"citationID":"O0oDM4Si","properties":{"formattedCitation":"(J\\uc0\\u228{}ger et al., 2024)","plainCitation":"(Jäger et al., 2024)","noteIndex":0},"citationItems":[{"id":1005,"uris":["http://zotero.org/users/11614317/items/GIQ6C3IV"],"itemData":{"id":1005,"type":"article","abstract":"Forestation can contribute to climate change mitigation. However, an increasing frequency and intensity of climate extremes is posed to have profound impact on forests, and consequently on the mitigation potential of forestation efforts. In this perspective, we critically assess forestation-reliant climate mitigation scenarios from five different Integrated Assessment Models (IAMs) by show-casing the spatially explicit exposure of forests to fire weather and the simulated increase in global 5 annual burned area. We provide a detailed description of the feedback from climate change to forest carbon uptake in IAMs. Few IAMs are currently accounting for feedback mechanisms like loss from fire disturbance. Consequently many forestation areas proposed by IAM scenarios will be exposed to fire-promoting weather conditions and without costly prevention measures might be object to frequent burning. We conclude that the actual climate mitigation portfolio in IAM scenarios is subject to substantial uncertainty and that the risk of overly optimistic estimates of negative emission potential of forestation should be 10 avoided. As a way forward we propose how to integrate more detailed climate information when modeling climate mitigation pathways heavily relying on forestation.","DOI":"10.5194/egusphere-2024-15","language":"en","license":"https://creativecommons.org/licenses/by/4.0/","source":"Climate change/Human/Earth system interactions/Earth system and climate modeling","title":"Fire Weather Compromises Forestation-reliant Climate Mitigation Pathways","URL":"https://egusphere.copernicus.org/preprints/2024/egusphere-2024-15/","author":[{"family":"Jäger","given":"Felix"},{"family":"Schwaab","given":"Jonas"},{"family":"Quilcaille","given":"Yann"},{"family":"Windisch","given":"Michael"},{"family":"Doelman","given":"Jonathan"},{"family":"Frank","given":"Stefan"},{"family":"Gusti","given":"Mykola"},{"family":"Havlik","given":"Petr"},{"family":"Humpenöder","given":"Florian"},{"family":"Lessa Derci Augustynczik","given":"Andrey"},{"family":"Müller","given":"Christoph"},{"family":"Narayan","given":"Kanishka B."},{"family":"Padrón","given":"Ryan S."},{"family":"Popp","given":"Alexander"},{"family":"Van Vuuren","given":"Detlef"},{"family":"Wögerer","given":"Michael"},{"family":"Seneviratne","given":"Sonia I."}],"accessed":{"date-parts":[["2024",5,7]]},"issued":{"date-parts":[["2024",1,19]]}}}],"schema":"https://github.com/citation-style-language/schema/raw/master/csl-citation.json"} </w:instrText>
      </w:r>
      <w:r w:rsidR="00DF0089">
        <w:fldChar w:fldCharType="separate"/>
      </w:r>
      <w:r w:rsidR="00CC33DA" w:rsidRPr="00CC33DA">
        <w:rPr>
          <w:rFonts w:ascii="Aptos" w:hAnsi="Aptos" w:cs="Times New Roman"/>
          <w:kern w:val="0"/>
        </w:rPr>
        <w:t>(Jäger et al., 2024)</w:t>
      </w:r>
      <w:r w:rsidR="00DF0089">
        <w:fldChar w:fldCharType="end"/>
      </w:r>
      <w:r>
        <w:t xml:space="preserve"> (</w:t>
      </w:r>
      <w:r>
        <w:fldChar w:fldCharType="begin"/>
      </w:r>
      <w:r>
        <w:instrText xml:space="preserve"> REF _Ref171604661 \h </w:instrText>
      </w:r>
      <w:r>
        <w:fldChar w:fldCharType="separate"/>
      </w:r>
      <w:r w:rsidR="007B7678" w:rsidRPr="000A3E9F">
        <w:rPr>
          <w:b/>
          <w:bCs/>
          <w:sz w:val="20"/>
          <w:szCs w:val="20"/>
        </w:rPr>
        <w:t xml:space="preserve">Table </w:t>
      </w:r>
      <w:r w:rsidR="007B7678">
        <w:rPr>
          <w:b/>
          <w:bCs/>
          <w:noProof/>
          <w:sz w:val="20"/>
          <w:szCs w:val="20"/>
        </w:rPr>
        <w:t>2</w:t>
      </w:r>
      <w:r>
        <w:fldChar w:fldCharType="end"/>
      </w:r>
      <w:r>
        <w:t xml:space="preserve">). </w:t>
      </w:r>
      <w:r w:rsidRPr="00DA4E6D">
        <w:t xml:space="preserve">Our three </w:t>
      </w:r>
      <w:r>
        <w:t>wild</w:t>
      </w:r>
      <w:r w:rsidRPr="00DA4E6D">
        <w:t xml:space="preserve">fire </w:t>
      </w:r>
      <w:r>
        <w:t>cases</w:t>
      </w:r>
      <w:r w:rsidRPr="00DA4E6D">
        <w:t xml:space="preserve"> consist of the upper and lower limits of the range, along with the default value.</w:t>
      </w:r>
    </w:p>
    <w:p w14:paraId="2D17CC20" w14:textId="77777777" w:rsidR="00267159" w:rsidRDefault="00267159" w:rsidP="00267159">
      <w:pPr>
        <w:spacing w:line="276" w:lineRule="auto"/>
        <w:jc w:val="both"/>
      </w:pPr>
      <w:bookmarkStart w:id="11" w:name="_Ref165530681"/>
    </w:p>
    <w:p w14:paraId="6F2A4E0B" w14:textId="77777777" w:rsidR="002D30B0" w:rsidRPr="00112D2A" w:rsidRDefault="002D30B0" w:rsidP="00267159">
      <w:pPr>
        <w:spacing w:line="276" w:lineRule="auto"/>
        <w:jc w:val="both"/>
      </w:pPr>
    </w:p>
    <w:p w14:paraId="04FEBBA0" w14:textId="5058E4B8" w:rsidR="00267159" w:rsidRPr="00053706" w:rsidRDefault="00267159" w:rsidP="00267159">
      <w:pPr>
        <w:spacing w:line="276" w:lineRule="auto"/>
        <w:jc w:val="both"/>
        <w:rPr>
          <w:b/>
          <w:bCs/>
          <w:sz w:val="20"/>
          <w:szCs w:val="20"/>
        </w:rPr>
      </w:pPr>
      <w:bookmarkStart w:id="12" w:name="_Ref171604661"/>
      <w:r w:rsidRPr="000A3E9F">
        <w:rPr>
          <w:b/>
          <w:bCs/>
          <w:sz w:val="20"/>
          <w:szCs w:val="20"/>
        </w:rPr>
        <w:t xml:space="preserve">Table </w:t>
      </w:r>
      <w:r w:rsidRPr="000A3E9F">
        <w:rPr>
          <w:b/>
          <w:bCs/>
          <w:sz w:val="20"/>
          <w:szCs w:val="20"/>
        </w:rPr>
        <w:fldChar w:fldCharType="begin"/>
      </w:r>
      <w:r w:rsidRPr="000A3E9F">
        <w:rPr>
          <w:b/>
          <w:bCs/>
          <w:sz w:val="20"/>
          <w:szCs w:val="20"/>
        </w:rPr>
        <w:instrText xml:space="preserve"> SEQ Table \* ARABIC </w:instrText>
      </w:r>
      <w:r w:rsidRPr="000A3E9F">
        <w:rPr>
          <w:b/>
          <w:bCs/>
          <w:sz w:val="20"/>
          <w:szCs w:val="20"/>
        </w:rPr>
        <w:fldChar w:fldCharType="separate"/>
      </w:r>
      <w:r w:rsidR="007B7678">
        <w:rPr>
          <w:b/>
          <w:bCs/>
          <w:noProof/>
          <w:sz w:val="20"/>
          <w:szCs w:val="20"/>
        </w:rPr>
        <w:t>2</w:t>
      </w:r>
      <w:r w:rsidRPr="000A3E9F">
        <w:rPr>
          <w:b/>
          <w:bCs/>
          <w:sz w:val="20"/>
          <w:szCs w:val="20"/>
        </w:rPr>
        <w:fldChar w:fldCharType="end"/>
      </w:r>
      <w:bookmarkEnd w:id="11"/>
      <w:bookmarkEnd w:id="12"/>
      <w:r w:rsidRPr="000A3E9F">
        <w:rPr>
          <w:b/>
          <w:bCs/>
          <w:sz w:val="20"/>
          <w:szCs w:val="20"/>
        </w:rPr>
        <w:t xml:space="preserve">: </w:t>
      </w:r>
      <w:r>
        <w:rPr>
          <w:b/>
          <w:bCs/>
          <w:sz w:val="20"/>
          <w:szCs w:val="20"/>
        </w:rPr>
        <w:t>Forest Fire Activity.</w:t>
      </w:r>
      <w:r w:rsidRPr="004A363A">
        <w:rPr>
          <w:sz w:val="20"/>
          <w:szCs w:val="20"/>
        </w:rPr>
        <w:t xml:space="preserve"> </w:t>
      </w:r>
      <w:r w:rsidRPr="00D0162B">
        <w:rPr>
          <w:i/>
          <w:iCs/>
          <w:sz w:val="20"/>
          <w:szCs w:val="20"/>
        </w:rPr>
        <w:t xml:space="preserve">The </w:t>
      </w:r>
      <w:r>
        <w:rPr>
          <w:i/>
          <w:iCs/>
          <w:sz w:val="20"/>
          <w:szCs w:val="20"/>
        </w:rPr>
        <w:t>proportion</w:t>
      </w:r>
      <w:r w:rsidRPr="00D0162B">
        <w:rPr>
          <w:i/>
          <w:iCs/>
          <w:sz w:val="20"/>
          <w:szCs w:val="20"/>
        </w:rPr>
        <w:t xml:space="preserve"> of secondary forest </w:t>
      </w:r>
      <w:r>
        <w:rPr>
          <w:i/>
          <w:iCs/>
          <w:sz w:val="20"/>
          <w:szCs w:val="20"/>
        </w:rPr>
        <w:t>burned up</w:t>
      </w:r>
      <w:r w:rsidRPr="00D0162B">
        <w:rPr>
          <w:i/>
          <w:iCs/>
          <w:sz w:val="20"/>
          <w:szCs w:val="20"/>
        </w:rPr>
        <w:t xml:space="preserve"> each year</w:t>
      </w:r>
      <w:r>
        <w:rPr>
          <w:i/>
          <w:iCs/>
          <w:sz w:val="20"/>
          <w:szCs w:val="20"/>
        </w:rPr>
        <w:t xml:space="preserve"> (reset to age class zero)</w:t>
      </w:r>
      <w:r w:rsidRPr="00D0162B">
        <w:rPr>
          <w:i/>
          <w:iCs/>
          <w:sz w:val="20"/>
          <w:szCs w:val="20"/>
        </w:rPr>
        <w:t xml:space="preserve"> </w:t>
      </w:r>
      <w:r>
        <w:rPr>
          <w:i/>
          <w:iCs/>
          <w:sz w:val="20"/>
          <w:szCs w:val="20"/>
        </w:rPr>
        <w:t xml:space="preserve">per biome </w:t>
      </w:r>
      <w:r w:rsidRPr="00D0162B">
        <w:rPr>
          <w:i/>
          <w:iCs/>
          <w:sz w:val="20"/>
          <w:szCs w:val="20"/>
        </w:rPr>
        <w:t xml:space="preserve">in the land-use model </w:t>
      </w:r>
      <w:r>
        <w:rPr>
          <w:i/>
          <w:iCs/>
          <w:sz w:val="20"/>
          <w:szCs w:val="20"/>
        </w:rPr>
        <w:t xml:space="preserve">in SuCCESs </w:t>
      </w:r>
      <w:r w:rsidR="00DF0089">
        <w:rPr>
          <w:i/>
          <w:iCs/>
          <w:sz w:val="20"/>
          <w:szCs w:val="20"/>
        </w:rPr>
        <w:fldChar w:fldCharType="begin"/>
      </w:r>
      <w:r w:rsidR="00CC33DA">
        <w:rPr>
          <w:i/>
          <w:iCs/>
        </w:rPr>
        <w:instrText xml:space="preserve"> ADDIN ZOTERO_ITEM CSL_CITATION {"citationID":"Aj6J8DjL","properties":{"formattedCitation":"(Ekholm et al., 2024b)","plainCitation":"(Ekholm et al., 2024b)","noteIndex":0},"citationItems":[{"id":1023,"uris":["http://zotero.org/users/11614317/items/KVICBXQ8"],"itemData":{"id":1023,"type":"article-journal","abstract":"The Climate-responsive Land Allocation model with carbon Storage and Harvests (CLASH) is a global, biophysical land-use model that can be embedded into integrated assessment models (IAMs). CLASH represents vegetation growth, terrestrial carbon stocks, and production from agriculture and forestry for different land uses in a changing climate. Connecting CLASH to an IAM would allow the consideration of terrestrial carbon stocks, agriculture and forestry in global climate policy analyses. All terrestrial ecosystems and their carbon dynamics are comprehensively described at a coarse resolution. Special emphasis is placed on representing the world's forests. Vegetation growth, soil carbon stocks, agricultural yields and natural disturbance frequencies react to changing climatic conditions, emulating the dynamic global vegetation model LPJ-GUESS. Land is divided into 10 biomes with six land-use classes (including forests and agricultural classes). Secondary forests are age structured. The timing of forest harvests affects forest carbon stocks, and, hence, carbon storage per forest area can be increased through forest management. In addition to secondary forests, CLASH also includes primary ecosystems, cropland and pastures. The comprehensive inclusion of all land-use classes and their main functions allows representing the global land-use competition. In this article, we present, calibrate and validate the model; demonstrate its use; and discuss how it can be integrated into IAMs.","container-title":"Geoscientific Model Development","DOI":"10.5194/gmd-17-3041-2024","ISSN":"1991-959X","issue":"7","language":"English","note":"publisher: Copernicus GmbH","page":"3041-3062","source":"Copernicus Online Journals","title":"CLASH – Climate-responsive Land Allocation model with carbon Storage and Harvests","volume":"17","author":[{"family":"Ekholm","given":"Tommi"},{"family":"Freistetter","given":"Nadine-Cyra"},{"family":"Rautiainen","given":"Aapo"},{"family":"Thölix","given":"Laura"}],"issued":{"date-parts":[["2024",4,17]]}}}],"schema":"https://github.com/citation-style-language/schema/raw/master/csl-citation.json"} </w:instrText>
      </w:r>
      <w:r w:rsidR="00DF0089">
        <w:rPr>
          <w:i/>
          <w:iCs/>
          <w:sz w:val="20"/>
          <w:szCs w:val="20"/>
        </w:rPr>
        <w:fldChar w:fldCharType="separate"/>
      </w:r>
      <w:r w:rsidR="00CC33DA" w:rsidRPr="00CC33DA">
        <w:rPr>
          <w:rFonts w:ascii="Aptos" w:hAnsi="Aptos"/>
          <w:sz w:val="20"/>
        </w:rPr>
        <w:t>(Ekholm et al., 2024b)</w:t>
      </w:r>
      <w:r w:rsidR="00DF0089">
        <w:rPr>
          <w:i/>
          <w:iCs/>
          <w:sz w:val="20"/>
          <w:szCs w:val="20"/>
        </w:rPr>
        <w:fldChar w:fldCharType="end"/>
      </w:r>
      <w:r>
        <w:rPr>
          <w:i/>
          <w:iCs/>
          <w:sz w:val="20"/>
          <w:szCs w:val="20"/>
        </w:rPr>
        <w:t xml:space="preserve"> l</w:t>
      </w:r>
      <w:r w:rsidRPr="00D0162B">
        <w:rPr>
          <w:i/>
          <w:iCs/>
          <w:sz w:val="20"/>
          <w:szCs w:val="20"/>
        </w:rPr>
        <w:t>isted from highest to lowest proportion</w:t>
      </w:r>
      <w:r>
        <w:rPr>
          <w:i/>
          <w:iCs/>
          <w:sz w:val="20"/>
          <w:szCs w:val="20"/>
        </w:rPr>
        <w:t xml:space="preserve"> in 2020</w:t>
      </w:r>
      <w:r w:rsidRPr="00D0162B">
        <w:rPr>
          <w:i/>
          <w:iCs/>
          <w:sz w:val="20"/>
          <w:szCs w:val="20"/>
        </w:rPr>
        <w:t>.</w:t>
      </w:r>
      <w:r>
        <w:rPr>
          <w:i/>
          <w:iCs/>
          <w:sz w:val="20"/>
          <w:szCs w:val="20"/>
        </w:rPr>
        <w:t xml:space="preserve"> The range of uncertainty corresponds to the standard deviation in future estimated burnt forest area of five integrated assessment models.</w:t>
      </w:r>
    </w:p>
    <w:tbl>
      <w:tblPr>
        <w:tblStyle w:val="PlainTable5"/>
        <w:tblW w:w="9553" w:type="dxa"/>
        <w:tblLook w:val="04A0" w:firstRow="1" w:lastRow="0" w:firstColumn="1" w:lastColumn="0" w:noHBand="0" w:noVBand="1"/>
      </w:tblPr>
      <w:tblGrid>
        <w:gridCol w:w="2552"/>
        <w:gridCol w:w="992"/>
        <w:gridCol w:w="910"/>
        <w:gridCol w:w="931"/>
        <w:gridCol w:w="291"/>
        <w:gridCol w:w="931"/>
        <w:gridCol w:w="910"/>
        <w:gridCol w:w="814"/>
        <w:gridCol w:w="291"/>
        <w:gridCol w:w="931"/>
      </w:tblGrid>
      <w:tr w:rsidR="00267159" w:rsidRPr="007E42E9" w14:paraId="47DC2450" w14:textId="77777777" w:rsidTr="00662F5C">
        <w:trPr>
          <w:cnfStyle w:val="100000000000" w:firstRow="1" w:lastRow="0" w:firstColumn="0" w:lastColumn="0" w:oddVBand="0" w:evenVBand="0" w:oddHBand="0" w:evenHBand="0" w:firstRowFirstColumn="0" w:firstRowLastColumn="0" w:lastRowFirstColumn="0" w:lastRowLastColumn="0"/>
          <w:trHeight w:val="288"/>
        </w:trPr>
        <w:tc>
          <w:tcPr>
            <w:cnfStyle w:val="001000000100" w:firstRow="0" w:lastRow="0" w:firstColumn="1" w:lastColumn="0" w:oddVBand="0" w:evenVBand="0" w:oddHBand="0" w:evenHBand="0" w:firstRowFirstColumn="1" w:firstRowLastColumn="0" w:lastRowFirstColumn="0" w:lastRowLastColumn="0"/>
            <w:tcW w:w="2552" w:type="dxa"/>
            <w:tcBorders>
              <w:top w:val="single" w:sz="4" w:space="0" w:color="auto"/>
              <w:right w:val="single" w:sz="4" w:space="0" w:color="auto"/>
            </w:tcBorders>
            <w:noWrap/>
            <w:hideMark/>
          </w:tcPr>
          <w:p w14:paraId="3B708DFE" w14:textId="77777777" w:rsidR="00267159" w:rsidRPr="007E42E9" w:rsidRDefault="00267159" w:rsidP="00662F5C">
            <w:pPr>
              <w:jc w:val="left"/>
              <w:rPr>
                <w:rFonts w:ascii="Aptos" w:eastAsia="Times New Roman" w:hAnsi="Aptos" w:cs="Times New Roman"/>
                <w:b/>
                <w:bCs/>
                <w:color w:val="000000"/>
                <w:kern w:val="0"/>
                <w:sz w:val="20"/>
                <w:szCs w:val="20"/>
                <w:lang w:eastAsia="en-GB"/>
                <w14:ligatures w14:val="none"/>
              </w:rPr>
            </w:pPr>
            <w:r w:rsidRPr="003609F4">
              <w:rPr>
                <w:rFonts w:ascii="Aptos" w:eastAsia="Times New Roman" w:hAnsi="Aptos" w:cs="Times New Roman"/>
                <w:b/>
                <w:bCs/>
                <w:color w:val="000000"/>
                <w:kern w:val="0"/>
                <w:sz w:val="18"/>
                <w:szCs w:val="18"/>
                <w:lang w:eastAsia="en-GB"/>
                <w14:ligatures w14:val="none"/>
              </w:rPr>
              <w:lastRenderedPageBreak/>
              <w:t xml:space="preserve">Parametrization: </w:t>
            </w:r>
            <w:r w:rsidRPr="003609F4">
              <w:rPr>
                <w:rFonts w:ascii="Aptos" w:eastAsia="Times New Roman" w:hAnsi="Aptos" w:cs="Times New Roman"/>
                <w:b/>
                <w:color w:val="000000"/>
                <w:kern w:val="0"/>
                <w:sz w:val="18"/>
                <w:szCs w:val="18"/>
                <w:lang w:eastAsia="en-GB"/>
                <w14:ligatures w14:val="none"/>
              </w:rPr>
              <w:t>EC-Earth 3</w:t>
            </w:r>
            <w:r w:rsidRPr="003609F4">
              <w:rPr>
                <w:rFonts w:ascii="Aptos" w:eastAsia="Times New Roman" w:hAnsi="Aptos" w:cs="Times New Roman"/>
                <w:b/>
                <w:color w:val="000000"/>
                <w:kern w:val="0"/>
                <w:sz w:val="18"/>
                <w:szCs w:val="18"/>
                <w:lang w:eastAsia="en-GB"/>
                <w14:ligatures w14:val="none"/>
              </w:rPr>
              <w:br/>
              <w:t>(bias-corrected)</w:t>
            </w:r>
          </w:p>
        </w:tc>
        <w:tc>
          <w:tcPr>
            <w:tcW w:w="992" w:type="dxa"/>
            <w:tcBorders>
              <w:top w:val="single" w:sz="4" w:space="0" w:color="auto"/>
              <w:left w:val="single" w:sz="4" w:space="0" w:color="auto"/>
              <w:right w:val="single" w:sz="4" w:space="0" w:color="auto"/>
            </w:tcBorders>
            <w:noWrap/>
            <w:hideMark/>
          </w:tcPr>
          <w:p w14:paraId="68040AD5" w14:textId="77777777" w:rsidR="00267159" w:rsidRPr="007E42E9" w:rsidRDefault="00267159" w:rsidP="00662F5C">
            <w:pPr>
              <w:jc w:val="center"/>
              <w:cnfStyle w:val="100000000000" w:firstRow="1" w:lastRow="0" w:firstColumn="0" w:lastColumn="0" w:oddVBand="0" w:evenVBand="0" w:oddHBand="0" w:evenHBand="0" w:firstRowFirstColumn="0" w:firstRowLastColumn="0" w:lastRowFirstColumn="0" w:lastRowLastColumn="0"/>
              <w:rPr>
                <w:rFonts w:ascii="Aptos" w:eastAsia="Times New Roman" w:hAnsi="Aptos" w:cs="Times New Roman"/>
                <w:b/>
                <w:bCs/>
                <w:i w:val="0"/>
                <w:iCs w:val="0"/>
                <w:color w:val="000000"/>
                <w:kern w:val="0"/>
                <w:sz w:val="20"/>
                <w:szCs w:val="20"/>
                <w:lang w:eastAsia="en-GB"/>
                <w14:ligatures w14:val="none"/>
              </w:rPr>
            </w:pPr>
            <w:r w:rsidRPr="007E42E9">
              <w:rPr>
                <w:rFonts w:ascii="Aptos" w:eastAsia="Times New Roman" w:hAnsi="Aptos" w:cs="Times New Roman"/>
                <w:b/>
                <w:bCs/>
                <w:i w:val="0"/>
                <w:iCs w:val="0"/>
                <w:color w:val="000000"/>
                <w:kern w:val="0"/>
                <w:sz w:val="20"/>
                <w:szCs w:val="20"/>
                <w:lang w:eastAsia="en-GB"/>
                <w14:ligatures w14:val="none"/>
              </w:rPr>
              <w:t>2020</w:t>
            </w:r>
          </w:p>
          <w:p w14:paraId="7E208B1B" w14:textId="77777777" w:rsidR="00267159" w:rsidRPr="007E42E9" w:rsidRDefault="00267159" w:rsidP="00662F5C">
            <w:pPr>
              <w:jc w:val="center"/>
              <w:cnfStyle w:val="100000000000" w:firstRow="1" w:lastRow="0" w:firstColumn="0" w:lastColumn="0" w:oddVBand="0" w:evenVBand="0" w:oddHBand="0" w:evenHBand="0" w:firstRowFirstColumn="0" w:firstRowLastColumn="0" w:lastRowFirstColumn="0" w:lastRowLastColumn="0"/>
              <w:rPr>
                <w:rFonts w:ascii="Aptos" w:eastAsia="Times New Roman" w:hAnsi="Aptos" w:cs="Times New Roman"/>
                <w:b/>
                <w:bCs/>
                <w:color w:val="000000"/>
                <w:kern w:val="0"/>
                <w:sz w:val="20"/>
                <w:szCs w:val="20"/>
                <w:lang w:eastAsia="en-GB"/>
                <w14:ligatures w14:val="none"/>
              </w:rPr>
            </w:pPr>
            <w:r w:rsidRPr="007E42E9">
              <w:rPr>
                <w:rFonts w:ascii="Aptos" w:eastAsia="Times New Roman" w:hAnsi="Aptos" w:cs="Times New Roman"/>
                <w:b/>
                <w:bCs/>
                <w:color w:val="000000"/>
                <w:kern w:val="0"/>
                <w:sz w:val="20"/>
                <w:szCs w:val="20"/>
                <w:lang w:eastAsia="en-GB"/>
                <w14:ligatures w14:val="none"/>
              </w:rPr>
              <w:t>%</w:t>
            </w:r>
          </w:p>
        </w:tc>
        <w:tc>
          <w:tcPr>
            <w:tcW w:w="3061" w:type="dxa"/>
            <w:gridSpan w:val="4"/>
            <w:tcBorders>
              <w:top w:val="single" w:sz="4" w:space="0" w:color="auto"/>
              <w:left w:val="single" w:sz="4" w:space="0" w:color="auto"/>
              <w:right w:val="single" w:sz="4" w:space="0" w:color="auto"/>
            </w:tcBorders>
            <w:noWrap/>
            <w:hideMark/>
          </w:tcPr>
          <w:p w14:paraId="41858312" w14:textId="77777777" w:rsidR="00267159" w:rsidRPr="007E42E9" w:rsidRDefault="00267159" w:rsidP="00662F5C">
            <w:pPr>
              <w:jc w:val="center"/>
              <w:cnfStyle w:val="100000000000" w:firstRow="1" w:lastRow="0" w:firstColumn="0" w:lastColumn="0" w:oddVBand="0" w:evenVBand="0" w:oddHBand="0" w:evenHBand="0" w:firstRowFirstColumn="0" w:firstRowLastColumn="0" w:lastRowFirstColumn="0" w:lastRowLastColumn="0"/>
              <w:rPr>
                <w:rFonts w:ascii="Aptos" w:eastAsia="Times New Roman" w:hAnsi="Aptos" w:cs="Times New Roman"/>
                <w:b/>
                <w:bCs/>
                <w:i w:val="0"/>
                <w:iCs w:val="0"/>
                <w:color w:val="000000"/>
                <w:kern w:val="0"/>
                <w:sz w:val="20"/>
                <w:szCs w:val="20"/>
                <w:lang w:eastAsia="en-GB"/>
                <w14:ligatures w14:val="none"/>
              </w:rPr>
            </w:pPr>
            <w:r w:rsidRPr="007E42E9">
              <w:rPr>
                <w:rFonts w:ascii="Aptos" w:eastAsia="Times New Roman" w:hAnsi="Aptos" w:cs="Times New Roman"/>
                <w:b/>
                <w:bCs/>
                <w:i w:val="0"/>
                <w:iCs w:val="0"/>
                <w:color w:val="000000"/>
                <w:kern w:val="0"/>
                <w:sz w:val="20"/>
                <w:szCs w:val="20"/>
                <w:lang w:eastAsia="en-GB"/>
                <w14:ligatures w14:val="none"/>
              </w:rPr>
              <w:t>2050 (range)</w:t>
            </w:r>
          </w:p>
          <w:p w14:paraId="3A02118C" w14:textId="77777777" w:rsidR="00267159" w:rsidRPr="007E42E9" w:rsidRDefault="00267159" w:rsidP="00662F5C">
            <w:pPr>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b/>
                <w:bCs/>
                <w:i w:val="0"/>
                <w:iCs w:val="0"/>
                <w:color w:val="000000"/>
                <w:kern w:val="0"/>
                <w:sz w:val="20"/>
                <w:szCs w:val="20"/>
                <w:lang w:eastAsia="en-GB"/>
                <w14:ligatures w14:val="none"/>
              </w:rPr>
            </w:pPr>
            <w:r w:rsidRPr="007E42E9">
              <w:rPr>
                <w:rFonts w:ascii="Aptos" w:eastAsia="Times New Roman" w:hAnsi="Aptos" w:cs="Times New Roman"/>
                <w:b/>
                <w:bCs/>
                <w:i w:val="0"/>
                <w:iCs w:val="0"/>
                <w:color w:val="000000"/>
                <w:kern w:val="0"/>
                <w:sz w:val="20"/>
                <w:szCs w:val="20"/>
                <w:lang w:eastAsia="en-GB"/>
                <w14:ligatures w14:val="none"/>
              </w:rPr>
              <w:t>%</w:t>
            </w:r>
          </w:p>
        </w:tc>
        <w:tc>
          <w:tcPr>
            <w:tcW w:w="2946" w:type="dxa"/>
            <w:gridSpan w:val="4"/>
            <w:tcBorders>
              <w:top w:val="single" w:sz="4" w:space="0" w:color="auto"/>
              <w:left w:val="single" w:sz="4" w:space="0" w:color="auto"/>
            </w:tcBorders>
          </w:tcPr>
          <w:p w14:paraId="7C67F0B0" w14:textId="77777777" w:rsidR="00267159" w:rsidRPr="007E42E9" w:rsidRDefault="00267159" w:rsidP="00662F5C">
            <w:pPr>
              <w:jc w:val="center"/>
              <w:cnfStyle w:val="100000000000" w:firstRow="1" w:lastRow="0" w:firstColumn="0" w:lastColumn="0" w:oddVBand="0" w:evenVBand="0" w:oddHBand="0" w:evenHBand="0" w:firstRowFirstColumn="0" w:firstRowLastColumn="0" w:lastRowFirstColumn="0" w:lastRowLastColumn="0"/>
              <w:rPr>
                <w:rFonts w:ascii="Aptos" w:eastAsia="Times New Roman" w:hAnsi="Aptos" w:cs="Times New Roman"/>
                <w:b/>
                <w:bCs/>
                <w:i w:val="0"/>
                <w:iCs w:val="0"/>
                <w:color w:val="000000"/>
                <w:kern w:val="0"/>
                <w:sz w:val="20"/>
                <w:szCs w:val="20"/>
                <w:lang w:eastAsia="en-GB"/>
                <w14:ligatures w14:val="none"/>
              </w:rPr>
            </w:pPr>
            <w:r w:rsidRPr="007E42E9">
              <w:rPr>
                <w:rFonts w:ascii="Aptos" w:eastAsia="Times New Roman" w:hAnsi="Aptos" w:cs="Times New Roman"/>
                <w:b/>
                <w:bCs/>
                <w:i w:val="0"/>
                <w:iCs w:val="0"/>
                <w:color w:val="000000"/>
                <w:kern w:val="0"/>
                <w:sz w:val="20"/>
                <w:szCs w:val="20"/>
                <w:lang w:eastAsia="en-GB"/>
                <w14:ligatures w14:val="none"/>
              </w:rPr>
              <w:t>2100 (range)</w:t>
            </w:r>
          </w:p>
          <w:p w14:paraId="3A897F0F" w14:textId="77777777" w:rsidR="00267159" w:rsidRPr="007E42E9" w:rsidRDefault="00267159" w:rsidP="00662F5C">
            <w:pPr>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b/>
                <w:bCs/>
                <w:i w:val="0"/>
                <w:iCs w:val="0"/>
                <w:color w:val="000000"/>
                <w:kern w:val="0"/>
                <w:sz w:val="20"/>
                <w:szCs w:val="20"/>
                <w:lang w:eastAsia="en-GB"/>
                <w14:ligatures w14:val="none"/>
              </w:rPr>
            </w:pPr>
            <w:r w:rsidRPr="007E42E9">
              <w:rPr>
                <w:rFonts w:ascii="Aptos" w:eastAsia="Times New Roman" w:hAnsi="Aptos" w:cs="Times New Roman"/>
                <w:b/>
                <w:bCs/>
                <w:i w:val="0"/>
                <w:iCs w:val="0"/>
                <w:color w:val="000000"/>
                <w:kern w:val="0"/>
                <w:sz w:val="20"/>
                <w:szCs w:val="20"/>
                <w:lang w:eastAsia="en-GB"/>
                <w14:ligatures w14:val="none"/>
              </w:rPr>
              <w:t>%</w:t>
            </w:r>
          </w:p>
        </w:tc>
      </w:tr>
      <w:tr w:rsidR="00267159" w:rsidRPr="007E42E9" w14:paraId="4982C298" w14:textId="77777777" w:rsidTr="00662F5C">
        <w:trPr>
          <w:cnfStyle w:val="000000100000" w:firstRow="0" w:lastRow="0" w:firstColumn="0" w:lastColumn="0" w:oddVBand="0" w:evenVBand="0" w:oddHBand="1"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2552" w:type="dxa"/>
            <w:shd w:val="clear" w:color="auto" w:fill="F2F2F2" w:themeFill="background1" w:themeFillShade="F2"/>
            <w:noWrap/>
            <w:vAlign w:val="center"/>
            <w:hideMark/>
          </w:tcPr>
          <w:p w14:paraId="6369DDF0" w14:textId="77777777" w:rsidR="00267159" w:rsidRPr="007E42E9" w:rsidRDefault="00267159" w:rsidP="00662F5C">
            <w:pPr>
              <w:jc w:val="left"/>
              <w:rPr>
                <w:rFonts w:ascii="Aptos Display" w:eastAsia="Times New Roman" w:hAnsi="Aptos Display" w:cs="Times New Roman"/>
                <w:i w:val="0"/>
                <w:iCs w:val="0"/>
                <w:color w:val="000000"/>
                <w:kern w:val="0"/>
                <w:sz w:val="20"/>
                <w:szCs w:val="20"/>
                <w:lang w:eastAsia="en-GB"/>
                <w14:ligatures w14:val="none"/>
              </w:rPr>
            </w:pPr>
            <w:r w:rsidRPr="007E42E9">
              <w:rPr>
                <w:rFonts w:ascii="Aptos Display" w:eastAsia="Times New Roman" w:hAnsi="Aptos Display" w:cs="Times New Roman"/>
                <w:i w:val="0"/>
                <w:iCs w:val="0"/>
                <w:color w:val="000000"/>
                <w:kern w:val="0"/>
                <w:sz w:val="20"/>
                <w:szCs w:val="20"/>
                <w:lang w:eastAsia="en-GB"/>
                <w14:ligatures w14:val="none"/>
              </w:rPr>
              <w:t>Tropical-Dry</w:t>
            </w:r>
          </w:p>
        </w:tc>
        <w:tc>
          <w:tcPr>
            <w:tcW w:w="992" w:type="dxa"/>
            <w:tcBorders>
              <w:right w:val="single" w:sz="4" w:space="0" w:color="auto"/>
            </w:tcBorders>
            <w:noWrap/>
            <w:vAlign w:val="center"/>
            <w:hideMark/>
          </w:tcPr>
          <w:p w14:paraId="6F7427F6" w14:textId="77777777" w:rsidR="00267159" w:rsidRPr="007E42E9"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16.356</w:t>
            </w:r>
          </w:p>
        </w:tc>
        <w:tc>
          <w:tcPr>
            <w:tcW w:w="910" w:type="dxa"/>
            <w:tcBorders>
              <w:left w:val="single" w:sz="4" w:space="0" w:color="auto"/>
            </w:tcBorders>
            <w:noWrap/>
            <w:vAlign w:val="center"/>
            <w:hideMark/>
          </w:tcPr>
          <w:p w14:paraId="562DF829" w14:textId="77777777" w:rsidR="00267159" w:rsidRPr="007E42E9"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14.105</w:t>
            </w:r>
          </w:p>
        </w:tc>
        <w:tc>
          <w:tcPr>
            <w:tcW w:w="931" w:type="dxa"/>
            <w:vAlign w:val="center"/>
            <w:hideMark/>
          </w:tcPr>
          <w:p w14:paraId="3C961709" w14:textId="77777777" w:rsidR="00267159" w:rsidRPr="007E42E9"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(13.176</w:t>
            </w:r>
          </w:p>
        </w:tc>
        <w:tc>
          <w:tcPr>
            <w:tcW w:w="291" w:type="dxa"/>
            <w:vAlign w:val="center"/>
            <w:hideMark/>
          </w:tcPr>
          <w:p w14:paraId="64FE7B73" w14:textId="77777777" w:rsidR="00267159" w:rsidRPr="007E42E9" w:rsidRDefault="00267159" w:rsidP="00662F5C">
            <w:pPr>
              <w:ind w:left="-102" w:firstLine="102"/>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w:t>
            </w:r>
          </w:p>
        </w:tc>
        <w:tc>
          <w:tcPr>
            <w:tcW w:w="931" w:type="dxa"/>
            <w:tcBorders>
              <w:right w:val="single" w:sz="4" w:space="0" w:color="auto"/>
            </w:tcBorders>
            <w:vAlign w:val="center"/>
            <w:hideMark/>
          </w:tcPr>
          <w:p w14:paraId="11D2DA0D" w14:textId="77777777" w:rsidR="00267159" w:rsidRPr="007E42E9"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15.034)</w:t>
            </w:r>
          </w:p>
        </w:tc>
        <w:tc>
          <w:tcPr>
            <w:tcW w:w="910" w:type="dxa"/>
            <w:tcBorders>
              <w:left w:val="single" w:sz="4" w:space="0" w:color="auto"/>
            </w:tcBorders>
            <w:vAlign w:val="center"/>
          </w:tcPr>
          <w:p w14:paraId="6103CE15" w14:textId="77777777" w:rsidR="00267159" w:rsidRPr="007E42E9"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10.355</w:t>
            </w:r>
          </w:p>
        </w:tc>
        <w:tc>
          <w:tcPr>
            <w:tcW w:w="814" w:type="dxa"/>
            <w:vAlign w:val="center"/>
            <w:hideMark/>
          </w:tcPr>
          <w:p w14:paraId="6A05DFA8" w14:textId="77777777" w:rsidR="00267159" w:rsidRPr="007E42E9"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(8.649</w:t>
            </w:r>
          </w:p>
        </w:tc>
        <w:tc>
          <w:tcPr>
            <w:tcW w:w="291" w:type="dxa"/>
            <w:vAlign w:val="center"/>
            <w:hideMark/>
          </w:tcPr>
          <w:p w14:paraId="7E621CAC" w14:textId="77777777" w:rsidR="00267159" w:rsidRPr="007E42E9"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w:t>
            </w:r>
          </w:p>
        </w:tc>
        <w:tc>
          <w:tcPr>
            <w:tcW w:w="931" w:type="dxa"/>
            <w:vAlign w:val="center"/>
            <w:hideMark/>
          </w:tcPr>
          <w:p w14:paraId="14F3013A" w14:textId="77777777" w:rsidR="00267159" w:rsidRPr="007E42E9"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12.060)</w:t>
            </w:r>
          </w:p>
        </w:tc>
      </w:tr>
      <w:tr w:rsidR="00267159" w:rsidRPr="007E42E9" w14:paraId="105789F6" w14:textId="77777777" w:rsidTr="00662F5C">
        <w:trPr>
          <w:trHeight w:val="348"/>
        </w:trPr>
        <w:tc>
          <w:tcPr>
            <w:cnfStyle w:val="001000000000" w:firstRow="0" w:lastRow="0" w:firstColumn="1" w:lastColumn="0" w:oddVBand="0" w:evenVBand="0" w:oddHBand="0" w:evenHBand="0" w:firstRowFirstColumn="0" w:firstRowLastColumn="0" w:lastRowFirstColumn="0" w:lastRowLastColumn="0"/>
            <w:tcW w:w="2552" w:type="dxa"/>
            <w:noWrap/>
            <w:vAlign w:val="center"/>
            <w:hideMark/>
          </w:tcPr>
          <w:p w14:paraId="387027B9" w14:textId="77777777" w:rsidR="00267159" w:rsidRPr="007E42E9" w:rsidRDefault="00267159" w:rsidP="00662F5C">
            <w:pPr>
              <w:jc w:val="left"/>
              <w:rPr>
                <w:rFonts w:ascii="Aptos Display" w:eastAsia="Times New Roman" w:hAnsi="Aptos Display" w:cs="Times New Roman"/>
                <w:i w:val="0"/>
                <w:iCs w:val="0"/>
                <w:color w:val="000000"/>
                <w:kern w:val="0"/>
                <w:sz w:val="20"/>
                <w:szCs w:val="20"/>
                <w:lang w:eastAsia="en-GB"/>
                <w14:ligatures w14:val="none"/>
              </w:rPr>
            </w:pPr>
            <w:r w:rsidRPr="007E42E9">
              <w:rPr>
                <w:rFonts w:ascii="Aptos Display" w:eastAsia="Times New Roman" w:hAnsi="Aptos Display" w:cs="Times New Roman"/>
                <w:i w:val="0"/>
                <w:iCs w:val="0"/>
                <w:color w:val="000000"/>
                <w:kern w:val="0"/>
                <w:sz w:val="20"/>
                <w:szCs w:val="20"/>
                <w:lang w:eastAsia="en-GB"/>
                <w14:ligatures w14:val="none"/>
              </w:rPr>
              <w:t>Semiarid</w:t>
            </w:r>
          </w:p>
        </w:tc>
        <w:tc>
          <w:tcPr>
            <w:tcW w:w="992" w:type="dxa"/>
            <w:tcBorders>
              <w:right w:val="single" w:sz="4" w:space="0" w:color="auto"/>
            </w:tcBorders>
            <w:noWrap/>
            <w:vAlign w:val="center"/>
            <w:hideMark/>
          </w:tcPr>
          <w:p w14:paraId="41B0AA44" w14:textId="77777777" w:rsidR="00267159" w:rsidRPr="007E42E9" w:rsidRDefault="00267159" w:rsidP="00662F5C">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5.658</w:t>
            </w:r>
          </w:p>
        </w:tc>
        <w:tc>
          <w:tcPr>
            <w:tcW w:w="910" w:type="dxa"/>
            <w:tcBorders>
              <w:left w:val="single" w:sz="4" w:space="0" w:color="auto"/>
            </w:tcBorders>
            <w:noWrap/>
            <w:vAlign w:val="center"/>
            <w:hideMark/>
          </w:tcPr>
          <w:p w14:paraId="3180C62D" w14:textId="77777777" w:rsidR="00267159" w:rsidRPr="007E42E9" w:rsidRDefault="00267159" w:rsidP="00662F5C">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6.572</w:t>
            </w:r>
          </w:p>
        </w:tc>
        <w:tc>
          <w:tcPr>
            <w:tcW w:w="931" w:type="dxa"/>
            <w:vAlign w:val="center"/>
            <w:hideMark/>
          </w:tcPr>
          <w:p w14:paraId="343F6D29" w14:textId="77777777" w:rsidR="00267159" w:rsidRPr="007E42E9" w:rsidRDefault="00267159" w:rsidP="00662F5C">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(6.250</w:t>
            </w:r>
          </w:p>
        </w:tc>
        <w:tc>
          <w:tcPr>
            <w:tcW w:w="291" w:type="dxa"/>
            <w:vAlign w:val="center"/>
            <w:hideMark/>
          </w:tcPr>
          <w:p w14:paraId="004B9C4F" w14:textId="77777777" w:rsidR="00267159" w:rsidRPr="007E42E9" w:rsidRDefault="00267159" w:rsidP="00662F5C">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w:t>
            </w:r>
          </w:p>
        </w:tc>
        <w:tc>
          <w:tcPr>
            <w:tcW w:w="931" w:type="dxa"/>
            <w:tcBorders>
              <w:right w:val="single" w:sz="4" w:space="0" w:color="auto"/>
            </w:tcBorders>
            <w:vAlign w:val="center"/>
            <w:hideMark/>
          </w:tcPr>
          <w:p w14:paraId="6FB83114" w14:textId="77777777" w:rsidR="00267159" w:rsidRPr="007E42E9" w:rsidRDefault="00267159" w:rsidP="00662F5C">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6.893)</w:t>
            </w:r>
          </w:p>
        </w:tc>
        <w:tc>
          <w:tcPr>
            <w:tcW w:w="910" w:type="dxa"/>
            <w:tcBorders>
              <w:left w:val="single" w:sz="4" w:space="0" w:color="auto"/>
            </w:tcBorders>
            <w:vAlign w:val="center"/>
          </w:tcPr>
          <w:p w14:paraId="083FB6D2" w14:textId="77777777" w:rsidR="00267159" w:rsidRPr="007E42E9" w:rsidRDefault="00267159" w:rsidP="00662F5C">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8.094</w:t>
            </w:r>
          </w:p>
        </w:tc>
        <w:tc>
          <w:tcPr>
            <w:tcW w:w="814" w:type="dxa"/>
            <w:vAlign w:val="center"/>
            <w:hideMark/>
          </w:tcPr>
          <w:p w14:paraId="0F553D08" w14:textId="77777777" w:rsidR="00267159" w:rsidRPr="007E42E9" w:rsidRDefault="00267159" w:rsidP="00662F5C">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(7.504</w:t>
            </w:r>
          </w:p>
        </w:tc>
        <w:tc>
          <w:tcPr>
            <w:tcW w:w="291" w:type="dxa"/>
            <w:vAlign w:val="center"/>
            <w:hideMark/>
          </w:tcPr>
          <w:p w14:paraId="54130BDC" w14:textId="77777777" w:rsidR="00267159" w:rsidRPr="007E42E9" w:rsidRDefault="00267159" w:rsidP="00662F5C">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w:t>
            </w:r>
          </w:p>
        </w:tc>
        <w:tc>
          <w:tcPr>
            <w:tcW w:w="931" w:type="dxa"/>
            <w:vAlign w:val="center"/>
            <w:hideMark/>
          </w:tcPr>
          <w:p w14:paraId="79BADA59" w14:textId="77777777" w:rsidR="00267159" w:rsidRPr="007E42E9" w:rsidRDefault="00267159" w:rsidP="00662F5C">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8.684)</w:t>
            </w:r>
          </w:p>
        </w:tc>
      </w:tr>
      <w:tr w:rsidR="00267159" w:rsidRPr="007E42E9" w14:paraId="1AD5A532" w14:textId="77777777" w:rsidTr="00662F5C">
        <w:trPr>
          <w:cnfStyle w:val="000000100000" w:firstRow="0" w:lastRow="0" w:firstColumn="0" w:lastColumn="0" w:oddVBand="0" w:evenVBand="0" w:oddHBand="1"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2552" w:type="dxa"/>
            <w:shd w:val="clear" w:color="auto" w:fill="F2F2F2" w:themeFill="background1" w:themeFillShade="F2"/>
            <w:noWrap/>
            <w:vAlign w:val="center"/>
            <w:hideMark/>
          </w:tcPr>
          <w:p w14:paraId="09545F23" w14:textId="77777777" w:rsidR="00267159" w:rsidRPr="007E42E9" w:rsidRDefault="00267159" w:rsidP="00662F5C">
            <w:pPr>
              <w:jc w:val="left"/>
              <w:rPr>
                <w:rFonts w:ascii="Aptos Display" w:eastAsia="Times New Roman" w:hAnsi="Aptos Display" w:cs="Times New Roman"/>
                <w:i w:val="0"/>
                <w:iCs w:val="0"/>
                <w:color w:val="000000"/>
                <w:kern w:val="0"/>
                <w:sz w:val="20"/>
                <w:szCs w:val="20"/>
                <w:lang w:eastAsia="en-GB"/>
                <w14:ligatures w14:val="none"/>
              </w:rPr>
            </w:pPr>
            <w:r w:rsidRPr="007E42E9">
              <w:rPr>
                <w:rFonts w:ascii="Aptos Display" w:eastAsia="Times New Roman" w:hAnsi="Aptos Display" w:cs="Times New Roman"/>
                <w:i w:val="0"/>
                <w:iCs w:val="0"/>
                <w:color w:val="000000"/>
                <w:kern w:val="0"/>
                <w:sz w:val="20"/>
                <w:szCs w:val="20"/>
                <w:lang w:eastAsia="en-GB"/>
                <w14:ligatures w14:val="none"/>
              </w:rPr>
              <w:t>Desert</w:t>
            </w:r>
          </w:p>
        </w:tc>
        <w:tc>
          <w:tcPr>
            <w:tcW w:w="992" w:type="dxa"/>
            <w:tcBorders>
              <w:right w:val="single" w:sz="4" w:space="0" w:color="auto"/>
            </w:tcBorders>
            <w:noWrap/>
            <w:vAlign w:val="center"/>
            <w:hideMark/>
          </w:tcPr>
          <w:p w14:paraId="04D2811C" w14:textId="77777777" w:rsidR="00267159" w:rsidRPr="007E42E9"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1.865</w:t>
            </w:r>
          </w:p>
        </w:tc>
        <w:tc>
          <w:tcPr>
            <w:tcW w:w="910" w:type="dxa"/>
            <w:tcBorders>
              <w:left w:val="single" w:sz="4" w:space="0" w:color="auto"/>
            </w:tcBorders>
            <w:noWrap/>
            <w:vAlign w:val="center"/>
            <w:hideMark/>
          </w:tcPr>
          <w:p w14:paraId="1AAFB5EA" w14:textId="77777777" w:rsidR="00267159" w:rsidRPr="007E42E9"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2.004</w:t>
            </w:r>
          </w:p>
        </w:tc>
        <w:tc>
          <w:tcPr>
            <w:tcW w:w="931" w:type="dxa"/>
            <w:vAlign w:val="center"/>
            <w:hideMark/>
          </w:tcPr>
          <w:p w14:paraId="61E281F6" w14:textId="77777777" w:rsidR="00267159" w:rsidRPr="007E42E9"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(1.898</w:t>
            </w:r>
          </w:p>
        </w:tc>
        <w:tc>
          <w:tcPr>
            <w:tcW w:w="291" w:type="dxa"/>
            <w:vAlign w:val="center"/>
            <w:hideMark/>
          </w:tcPr>
          <w:p w14:paraId="49A09DCC" w14:textId="77777777" w:rsidR="00267159" w:rsidRPr="007E42E9"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w:t>
            </w:r>
          </w:p>
        </w:tc>
        <w:tc>
          <w:tcPr>
            <w:tcW w:w="931" w:type="dxa"/>
            <w:tcBorders>
              <w:right w:val="single" w:sz="4" w:space="0" w:color="auto"/>
            </w:tcBorders>
            <w:vAlign w:val="center"/>
            <w:hideMark/>
          </w:tcPr>
          <w:p w14:paraId="31D27660" w14:textId="77777777" w:rsidR="00267159" w:rsidRPr="007E42E9"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2.110)</w:t>
            </w:r>
          </w:p>
        </w:tc>
        <w:tc>
          <w:tcPr>
            <w:tcW w:w="910" w:type="dxa"/>
            <w:tcBorders>
              <w:left w:val="single" w:sz="4" w:space="0" w:color="auto"/>
            </w:tcBorders>
            <w:vAlign w:val="center"/>
          </w:tcPr>
          <w:p w14:paraId="7213FD7D" w14:textId="77777777" w:rsidR="00267159" w:rsidRPr="007E42E9"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2.234</w:t>
            </w:r>
          </w:p>
        </w:tc>
        <w:tc>
          <w:tcPr>
            <w:tcW w:w="814" w:type="dxa"/>
            <w:vAlign w:val="center"/>
            <w:hideMark/>
          </w:tcPr>
          <w:p w14:paraId="03F0A298" w14:textId="77777777" w:rsidR="00267159" w:rsidRPr="007E42E9"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(2.040</w:t>
            </w:r>
          </w:p>
        </w:tc>
        <w:tc>
          <w:tcPr>
            <w:tcW w:w="291" w:type="dxa"/>
            <w:vAlign w:val="center"/>
            <w:hideMark/>
          </w:tcPr>
          <w:p w14:paraId="419A5033" w14:textId="77777777" w:rsidR="00267159" w:rsidRPr="007E42E9"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w:t>
            </w:r>
          </w:p>
        </w:tc>
        <w:tc>
          <w:tcPr>
            <w:tcW w:w="931" w:type="dxa"/>
            <w:vAlign w:val="center"/>
            <w:hideMark/>
          </w:tcPr>
          <w:p w14:paraId="58038A18" w14:textId="77777777" w:rsidR="00267159" w:rsidRPr="007E42E9"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2.429)</w:t>
            </w:r>
          </w:p>
        </w:tc>
      </w:tr>
      <w:tr w:rsidR="00267159" w:rsidRPr="007E42E9" w14:paraId="2EA8FD74" w14:textId="77777777" w:rsidTr="00662F5C">
        <w:trPr>
          <w:trHeight w:val="348"/>
        </w:trPr>
        <w:tc>
          <w:tcPr>
            <w:cnfStyle w:val="001000000000" w:firstRow="0" w:lastRow="0" w:firstColumn="1" w:lastColumn="0" w:oddVBand="0" w:evenVBand="0" w:oddHBand="0" w:evenHBand="0" w:firstRowFirstColumn="0" w:firstRowLastColumn="0" w:lastRowFirstColumn="0" w:lastRowLastColumn="0"/>
            <w:tcW w:w="2552" w:type="dxa"/>
            <w:noWrap/>
            <w:vAlign w:val="center"/>
            <w:hideMark/>
          </w:tcPr>
          <w:p w14:paraId="112F26EA" w14:textId="77777777" w:rsidR="00267159" w:rsidRPr="007E42E9" w:rsidRDefault="00267159" w:rsidP="00662F5C">
            <w:pPr>
              <w:jc w:val="left"/>
              <w:rPr>
                <w:rFonts w:ascii="Aptos Display" w:eastAsia="Times New Roman" w:hAnsi="Aptos Display" w:cs="Times New Roman"/>
                <w:i w:val="0"/>
                <w:iCs w:val="0"/>
                <w:color w:val="000000"/>
                <w:kern w:val="0"/>
                <w:sz w:val="20"/>
                <w:szCs w:val="20"/>
                <w:lang w:eastAsia="en-GB"/>
                <w14:ligatures w14:val="none"/>
              </w:rPr>
            </w:pPr>
            <w:r w:rsidRPr="007E42E9">
              <w:rPr>
                <w:rFonts w:ascii="Aptos Display" w:eastAsia="Times New Roman" w:hAnsi="Aptos Display" w:cs="Times New Roman"/>
                <w:i w:val="0"/>
                <w:iCs w:val="0"/>
                <w:color w:val="000000"/>
                <w:kern w:val="0"/>
                <w:sz w:val="20"/>
                <w:szCs w:val="20"/>
                <w:lang w:eastAsia="en-GB"/>
                <w14:ligatures w14:val="none"/>
              </w:rPr>
              <w:t>Temperate-Dry</w:t>
            </w:r>
          </w:p>
        </w:tc>
        <w:tc>
          <w:tcPr>
            <w:tcW w:w="992" w:type="dxa"/>
            <w:tcBorders>
              <w:right w:val="single" w:sz="4" w:space="0" w:color="auto"/>
            </w:tcBorders>
            <w:noWrap/>
            <w:vAlign w:val="center"/>
            <w:hideMark/>
          </w:tcPr>
          <w:p w14:paraId="58F497E1" w14:textId="77777777" w:rsidR="00267159" w:rsidRPr="007E42E9" w:rsidRDefault="00267159" w:rsidP="00662F5C">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1.025</w:t>
            </w:r>
          </w:p>
        </w:tc>
        <w:tc>
          <w:tcPr>
            <w:tcW w:w="910" w:type="dxa"/>
            <w:tcBorders>
              <w:left w:val="single" w:sz="4" w:space="0" w:color="auto"/>
            </w:tcBorders>
            <w:noWrap/>
            <w:vAlign w:val="center"/>
            <w:hideMark/>
          </w:tcPr>
          <w:p w14:paraId="3A736768" w14:textId="77777777" w:rsidR="00267159" w:rsidRPr="007E42E9" w:rsidRDefault="00267159" w:rsidP="00662F5C">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0.900</w:t>
            </w:r>
          </w:p>
        </w:tc>
        <w:tc>
          <w:tcPr>
            <w:tcW w:w="931" w:type="dxa"/>
            <w:vAlign w:val="center"/>
            <w:hideMark/>
          </w:tcPr>
          <w:p w14:paraId="7852E45C" w14:textId="77777777" w:rsidR="00267159" w:rsidRPr="007E42E9" w:rsidRDefault="00267159" w:rsidP="00662F5C">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(0.842</w:t>
            </w:r>
          </w:p>
        </w:tc>
        <w:tc>
          <w:tcPr>
            <w:tcW w:w="291" w:type="dxa"/>
            <w:vAlign w:val="center"/>
            <w:hideMark/>
          </w:tcPr>
          <w:p w14:paraId="1F0F86A0" w14:textId="77777777" w:rsidR="00267159" w:rsidRPr="007E42E9" w:rsidRDefault="00267159" w:rsidP="00662F5C">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w:t>
            </w:r>
          </w:p>
        </w:tc>
        <w:tc>
          <w:tcPr>
            <w:tcW w:w="931" w:type="dxa"/>
            <w:tcBorders>
              <w:right w:val="single" w:sz="4" w:space="0" w:color="auto"/>
            </w:tcBorders>
            <w:vAlign w:val="center"/>
            <w:hideMark/>
          </w:tcPr>
          <w:p w14:paraId="31AC5C80" w14:textId="77777777" w:rsidR="00267159" w:rsidRPr="007E42E9" w:rsidRDefault="00267159" w:rsidP="00662F5C">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0.958)</w:t>
            </w:r>
          </w:p>
        </w:tc>
        <w:tc>
          <w:tcPr>
            <w:tcW w:w="910" w:type="dxa"/>
            <w:tcBorders>
              <w:left w:val="single" w:sz="4" w:space="0" w:color="auto"/>
            </w:tcBorders>
            <w:vAlign w:val="center"/>
          </w:tcPr>
          <w:p w14:paraId="3C657311" w14:textId="77777777" w:rsidR="00267159" w:rsidRPr="007E42E9" w:rsidRDefault="00267159" w:rsidP="00662F5C">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0.691</w:t>
            </w:r>
          </w:p>
        </w:tc>
        <w:tc>
          <w:tcPr>
            <w:tcW w:w="814" w:type="dxa"/>
            <w:vAlign w:val="center"/>
            <w:hideMark/>
          </w:tcPr>
          <w:p w14:paraId="1AFC217A" w14:textId="77777777" w:rsidR="00267159" w:rsidRPr="007E42E9" w:rsidRDefault="00267159" w:rsidP="00662F5C">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(0.584</w:t>
            </w:r>
          </w:p>
        </w:tc>
        <w:tc>
          <w:tcPr>
            <w:tcW w:w="291" w:type="dxa"/>
            <w:vAlign w:val="center"/>
            <w:hideMark/>
          </w:tcPr>
          <w:p w14:paraId="559D180A" w14:textId="77777777" w:rsidR="00267159" w:rsidRPr="007E42E9" w:rsidRDefault="00267159" w:rsidP="00662F5C">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w:t>
            </w:r>
          </w:p>
        </w:tc>
        <w:tc>
          <w:tcPr>
            <w:tcW w:w="931" w:type="dxa"/>
            <w:vAlign w:val="center"/>
            <w:hideMark/>
          </w:tcPr>
          <w:p w14:paraId="06B025DB" w14:textId="77777777" w:rsidR="00267159" w:rsidRPr="007E42E9" w:rsidRDefault="00267159" w:rsidP="00662F5C">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0.7989)</w:t>
            </w:r>
          </w:p>
        </w:tc>
      </w:tr>
      <w:tr w:rsidR="00267159" w:rsidRPr="007E42E9" w14:paraId="4AB9B010" w14:textId="77777777" w:rsidTr="00662F5C">
        <w:trPr>
          <w:cnfStyle w:val="000000100000" w:firstRow="0" w:lastRow="0" w:firstColumn="0" w:lastColumn="0" w:oddVBand="0" w:evenVBand="0" w:oddHBand="1"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2552" w:type="dxa"/>
            <w:shd w:val="clear" w:color="auto" w:fill="F2F2F2" w:themeFill="background1" w:themeFillShade="F2"/>
            <w:noWrap/>
            <w:vAlign w:val="center"/>
            <w:hideMark/>
          </w:tcPr>
          <w:p w14:paraId="24101C24" w14:textId="77777777" w:rsidR="00267159" w:rsidRPr="007E42E9" w:rsidRDefault="00267159" w:rsidP="00662F5C">
            <w:pPr>
              <w:jc w:val="left"/>
              <w:rPr>
                <w:rFonts w:ascii="Aptos Display" w:eastAsia="Times New Roman" w:hAnsi="Aptos Display" w:cs="Times New Roman"/>
                <w:i w:val="0"/>
                <w:iCs w:val="0"/>
                <w:color w:val="000000"/>
                <w:kern w:val="0"/>
                <w:sz w:val="20"/>
                <w:szCs w:val="20"/>
                <w:lang w:eastAsia="en-GB"/>
                <w14:ligatures w14:val="none"/>
              </w:rPr>
            </w:pPr>
            <w:r w:rsidRPr="007E42E9">
              <w:rPr>
                <w:rFonts w:ascii="Aptos Display" w:eastAsia="Times New Roman" w:hAnsi="Aptos Display" w:cs="Times New Roman"/>
                <w:i w:val="0"/>
                <w:iCs w:val="0"/>
                <w:color w:val="000000"/>
                <w:kern w:val="0"/>
                <w:sz w:val="20"/>
                <w:szCs w:val="20"/>
                <w:lang w:eastAsia="en-GB"/>
                <w14:ligatures w14:val="none"/>
              </w:rPr>
              <w:t>Tropical-Humid</w:t>
            </w:r>
          </w:p>
        </w:tc>
        <w:tc>
          <w:tcPr>
            <w:tcW w:w="992" w:type="dxa"/>
            <w:tcBorders>
              <w:right w:val="single" w:sz="4" w:space="0" w:color="auto"/>
            </w:tcBorders>
            <w:noWrap/>
            <w:vAlign w:val="center"/>
            <w:hideMark/>
          </w:tcPr>
          <w:p w14:paraId="1914521E" w14:textId="77777777" w:rsidR="00267159" w:rsidRPr="007E42E9"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0.899</w:t>
            </w:r>
          </w:p>
        </w:tc>
        <w:tc>
          <w:tcPr>
            <w:tcW w:w="910" w:type="dxa"/>
            <w:tcBorders>
              <w:left w:val="single" w:sz="4" w:space="0" w:color="auto"/>
            </w:tcBorders>
            <w:noWrap/>
            <w:vAlign w:val="center"/>
            <w:hideMark/>
          </w:tcPr>
          <w:p w14:paraId="3B9F15DA" w14:textId="77777777" w:rsidR="00267159" w:rsidRPr="007E42E9"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0.776</w:t>
            </w:r>
          </w:p>
        </w:tc>
        <w:tc>
          <w:tcPr>
            <w:tcW w:w="931" w:type="dxa"/>
            <w:vAlign w:val="center"/>
            <w:hideMark/>
          </w:tcPr>
          <w:p w14:paraId="61161493" w14:textId="77777777" w:rsidR="00267159" w:rsidRPr="007E42E9"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(0.725</w:t>
            </w:r>
          </w:p>
        </w:tc>
        <w:tc>
          <w:tcPr>
            <w:tcW w:w="291" w:type="dxa"/>
            <w:vAlign w:val="center"/>
            <w:hideMark/>
          </w:tcPr>
          <w:p w14:paraId="27203713" w14:textId="77777777" w:rsidR="00267159" w:rsidRPr="007E42E9"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w:t>
            </w:r>
          </w:p>
        </w:tc>
        <w:tc>
          <w:tcPr>
            <w:tcW w:w="931" w:type="dxa"/>
            <w:tcBorders>
              <w:right w:val="single" w:sz="4" w:space="0" w:color="auto"/>
            </w:tcBorders>
            <w:vAlign w:val="center"/>
            <w:hideMark/>
          </w:tcPr>
          <w:p w14:paraId="19EDAE6B" w14:textId="77777777" w:rsidR="00267159" w:rsidRPr="007E42E9"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0.827)</w:t>
            </w:r>
          </w:p>
        </w:tc>
        <w:tc>
          <w:tcPr>
            <w:tcW w:w="910" w:type="dxa"/>
            <w:tcBorders>
              <w:left w:val="single" w:sz="4" w:space="0" w:color="auto"/>
            </w:tcBorders>
            <w:vAlign w:val="center"/>
          </w:tcPr>
          <w:p w14:paraId="4E490288" w14:textId="77777777" w:rsidR="00267159" w:rsidRPr="007E42E9"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0.572</w:t>
            </w:r>
          </w:p>
        </w:tc>
        <w:tc>
          <w:tcPr>
            <w:tcW w:w="814" w:type="dxa"/>
            <w:vAlign w:val="center"/>
            <w:hideMark/>
          </w:tcPr>
          <w:p w14:paraId="61F2F611" w14:textId="77777777" w:rsidR="00267159" w:rsidRPr="007E42E9"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(0.478</w:t>
            </w:r>
          </w:p>
        </w:tc>
        <w:tc>
          <w:tcPr>
            <w:tcW w:w="291" w:type="dxa"/>
            <w:vAlign w:val="center"/>
            <w:hideMark/>
          </w:tcPr>
          <w:p w14:paraId="40D6E223" w14:textId="77777777" w:rsidR="00267159" w:rsidRPr="007E42E9"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w:t>
            </w:r>
          </w:p>
        </w:tc>
        <w:tc>
          <w:tcPr>
            <w:tcW w:w="931" w:type="dxa"/>
            <w:vAlign w:val="center"/>
            <w:hideMark/>
          </w:tcPr>
          <w:p w14:paraId="0EAE2B24" w14:textId="77777777" w:rsidR="00267159" w:rsidRPr="007E42E9"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0.665)</w:t>
            </w:r>
          </w:p>
        </w:tc>
      </w:tr>
      <w:tr w:rsidR="00267159" w:rsidRPr="007E42E9" w14:paraId="6E491884" w14:textId="77777777" w:rsidTr="00662F5C">
        <w:trPr>
          <w:trHeight w:val="348"/>
        </w:trPr>
        <w:tc>
          <w:tcPr>
            <w:cnfStyle w:val="001000000000" w:firstRow="0" w:lastRow="0" w:firstColumn="1" w:lastColumn="0" w:oddVBand="0" w:evenVBand="0" w:oddHBand="0" w:evenHBand="0" w:firstRowFirstColumn="0" w:firstRowLastColumn="0" w:lastRowFirstColumn="0" w:lastRowLastColumn="0"/>
            <w:tcW w:w="2552" w:type="dxa"/>
            <w:noWrap/>
            <w:vAlign w:val="center"/>
            <w:hideMark/>
          </w:tcPr>
          <w:p w14:paraId="50A42131" w14:textId="77777777" w:rsidR="00267159" w:rsidRPr="007E42E9" w:rsidRDefault="00267159" w:rsidP="00662F5C">
            <w:pPr>
              <w:jc w:val="left"/>
              <w:rPr>
                <w:rFonts w:ascii="Aptos Display" w:eastAsia="Times New Roman" w:hAnsi="Aptos Display" w:cs="Times New Roman"/>
                <w:i w:val="0"/>
                <w:iCs w:val="0"/>
                <w:color w:val="000000"/>
                <w:kern w:val="0"/>
                <w:sz w:val="20"/>
                <w:szCs w:val="20"/>
                <w:lang w:eastAsia="en-GB"/>
                <w14:ligatures w14:val="none"/>
              </w:rPr>
            </w:pPr>
            <w:r w:rsidRPr="007E42E9">
              <w:rPr>
                <w:rFonts w:ascii="Aptos Display" w:eastAsia="Times New Roman" w:hAnsi="Aptos Display" w:cs="Times New Roman"/>
                <w:i w:val="0"/>
                <w:iCs w:val="0"/>
                <w:color w:val="000000"/>
                <w:kern w:val="0"/>
                <w:sz w:val="20"/>
                <w:szCs w:val="20"/>
                <w:lang w:eastAsia="en-GB"/>
                <w14:ligatures w14:val="none"/>
              </w:rPr>
              <w:t>Desert-Cold</w:t>
            </w:r>
          </w:p>
        </w:tc>
        <w:tc>
          <w:tcPr>
            <w:tcW w:w="992" w:type="dxa"/>
            <w:tcBorders>
              <w:right w:val="single" w:sz="4" w:space="0" w:color="auto"/>
            </w:tcBorders>
            <w:noWrap/>
            <w:vAlign w:val="center"/>
            <w:hideMark/>
          </w:tcPr>
          <w:p w14:paraId="439A244D" w14:textId="77777777" w:rsidR="00267159" w:rsidRPr="007E42E9" w:rsidRDefault="00267159" w:rsidP="00662F5C">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0.702</w:t>
            </w:r>
          </w:p>
        </w:tc>
        <w:tc>
          <w:tcPr>
            <w:tcW w:w="910" w:type="dxa"/>
            <w:tcBorders>
              <w:left w:val="single" w:sz="4" w:space="0" w:color="auto"/>
            </w:tcBorders>
            <w:noWrap/>
            <w:vAlign w:val="center"/>
            <w:hideMark/>
          </w:tcPr>
          <w:p w14:paraId="0B6F6D1A" w14:textId="77777777" w:rsidR="00267159" w:rsidRPr="007E42E9" w:rsidRDefault="00267159" w:rsidP="00662F5C">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0.732</w:t>
            </w:r>
          </w:p>
        </w:tc>
        <w:tc>
          <w:tcPr>
            <w:tcW w:w="931" w:type="dxa"/>
            <w:vAlign w:val="center"/>
            <w:hideMark/>
          </w:tcPr>
          <w:p w14:paraId="4CB92ABA" w14:textId="77777777" w:rsidR="00267159" w:rsidRPr="007E42E9" w:rsidRDefault="00267159" w:rsidP="00662F5C">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(0.692</w:t>
            </w:r>
          </w:p>
        </w:tc>
        <w:tc>
          <w:tcPr>
            <w:tcW w:w="291" w:type="dxa"/>
            <w:vAlign w:val="center"/>
            <w:hideMark/>
          </w:tcPr>
          <w:p w14:paraId="76A908D2" w14:textId="77777777" w:rsidR="00267159" w:rsidRPr="007E42E9" w:rsidRDefault="00267159" w:rsidP="00662F5C">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w:t>
            </w:r>
          </w:p>
        </w:tc>
        <w:tc>
          <w:tcPr>
            <w:tcW w:w="931" w:type="dxa"/>
            <w:tcBorders>
              <w:right w:val="single" w:sz="4" w:space="0" w:color="auto"/>
            </w:tcBorders>
            <w:vAlign w:val="center"/>
            <w:hideMark/>
          </w:tcPr>
          <w:p w14:paraId="4DC445AB" w14:textId="77777777" w:rsidR="00267159" w:rsidRPr="007E42E9" w:rsidRDefault="00267159" w:rsidP="00662F5C">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0.772)</w:t>
            </w:r>
          </w:p>
        </w:tc>
        <w:tc>
          <w:tcPr>
            <w:tcW w:w="910" w:type="dxa"/>
            <w:tcBorders>
              <w:left w:val="single" w:sz="4" w:space="0" w:color="auto"/>
            </w:tcBorders>
            <w:vAlign w:val="center"/>
          </w:tcPr>
          <w:p w14:paraId="7DB181D1" w14:textId="77777777" w:rsidR="00267159" w:rsidRPr="007E42E9" w:rsidRDefault="00267159" w:rsidP="00662F5C">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0.782</w:t>
            </w:r>
          </w:p>
        </w:tc>
        <w:tc>
          <w:tcPr>
            <w:tcW w:w="814" w:type="dxa"/>
            <w:vAlign w:val="center"/>
            <w:hideMark/>
          </w:tcPr>
          <w:p w14:paraId="1DCE20D2" w14:textId="77777777" w:rsidR="00267159" w:rsidRPr="007E42E9" w:rsidRDefault="00267159" w:rsidP="00662F5C">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(0.709</w:t>
            </w:r>
          </w:p>
        </w:tc>
        <w:tc>
          <w:tcPr>
            <w:tcW w:w="291" w:type="dxa"/>
            <w:vAlign w:val="center"/>
            <w:hideMark/>
          </w:tcPr>
          <w:p w14:paraId="07CDCF5D" w14:textId="77777777" w:rsidR="00267159" w:rsidRPr="007E42E9" w:rsidRDefault="00267159" w:rsidP="00662F5C">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w:t>
            </w:r>
          </w:p>
        </w:tc>
        <w:tc>
          <w:tcPr>
            <w:tcW w:w="931" w:type="dxa"/>
            <w:vAlign w:val="center"/>
            <w:hideMark/>
          </w:tcPr>
          <w:p w14:paraId="7D98E9AA" w14:textId="77777777" w:rsidR="00267159" w:rsidRPr="007E42E9" w:rsidRDefault="00267159" w:rsidP="00662F5C">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0.855)</w:t>
            </w:r>
          </w:p>
        </w:tc>
      </w:tr>
      <w:tr w:rsidR="00267159" w:rsidRPr="007E42E9" w14:paraId="6D769375" w14:textId="77777777" w:rsidTr="00662F5C">
        <w:trPr>
          <w:cnfStyle w:val="000000100000" w:firstRow="0" w:lastRow="0" w:firstColumn="0" w:lastColumn="0" w:oddVBand="0" w:evenVBand="0" w:oddHBand="1"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2552" w:type="dxa"/>
            <w:shd w:val="clear" w:color="auto" w:fill="F2F2F2" w:themeFill="background1" w:themeFillShade="F2"/>
            <w:noWrap/>
            <w:vAlign w:val="center"/>
            <w:hideMark/>
          </w:tcPr>
          <w:p w14:paraId="053E603D" w14:textId="77777777" w:rsidR="00267159" w:rsidRPr="007E42E9" w:rsidRDefault="00267159" w:rsidP="00662F5C">
            <w:pPr>
              <w:jc w:val="left"/>
              <w:rPr>
                <w:rFonts w:ascii="Aptos Display" w:eastAsia="Times New Roman" w:hAnsi="Aptos Display" w:cs="Times New Roman"/>
                <w:i w:val="0"/>
                <w:iCs w:val="0"/>
                <w:color w:val="000000"/>
                <w:kern w:val="0"/>
                <w:sz w:val="20"/>
                <w:szCs w:val="20"/>
                <w:lang w:eastAsia="en-GB"/>
                <w14:ligatures w14:val="none"/>
              </w:rPr>
            </w:pPr>
            <w:r w:rsidRPr="007E42E9">
              <w:rPr>
                <w:rFonts w:ascii="Aptos Display" w:eastAsia="Times New Roman" w:hAnsi="Aptos Display" w:cs="Times New Roman"/>
                <w:i w:val="0"/>
                <w:iCs w:val="0"/>
                <w:color w:val="000000"/>
                <w:kern w:val="0"/>
                <w:sz w:val="20"/>
                <w:szCs w:val="20"/>
                <w:lang w:eastAsia="en-GB"/>
                <w14:ligatures w14:val="none"/>
              </w:rPr>
              <w:t>Boreal</w:t>
            </w:r>
          </w:p>
        </w:tc>
        <w:tc>
          <w:tcPr>
            <w:tcW w:w="992" w:type="dxa"/>
            <w:tcBorders>
              <w:right w:val="single" w:sz="4" w:space="0" w:color="auto"/>
            </w:tcBorders>
            <w:noWrap/>
            <w:vAlign w:val="center"/>
            <w:hideMark/>
          </w:tcPr>
          <w:p w14:paraId="44FEC75F" w14:textId="77777777" w:rsidR="00267159" w:rsidRPr="007E42E9"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0.368</w:t>
            </w:r>
          </w:p>
        </w:tc>
        <w:tc>
          <w:tcPr>
            <w:tcW w:w="910" w:type="dxa"/>
            <w:tcBorders>
              <w:left w:val="single" w:sz="4" w:space="0" w:color="auto"/>
            </w:tcBorders>
            <w:noWrap/>
            <w:vAlign w:val="center"/>
            <w:hideMark/>
          </w:tcPr>
          <w:p w14:paraId="7D335EBA" w14:textId="77777777" w:rsidR="00267159" w:rsidRPr="007E42E9"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0.373</w:t>
            </w:r>
          </w:p>
        </w:tc>
        <w:tc>
          <w:tcPr>
            <w:tcW w:w="931" w:type="dxa"/>
            <w:vAlign w:val="center"/>
            <w:hideMark/>
          </w:tcPr>
          <w:p w14:paraId="36C5EFE5" w14:textId="77777777" w:rsidR="00267159" w:rsidRPr="007E42E9"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(0.352</w:t>
            </w:r>
          </w:p>
        </w:tc>
        <w:tc>
          <w:tcPr>
            <w:tcW w:w="291" w:type="dxa"/>
            <w:vAlign w:val="center"/>
            <w:hideMark/>
          </w:tcPr>
          <w:p w14:paraId="6290F470" w14:textId="77777777" w:rsidR="00267159" w:rsidRPr="007E42E9"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w:t>
            </w:r>
          </w:p>
        </w:tc>
        <w:tc>
          <w:tcPr>
            <w:tcW w:w="931" w:type="dxa"/>
            <w:tcBorders>
              <w:right w:val="single" w:sz="4" w:space="0" w:color="auto"/>
            </w:tcBorders>
            <w:vAlign w:val="center"/>
            <w:hideMark/>
          </w:tcPr>
          <w:p w14:paraId="6DFE5B21" w14:textId="77777777" w:rsidR="00267159" w:rsidRPr="007E42E9"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0.394)</w:t>
            </w:r>
          </w:p>
        </w:tc>
        <w:tc>
          <w:tcPr>
            <w:tcW w:w="910" w:type="dxa"/>
            <w:tcBorders>
              <w:left w:val="single" w:sz="4" w:space="0" w:color="auto"/>
            </w:tcBorders>
            <w:vAlign w:val="center"/>
          </w:tcPr>
          <w:p w14:paraId="51FAF726" w14:textId="77777777" w:rsidR="00267159" w:rsidRPr="007E42E9"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0.380</w:t>
            </w:r>
          </w:p>
        </w:tc>
        <w:tc>
          <w:tcPr>
            <w:tcW w:w="814" w:type="dxa"/>
            <w:vAlign w:val="center"/>
            <w:hideMark/>
          </w:tcPr>
          <w:p w14:paraId="23E857E1" w14:textId="77777777" w:rsidR="00267159" w:rsidRPr="007E42E9"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(0.342</w:t>
            </w:r>
          </w:p>
        </w:tc>
        <w:tc>
          <w:tcPr>
            <w:tcW w:w="291" w:type="dxa"/>
            <w:vAlign w:val="center"/>
            <w:hideMark/>
          </w:tcPr>
          <w:p w14:paraId="23801BDF" w14:textId="77777777" w:rsidR="00267159" w:rsidRPr="007E42E9"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w:t>
            </w:r>
          </w:p>
        </w:tc>
        <w:tc>
          <w:tcPr>
            <w:tcW w:w="931" w:type="dxa"/>
            <w:vAlign w:val="center"/>
            <w:hideMark/>
          </w:tcPr>
          <w:p w14:paraId="04B9F848" w14:textId="77777777" w:rsidR="00267159" w:rsidRPr="007E42E9"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0.419)</w:t>
            </w:r>
          </w:p>
        </w:tc>
      </w:tr>
      <w:tr w:rsidR="00267159" w:rsidRPr="007E42E9" w14:paraId="032575C9" w14:textId="77777777" w:rsidTr="00662F5C">
        <w:trPr>
          <w:trHeight w:val="348"/>
        </w:trPr>
        <w:tc>
          <w:tcPr>
            <w:cnfStyle w:val="001000000000" w:firstRow="0" w:lastRow="0" w:firstColumn="1" w:lastColumn="0" w:oddVBand="0" w:evenVBand="0" w:oddHBand="0" w:evenHBand="0" w:firstRowFirstColumn="0" w:firstRowLastColumn="0" w:lastRowFirstColumn="0" w:lastRowLastColumn="0"/>
            <w:tcW w:w="2552" w:type="dxa"/>
            <w:noWrap/>
            <w:vAlign w:val="center"/>
            <w:hideMark/>
          </w:tcPr>
          <w:p w14:paraId="7903DD45" w14:textId="77777777" w:rsidR="00267159" w:rsidRPr="007E42E9" w:rsidRDefault="00267159" w:rsidP="00662F5C">
            <w:pPr>
              <w:jc w:val="left"/>
              <w:rPr>
                <w:rFonts w:ascii="Aptos Display" w:eastAsia="Times New Roman" w:hAnsi="Aptos Display" w:cs="Times New Roman"/>
                <w:i w:val="0"/>
                <w:iCs w:val="0"/>
                <w:color w:val="000000"/>
                <w:kern w:val="0"/>
                <w:sz w:val="20"/>
                <w:szCs w:val="20"/>
                <w:lang w:eastAsia="en-GB"/>
                <w14:ligatures w14:val="none"/>
              </w:rPr>
            </w:pPr>
            <w:r w:rsidRPr="007E42E9">
              <w:rPr>
                <w:rFonts w:ascii="Aptos Display" w:eastAsia="Times New Roman" w:hAnsi="Aptos Display" w:cs="Times New Roman"/>
                <w:i w:val="0"/>
                <w:iCs w:val="0"/>
                <w:color w:val="000000"/>
                <w:kern w:val="0"/>
                <w:sz w:val="20"/>
                <w:szCs w:val="20"/>
                <w:lang w:eastAsia="en-GB"/>
                <w14:ligatures w14:val="none"/>
              </w:rPr>
              <w:t>Tundra</w:t>
            </w:r>
          </w:p>
        </w:tc>
        <w:tc>
          <w:tcPr>
            <w:tcW w:w="992" w:type="dxa"/>
            <w:tcBorders>
              <w:right w:val="single" w:sz="4" w:space="0" w:color="auto"/>
            </w:tcBorders>
            <w:noWrap/>
            <w:vAlign w:val="center"/>
            <w:hideMark/>
          </w:tcPr>
          <w:p w14:paraId="244CA451" w14:textId="77777777" w:rsidR="00267159" w:rsidRPr="007E42E9" w:rsidRDefault="00267159" w:rsidP="00662F5C">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0.326</w:t>
            </w:r>
          </w:p>
        </w:tc>
        <w:tc>
          <w:tcPr>
            <w:tcW w:w="910" w:type="dxa"/>
            <w:tcBorders>
              <w:left w:val="single" w:sz="4" w:space="0" w:color="auto"/>
            </w:tcBorders>
            <w:noWrap/>
            <w:vAlign w:val="center"/>
            <w:hideMark/>
          </w:tcPr>
          <w:p w14:paraId="2B4881D5" w14:textId="77777777" w:rsidR="00267159" w:rsidRPr="007E42E9" w:rsidRDefault="00267159" w:rsidP="00662F5C">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0.347</w:t>
            </w:r>
          </w:p>
        </w:tc>
        <w:tc>
          <w:tcPr>
            <w:tcW w:w="931" w:type="dxa"/>
            <w:vAlign w:val="center"/>
            <w:hideMark/>
          </w:tcPr>
          <w:p w14:paraId="17A98A05" w14:textId="77777777" w:rsidR="00267159" w:rsidRPr="007E42E9" w:rsidRDefault="00267159" w:rsidP="00662F5C">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(0.329</w:t>
            </w:r>
          </w:p>
        </w:tc>
        <w:tc>
          <w:tcPr>
            <w:tcW w:w="291" w:type="dxa"/>
            <w:vAlign w:val="center"/>
            <w:hideMark/>
          </w:tcPr>
          <w:p w14:paraId="5E2099C9" w14:textId="77777777" w:rsidR="00267159" w:rsidRPr="007E42E9" w:rsidRDefault="00267159" w:rsidP="00662F5C">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w:t>
            </w:r>
          </w:p>
        </w:tc>
        <w:tc>
          <w:tcPr>
            <w:tcW w:w="931" w:type="dxa"/>
            <w:tcBorders>
              <w:right w:val="single" w:sz="4" w:space="0" w:color="auto"/>
            </w:tcBorders>
            <w:vAlign w:val="center"/>
            <w:hideMark/>
          </w:tcPr>
          <w:p w14:paraId="23B8A829" w14:textId="77777777" w:rsidR="00267159" w:rsidRPr="007E42E9" w:rsidRDefault="00267159" w:rsidP="00662F5C">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0.366)</w:t>
            </w:r>
          </w:p>
        </w:tc>
        <w:tc>
          <w:tcPr>
            <w:tcW w:w="910" w:type="dxa"/>
            <w:tcBorders>
              <w:left w:val="single" w:sz="4" w:space="0" w:color="auto"/>
            </w:tcBorders>
            <w:vAlign w:val="center"/>
          </w:tcPr>
          <w:p w14:paraId="7E17F532" w14:textId="77777777" w:rsidR="00267159" w:rsidRPr="007E42E9" w:rsidRDefault="00267159" w:rsidP="00662F5C">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0.382</w:t>
            </w:r>
          </w:p>
        </w:tc>
        <w:tc>
          <w:tcPr>
            <w:tcW w:w="814" w:type="dxa"/>
            <w:vAlign w:val="center"/>
            <w:hideMark/>
          </w:tcPr>
          <w:p w14:paraId="78268A3A" w14:textId="77777777" w:rsidR="00267159" w:rsidRPr="007E42E9" w:rsidRDefault="00267159" w:rsidP="00662F5C">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(0.348</w:t>
            </w:r>
          </w:p>
        </w:tc>
        <w:tc>
          <w:tcPr>
            <w:tcW w:w="291" w:type="dxa"/>
            <w:vAlign w:val="center"/>
            <w:hideMark/>
          </w:tcPr>
          <w:p w14:paraId="7991D811" w14:textId="77777777" w:rsidR="00267159" w:rsidRPr="007E42E9" w:rsidRDefault="00267159" w:rsidP="00662F5C">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w:t>
            </w:r>
          </w:p>
        </w:tc>
        <w:tc>
          <w:tcPr>
            <w:tcW w:w="931" w:type="dxa"/>
            <w:vAlign w:val="center"/>
            <w:hideMark/>
          </w:tcPr>
          <w:p w14:paraId="6B1AEDE6" w14:textId="77777777" w:rsidR="00267159" w:rsidRPr="007E42E9" w:rsidRDefault="00267159" w:rsidP="00662F5C">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0.416)</w:t>
            </w:r>
          </w:p>
        </w:tc>
      </w:tr>
      <w:tr w:rsidR="00267159" w:rsidRPr="007E42E9" w14:paraId="186EC11A" w14:textId="77777777" w:rsidTr="00662F5C">
        <w:trPr>
          <w:cnfStyle w:val="000000100000" w:firstRow="0" w:lastRow="0" w:firstColumn="0" w:lastColumn="0" w:oddVBand="0" w:evenVBand="0" w:oddHBand="1"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2552" w:type="dxa"/>
            <w:shd w:val="clear" w:color="auto" w:fill="F2F2F2" w:themeFill="background1" w:themeFillShade="F2"/>
            <w:noWrap/>
            <w:vAlign w:val="center"/>
            <w:hideMark/>
          </w:tcPr>
          <w:p w14:paraId="4F2462C8" w14:textId="77777777" w:rsidR="00267159" w:rsidRPr="007E42E9" w:rsidRDefault="00267159" w:rsidP="00662F5C">
            <w:pPr>
              <w:ind w:right="-114"/>
              <w:jc w:val="left"/>
              <w:rPr>
                <w:rFonts w:ascii="Aptos Display" w:eastAsia="Times New Roman" w:hAnsi="Aptos Display" w:cs="Times New Roman"/>
                <w:i w:val="0"/>
                <w:iCs w:val="0"/>
                <w:color w:val="000000"/>
                <w:kern w:val="0"/>
                <w:sz w:val="20"/>
                <w:szCs w:val="20"/>
                <w:lang w:eastAsia="en-GB"/>
                <w14:ligatures w14:val="none"/>
              </w:rPr>
            </w:pPr>
            <w:r w:rsidRPr="007E42E9">
              <w:rPr>
                <w:rFonts w:ascii="Aptos Display" w:eastAsia="Times New Roman" w:hAnsi="Aptos Display" w:cs="Times New Roman"/>
                <w:i w:val="0"/>
                <w:iCs w:val="0"/>
                <w:color w:val="000000"/>
                <w:kern w:val="0"/>
                <w:sz w:val="20"/>
                <w:szCs w:val="20"/>
                <w:lang w:eastAsia="en-GB"/>
                <w14:ligatures w14:val="none"/>
              </w:rPr>
              <w:t>Temperate-Humid</w:t>
            </w:r>
          </w:p>
        </w:tc>
        <w:tc>
          <w:tcPr>
            <w:tcW w:w="992" w:type="dxa"/>
            <w:tcBorders>
              <w:right w:val="single" w:sz="4" w:space="0" w:color="auto"/>
            </w:tcBorders>
            <w:noWrap/>
            <w:vAlign w:val="center"/>
            <w:hideMark/>
          </w:tcPr>
          <w:p w14:paraId="41EE666E" w14:textId="77777777" w:rsidR="00267159" w:rsidRPr="007E42E9"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0.247</w:t>
            </w:r>
          </w:p>
        </w:tc>
        <w:tc>
          <w:tcPr>
            <w:tcW w:w="910" w:type="dxa"/>
            <w:tcBorders>
              <w:left w:val="single" w:sz="4" w:space="0" w:color="auto"/>
            </w:tcBorders>
            <w:noWrap/>
            <w:vAlign w:val="center"/>
            <w:hideMark/>
          </w:tcPr>
          <w:p w14:paraId="71DC5749" w14:textId="77777777" w:rsidR="00267159" w:rsidRPr="007E42E9"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0.214</w:t>
            </w:r>
          </w:p>
        </w:tc>
        <w:tc>
          <w:tcPr>
            <w:tcW w:w="931" w:type="dxa"/>
            <w:vAlign w:val="center"/>
            <w:hideMark/>
          </w:tcPr>
          <w:p w14:paraId="2D0D76BE" w14:textId="77777777" w:rsidR="00267159" w:rsidRPr="007E42E9"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(0.200</w:t>
            </w:r>
          </w:p>
        </w:tc>
        <w:tc>
          <w:tcPr>
            <w:tcW w:w="291" w:type="dxa"/>
            <w:vAlign w:val="center"/>
            <w:hideMark/>
          </w:tcPr>
          <w:p w14:paraId="78912E29" w14:textId="77777777" w:rsidR="00267159" w:rsidRPr="007E42E9"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w:t>
            </w:r>
          </w:p>
        </w:tc>
        <w:tc>
          <w:tcPr>
            <w:tcW w:w="931" w:type="dxa"/>
            <w:tcBorders>
              <w:right w:val="single" w:sz="4" w:space="0" w:color="auto"/>
            </w:tcBorders>
            <w:vAlign w:val="center"/>
            <w:hideMark/>
          </w:tcPr>
          <w:p w14:paraId="74A4E49C" w14:textId="77777777" w:rsidR="00267159" w:rsidRPr="007E42E9"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0.228)</w:t>
            </w:r>
          </w:p>
        </w:tc>
        <w:tc>
          <w:tcPr>
            <w:tcW w:w="910" w:type="dxa"/>
            <w:tcBorders>
              <w:left w:val="single" w:sz="4" w:space="0" w:color="auto"/>
            </w:tcBorders>
            <w:vAlign w:val="center"/>
          </w:tcPr>
          <w:p w14:paraId="74E32F7A" w14:textId="77777777" w:rsidR="00267159" w:rsidRPr="007E42E9"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0.160</w:t>
            </w:r>
          </w:p>
        </w:tc>
        <w:tc>
          <w:tcPr>
            <w:tcW w:w="814" w:type="dxa"/>
            <w:vAlign w:val="center"/>
            <w:hideMark/>
          </w:tcPr>
          <w:p w14:paraId="4AA1506F" w14:textId="77777777" w:rsidR="00267159" w:rsidRPr="007E42E9"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(0.134</w:t>
            </w:r>
          </w:p>
        </w:tc>
        <w:tc>
          <w:tcPr>
            <w:tcW w:w="291" w:type="dxa"/>
            <w:vAlign w:val="center"/>
            <w:hideMark/>
          </w:tcPr>
          <w:p w14:paraId="29978892" w14:textId="77777777" w:rsidR="00267159" w:rsidRPr="007E42E9"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w:t>
            </w:r>
          </w:p>
        </w:tc>
        <w:tc>
          <w:tcPr>
            <w:tcW w:w="931" w:type="dxa"/>
            <w:vAlign w:val="center"/>
            <w:hideMark/>
          </w:tcPr>
          <w:p w14:paraId="355EFF23" w14:textId="77777777" w:rsidR="00267159" w:rsidRPr="007E42E9" w:rsidRDefault="00267159" w:rsidP="00662F5C">
            <w:pPr>
              <w:jc w:val="center"/>
              <w:cnfStyle w:val="000000100000" w:firstRow="0" w:lastRow="0" w:firstColumn="0" w:lastColumn="0" w:oddVBand="0" w:evenVBand="0" w:oddHBand="1"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0.186)</w:t>
            </w:r>
          </w:p>
        </w:tc>
      </w:tr>
      <w:tr w:rsidR="00267159" w:rsidRPr="007E42E9" w14:paraId="40D66005" w14:textId="77777777" w:rsidTr="00662F5C">
        <w:trPr>
          <w:trHeight w:val="360"/>
        </w:trPr>
        <w:tc>
          <w:tcPr>
            <w:cnfStyle w:val="001000000000" w:firstRow="0" w:lastRow="0" w:firstColumn="1" w:lastColumn="0" w:oddVBand="0" w:evenVBand="0" w:oddHBand="0" w:evenHBand="0" w:firstRowFirstColumn="0" w:firstRowLastColumn="0" w:lastRowFirstColumn="0" w:lastRowLastColumn="0"/>
            <w:tcW w:w="2552" w:type="dxa"/>
            <w:tcBorders>
              <w:bottom w:val="single" w:sz="4" w:space="0" w:color="auto"/>
            </w:tcBorders>
            <w:noWrap/>
            <w:vAlign w:val="center"/>
            <w:hideMark/>
          </w:tcPr>
          <w:p w14:paraId="6BF2BEAF" w14:textId="77777777" w:rsidR="00267159" w:rsidRPr="007E42E9" w:rsidRDefault="00267159" w:rsidP="00662F5C">
            <w:pPr>
              <w:jc w:val="left"/>
              <w:rPr>
                <w:rFonts w:ascii="Aptos Display" w:eastAsia="Times New Roman" w:hAnsi="Aptos Display" w:cs="Times New Roman"/>
                <w:i w:val="0"/>
                <w:iCs w:val="0"/>
                <w:color w:val="000000"/>
                <w:kern w:val="0"/>
                <w:sz w:val="20"/>
                <w:szCs w:val="20"/>
                <w:lang w:eastAsia="en-GB"/>
                <w14:ligatures w14:val="none"/>
              </w:rPr>
            </w:pPr>
            <w:r w:rsidRPr="007E42E9">
              <w:rPr>
                <w:rFonts w:ascii="Aptos Display" w:eastAsia="Times New Roman" w:hAnsi="Aptos Display" w:cs="Times New Roman"/>
                <w:i w:val="0"/>
                <w:iCs w:val="0"/>
                <w:color w:val="000000"/>
                <w:kern w:val="0"/>
                <w:sz w:val="20"/>
                <w:szCs w:val="20"/>
                <w:lang w:eastAsia="en-GB"/>
                <w14:ligatures w14:val="none"/>
              </w:rPr>
              <w:t>Unproductive</w:t>
            </w:r>
          </w:p>
        </w:tc>
        <w:tc>
          <w:tcPr>
            <w:tcW w:w="992" w:type="dxa"/>
            <w:tcBorders>
              <w:bottom w:val="single" w:sz="4" w:space="0" w:color="auto"/>
              <w:right w:val="single" w:sz="4" w:space="0" w:color="auto"/>
            </w:tcBorders>
            <w:noWrap/>
            <w:vAlign w:val="center"/>
            <w:hideMark/>
          </w:tcPr>
          <w:p w14:paraId="5A8A4146" w14:textId="77777777" w:rsidR="00267159" w:rsidRPr="007E42E9" w:rsidRDefault="00267159" w:rsidP="00662F5C">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0.046</w:t>
            </w:r>
          </w:p>
        </w:tc>
        <w:tc>
          <w:tcPr>
            <w:tcW w:w="910" w:type="dxa"/>
            <w:tcBorders>
              <w:left w:val="single" w:sz="4" w:space="0" w:color="auto"/>
              <w:bottom w:val="single" w:sz="4" w:space="0" w:color="auto"/>
            </w:tcBorders>
            <w:noWrap/>
            <w:vAlign w:val="center"/>
            <w:hideMark/>
          </w:tcPr>
          <w:p w14:paraId="04F70475" w14:textId="77777777" w:rsidR="00267159" w:rsidRPr="007E42E9" w:rsidRDefault="00267159" w:rsidP="00662F5C">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0.066</w:t>
            </w:r>
          </w:p>
        </w:tc>
        <w:tc>
          <w:tcPr>
            <w:tcW w:w="931" w:type="dxa"/>
            <w:tcBorders>
              <w:bottom w:val="single" w:sz="4" w:space="0" w:color="auto"/>
            </w:tcBorders>
            <w:vAlign w:val="center"/>
            <w:hideMark/>
          </w:tcPr>
          <w:p w14:paraId="1372B0CF" w14:textId="77777777" w:rsidR="00267159" w:rsidRPr="007E42E9" w:rsidRDefault="00267159" w:rsidP="00662F5C">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(0.064</w:t>
            </w:r>
          </w:p>
        </w:tc>
        <w:tc>
          <w:tcPr>
            <w:tcW w:w="291" w:type="dxa"/>
            <w:tcBorders>
              <w:bottom w:val="single" w:sz="4" w:space="0" w:color="auto"/>
            </w:tcBorders>
            <w:vAlign w:val="center"/>
            <w:hideMark/>
          </w:tcPr>
          <w:p w14:paraId="31F5A06F" w14:textId="77777777" w:rsidR="00267159" w:rsidRPr="007E42E9" w:rsidRDefault="00267159" w:rsidP="00662F5C">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w:t>
            </w:r>
          </w:p>
        </w:tc>
        <w:tc>
          <w:tcPr>
            <w:tcW w:w="931" w:type="dxa"/>
            <w:tcBorders>
              <w:bottom w:val="single" w:sz="4" w:space="0" w:color="auto"/>
              <w:right w:val="single" w:sz="4" w:space="0" w:color="auto"/>
            </w:tcBorders>
            <w:vAlign w:val="center"/>
            <w:hideMark/>
          </w:tcPr>
          <w:p w14:paraId="371894BF" w14:textId="77777777" w:rsidR="00267159" w:rsidRPr="007E42E9" w:rsidRDefault="00267159" w:rsidP="00662F5C">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0.069)</w:t>
            </w:r>
          </w:p>
        </w:tc>
        <w:tc>
          <w:tcPr>
            <w:tcW w:w="910" w:type="dxa"/>
            <w:tcBorders>
              <w:left w:val="single" w:sz="4" w:space="0" w:color="auto"/>
              <w:bottom w:val="single" w:sz="4" w:space="0" w:color="auto"/>
            </w:tcBorders>
            <w:vAlign w:val="center"/>
          </w:tcPr>
          <w:p w14:paraId="450F35BC" w14:textId="77777777" w:rsidR="00267159" w:rsidRPr="007E42E9" w:rsidRDefault="00267159" w:rsidP="00662F5C">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0.100</w:t>
            </w:r>
          </w:p>
        </w:tc>
        <w:tc>
          <w:tcPr>
            <w:tcW w:w="814" w:type="dxa"/>
            <w:tcBorders>
              <w:bottom w:val="single" w:sz="4" w:space="0" w:color="auto"/>
            </w:tcBorders>
            <w:vAlign w:val="center"/>
            <w:hideMark/>
          </w:tcPr>
          <w:p w14:paraId="738D38AC" w14:textId="77777777" w:rsidR="00267159" w:rsidRPr="007E42E9" w:rsidRDefault="00267159" w:rsidP="00662F5C">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(0.096</w:t>
            </w:r>
          </w:p>
        </w:tc>
        <w:tc>
          <w:tcPr>
            <w:tcW w:w="291" w:type="dxa"/>
            <w:tcBorders>
              <w:bottom w:val="single" w:sz="4" w:space="0" w:color="auto"/>
            </w:tcBorders>
            <w:vAlign w:val="center"/>
            <w:hideMark/>
          </w:tcPr>
          <w:p w14:paraId="0BC4145A" w14:textId="77777777" w:rsidR="00267159" w:rsidRPr="007E42E9" w:rsidRDefault="00267159" w:rsidP="00662F5C">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w:t>
            </w:r>
          </w:p>
        </w:tc>
        <w:tc>
          <w:tcPr>
            <w:tcW w:w="931" w:type="dxa"/>
            <w:tcBorders>
              <w:bottom w:val="single" w:sz="4" w:space="0" w:color="auto"/>
            </w:tcBorders>
            <w:vAlign w:val="center"/>
            <w:hideMark/>
          </w:tcPr>
          <w:p w14:paraId="7C4D6987" w14:textId="77777777" w:rsidR="00267159" w:rsidRPr="007E42E9" w:rsidRDefault="00267159" w:rsidP="00662F5C">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kern w:val="0"/>
                <w:sz w:val="20"/>
                <w:szCs w:val="20"/>
                <w:lang w:eastAsia="en-GB"/>
                <w14:ligatures w14:val="none"/>
              </w:rPr>
            </w:pPr>
            <w:r w:rsidRPr="007E42E9">
              <w:rPr>
                <w:rFonts w:ascii="Aptos" w:eastAsia="Times New Roman" w:hAnsi="Aptos" w:cs="Times New Roman"/>
                <w:color w:val="000000"/>
                <w:kern w:val="0"/>
                <w:sz w:val="20"/>
                <w:szCs w:val="20"/>
                <w:lang w:eastAsia="en-GB"/>
                <w14:ligatures w14:val="none"/>
              </w:rPr>
              <w:t>0.105)</w:t>
            </w:r>
          </w:p>
        </w:tc>
      </w:tr>
    </w:tbl>
    <w:p w14:paraId="7B2E82F1" w14:textId="77777777" w:rsidR="00267159" w:rsidRDefault="00267159" w:rsidP="00267159">
      <w:pPr>
        <w:spacing w:line="276" w:lineRule="auto"/>
        <w:jc w:val="both"/>
      </w:pPr>
    </w:p>
    <w:p w14:paraId="233613CA" w14:textId="77777777" w:rsidR="00267159" w:rsidRDefault="00267159"/>
    <w:p w14:paraId="33E067C4" w14:textId="77777777" w:rsidR="00C04986" w:rsidRPr="00B23929" w:rsidRDefault="00C04986" w:rsidP="00C04986">
      <w:pPr>
        <w:pStyle w:val="Heading2"/>
      </w:pPr>
      <w:bookmarkStart w:id="13" w:name="_Toc167708305"/>
      <w:bookmarkStart w:id="14" w:name="_Toc197023392"/>
      <w:r w:rsidRPr="00B23929">
        <w:t>Model Modifications for this study</w:t>
      </w:r>
      <w:bookmarkEnd w:id="13"/>
      <w:bookmarkEnd w:id="14"/>
    </w:p>
    <w:p w14:paraId="42F98C84" w14:textId="7A57BA89" w:rsidR="00C04986" w:rsidRPr="00B23929" w:rsidRDefault="00C04986" w:rsidP="00C04986">
      <w:pPr>
        <w:jc w:val="both"/>
      </w:pPr>
      <w:r w:rsidRPr="00B23929">
        <w:t>Study-specific modifications to SuCCESs firstly fixed carbon densities of managed land to 2020 values to exclude atmospheric CO</w:t>
      </w:r>
      <w:r w:rsidRPr="00B23929">
        <w:rPr>
          <w:vertAlign w:val="subscript"/>
        </w:rPr>
        <w:t>2</w:t>
      </w:r>
      <w:r w:rsidRPr="00B23929">
        <w:t xml:space="preserve"> fertilization as anthropogenic mitigation. Food demand now follows SSP2 population projections </w:t>
      </w:r>
      <w:r w:rsidR="00DF0089" w:rsidRPr="00B23929">
        <w:fldChar w:fldCharType="begin"/>
      </w:r>
      <w:r w:rsidR="00DF0089">
        <w:instrText xml:space="preserve"> ADDIN ZOTERO_ITEM CSL_CITATION {"citationID":"AugmXusB","properties":{"formattedCitation":"(IIASA, 2024)","plainCitation":"(IIASA, 2024)","noteIndex":0},"citationItems":[{"id":248,"uris":["http://zotero.org/users/11614317/items/P9YHISKD"],"itemData":{"id":248,"type":"dataset","title":"SSP Scenario Explorer (SSP 3.0, Release March 2024)","URL":"https://data.ece.iiasa.ac.at/ssp/#/workspaces","author":[{"literal":"IIASA"}],"accessed":{"date-parts":[["2024",3,19]]},"issued":{"date-parts":[["2024",3]]}}}],"schema":"https://github.com/citation-style-language/schema/raw/master/csl-citation.json"} </w:instrText>
      </w:r>
      <w:r w:rsidR="00DF0089" w:rsidRPr="00B23929">
        <w:fldChar w:fldCharType="separate"/>
      </w:r>
      <w:r w:rsidR="00CC33DA" w:rsidRPr="00CC33DA">
        <w:rPr>
          <w:rFonts w:ascii="Aptos" w:hAnsi="Aptos"/>
        </w:rPr>
        <w:t>(IIASA, 2024)</w:t>
      </w:r>
      <w:r w:rsidR="00DF0089" w:rsidRPr="00B23929">
        <w:fldChar w:fldCharType="end"/>
      </w:r>
      <w:r w:rsidRPr="00B23929">
        <w:t xml:space="preserve">, and pasture use is directly tied to livestock numbers. Secondary forests must regenerate at a rate of 90% unless converted for other land uses. To prevent end-of-horizon distortions, cropland expansion is capped at 5% between 2090 and 2100. Lastly, this model version introduces a managed non-forest land category (“secdn2”), representing abandoned livestock pastures with pasture-level carbon density, which is counted as </w:t>
      </w:r>
      <w:r>
        <w:t xml:space="preserve">non-forested </w:t>
      </w:r>
      <w:r w:rsidRPr="00B23929">
        <w:t xml:space="preserve">biodiversity habitat. </w:t>
      </w:r>
    </w:p>
    <w:p w14:paraId="7A907446" w14:textId="77777777" w:rsidR="00C04986" w:rsidRPr="00B23929" w:rsidRDefault="00C04986" w:rsidP="00C04986">
      <w:pPr>
        <w:jc w:val="both"/>
      </w:pPr>
      <w:r>
        <w:t>For the scenarios, we established emission penalties. The demand levels for timber, cement, pulp, and various food products were exogenously adjusted. We implemented the stylized representation of regional self-sufficiency by maintaining food production in proportion to each biome’s population share. Biodiversity conservation constraints limit harvesting and repurposing of pristine ecosystems while requiring habitat expansion. Wildfire activity scenarios adjust the proportion of managed forests burnt annually, resetting affected stands to age class zero.</w:t>
      </w:r>
    </w:p>
    <w:p w14:paraId="1E3A515D" w14:textId="77777777" w:rsidR="00267159" w:rsidRDefault="00267159"/>
    <w:p w14:paraId="2515F7C4" w14:textId="77777777" w:rsidR="00267159" w:rsidRDefault="00267159"/>
    <w:p w14:paraId="5A1976D3" w14:textId="77777777" w:rsidR="00267159" w:rsidRDefault="00267159"/>
    <w:p w14:paraId="2B57CD3C" w14:textId="77777777" w:rsidR="00267159" w:rsidRDefault="00267159"/>
    <w:p w14:paraId="5AE6D79A" w14:textId="4A68F56F" w:rsidR="001850F6" w:rsidRDefault="001850F6">
      <w:r>
        <w:br w:type="page"/>
      </w:r>
    </w:p>
    <w:p w14:paraId="46052BB2" w14:textId="1835BA58" w:rsidR="005D68EC" w:rsidRDefault="00AD3775" w:rsidP="00842D78">
      <w:pPr>
        <w:pStyle w:val="Heading1"/>
        <w:numPr>
          <w:ilvl w:val="0"/>
          <w:numId w:val="0"/>
        </w:numPr>
      </w:pPr>
      <w:bookmarkStart w:id="15" w:name="_Toc197023393"/>
      <w:r>
        <w:rPr>
          <w:sz w:val="36"/>
          <w:szCs w:val="36"/>
        </w:rPr>
        <w:lastRenderedPageBreak/>
        <w:t xml:space="preserve">Additional </w:t>
      </w:r>
      <w:r w:rsidR="00842D78" w:rsidRPr="0055776F">
        <w:rPr>
          <w:sz w:val="36"/>
          <w:szCs w:val="36"/>
        </w:rPr>
        <w:t>Figures</w:t>
      </w:r>
      <w:bookmarkEnd w:id="15"/>
    </w:p>
    <w:p w14:paraId="291753C1" w14:textId="77777777" w:rsidR="00A849FA" w:rsidRDefault="00A849FA" w:rsidP="00A849FA"/>
    <w:p w14:paraId="7EF4E42F" w14:textId="77777777" w:rsidR="00A849FA" w:rsidRDefault="00A849FA" w:rsidP="00A849FA">
      <w:r>
        <w:rPr>
          <w:noProof/>
        </w:rPr>
        <w:drawing>
          <wp:inline distT="0" distB="0" distL="0" distR="0" wp14:anchorId="34264C7E" wp14:editId="3C51537E">
            <wp:extent cx="5937885" cy="3156585"/>
            <wp:effectExtent l="0" t="0" r="0" b="0"/>
            <wp:docPr id="1950289289" name="Picture 1" descr="A map of the wor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0289289" name="Picture 1" descr="A map of the world&#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55114" cy="3165744"/>
                    </a:xfrm>
                    <a:prstGeom prst="rect">
                      <a:avLst/>
                    </a:prstGeom>
                    <a:noFill/>
                    <a:ln>
                      <a:noFill/>
                    </a:ln>
                  </pic:spPr>
                </pic:pic>
              </a:graphicData>
            </a:graphic>
          </wp:inline>
        </w:drawing>
      </w:r>
    </w:p>
    <w:p w14:paraId="13E2CD72" w14:textId="76B34924" w:rsidR="00A849FA" w:rsidRPr="00CE7DAF" w:rsidRDefault="009251B9" w:rsidP="58546FE3">
      <w:pPr>
        <w:pStyle w:val="Caption"/>
        <w:jc w:val="both"/>
        <w:rPr>
          <w:i w:val="0"/>
          <w:iCs w:val="0"/>
          <w:color w:val="auto"/>
          <w:sz w:val="22"/>
          <w:szCs w:val="22"/>
        </w:rPr>
      </w:pPr>
      <w:r w:rsidRPr="58546FE3">
        <w:rPr>
          <w:b/>
          <w:bCs/>
          <w:i w:val="0"/>
          <w:iCs w:val="0"/>
          <w:color w:val="auto"/>
          <w:sz w:val="22"/>
          <w:szCs w:val="22"/>
        </w:rPr>
        <w:t>Fig</w:t>
      </w:r>
      <w:r w:rsidR="00536037" w:rsidRPr="58546FE3">
        <w:rPr>
          <w:b/>
          <w:bCs/>
          <w:i w:val="0"/>
          <w:iCs w:val="0"/>
          <w:color w:val="auto"/>
          <w:sz w:val="22"/>
          <w:szCs w:val="22"/>
        </w:rPr>
        <w:t>.</w:t>
      </w:r>
      <w:r w:rsidRPr="58546FE3">
        <w:rPr>
          <w:b/>
          <w:bCs/>
          <w:i w:val="0"/>
          <w:iCs w:val="0"/>
          <w:color w:val="auto"/>
          <w:sz w:val="22"/>
          <w:szCs w:val="22"/>
        </w:rPr>
        <w:t xml:space="preserve"> </w:t>
      </w:r>
      <w:r w:rsidR="00536037" w:rsidRPr="58546FE3">
        <w:rPr>
          <w:b/>
          <w:bCs/>
          <w:i w:val="0"/>
          <w:iCs w:val="0"/>
          <w:color w:val="auto"/>
          <w:sz w:val="22"/>
          <w:szCs w:val="22"/>
        </w:rPr>
        <w:t>S-F</w:t>
      </w:r>
      <w:r w:rsidRPr="58546FE3">
        <w:rPr>
          <w:b/>
          <w:bCs/>
          <w:i w:val="0"/>
          <w:iCs w:val="0"/>
          <w:color w:val="auto"/>
          <w:sz w:val="22"/>
          <w:szCs w:val="22"/>
        </w:rPr>
        <w:fldChar w:fldCharType="begin"/>
      </w:r>
      <w:r w:rsidRPr="58546FE3">
        <w:rPr>
          <w:b/>
          <w:bCs/>
          <w:i w:val="0"/>
          <w:iCs w:val="0"/>
          <w:color w:val="auto"/>
          <w:sz w:val="22"/>
          <w:szCs w:val="22"/>
        </w:rPr>
        <w:instrText xml:space="preserve"> SEQ Figure \* ARABIC </w:instrText>
      </w:r>
      <w:r w:rsidRPr="58546FE3">
        <w:rPr>
          <w:b/>
          <w:bCs/>
          <w:i w:val="0"/>
          <w:iCs w:val="0"/>
          <w:color w:val="auto"/>
          <w:sz w:val="22"/>
          <w:szCs w:val="22"/>
        </w:rPr>
        <w:fldChar w:fldCharType="separate"/>
      </w:r>
      <w:r w:rsidR="007B7678">
        <w:rPr>
          <w:b/>
          <w:bCs/>
          <w:i w:val="0"/>
          <w:iCs w:val="0"/>
          <w:noProof/>
          <w:color w:val="auto"/>
          <w:sz w:val="22"/>
          <w:szCs w:val="22"/>
        </w:rPr>
        <w:t>3</w:t>
      </w:r>
      <w:r w:rsidRPr="58546FE3">
        <w:rPr>
          <w:b/>
          <w:bCs/>
          <w:i w:val="0"/>
          <w:iCs w:val="0"/>
          <w:color w:val="auto"/>
          <w:sz w:val="22"/>
          <w:szCs w:val="22"/>
        </w:rPr>
        <w:fldChar w:fldCharType="end"/>
      </w:r>
      <w:r w:rsidR="00536037" w:rsidRPr="58546FE3">
        <w:rPr>
          <w:b/>
          <w:bCs/>
          <w:i w:val="0"/>
          <w:iCs w:val="0"/>
          <w:color w:val="auto"/>
          <w:sz w:val="22"/>
          <w:szCs w:val="22"/>
        </w:rPr>
        <w:t xml:space="preserve">: </w:t>
      </w:r>
      <w:r w:rsidR="00A849FA" w:rsidRPr="58546FE3">
        <w:rPr>
          <w:b/>
          <w:bCs/>
          <w:i w:val="0"/>
          <w:iCs w:val="0"/>
          <w:color w:val="auto"/>
          <w:sz w:val="22"/>
          <w:szCs w:val="22"/>
        </w:rPr>
        <w:t>Major biomes in the SuCCESs model</w:t>
      </w:r>
      <w:r w:rsidR="00CE7DAF" w:rsidRPr="58546FE3">
        <w:rPr>
          <w:b/>
          <w:bCs/>
          <w:i w:val="0"/>
          <w:iCs w:val="0"/>
          <w:color w:val="auto"/>
          <w:sz w:val="22"/>
          <w:szCs w:val="22"/>
        </w:rPr>
        <w:t xml:space="preserve">. </w:t>
      </w:r>
      <w:r w:rsidR="00CE7DAF" w:rsidRPr="58546FE3">
        <w:rPr>
          <w:i w:val="0"/>
          <w:iCs w:val="0"/>
          <w:color w:val="auto"/>
          <w:sz w:val="22"/>
          <w:szCs w:val="22"/>
        </w:rPr>
        <w:t>The model treats global land as point-sized single region, except for land</w:t>
      </w:r>
      <w:r w:rsidR="71157F60" w:rsidRPr="58546FE3">
        <w:rPr>
          <w:i w:val="0"/>
          <w:iCs w:val="0"/>
          <w:color w:val="auto"/>
          <w:sz w:val="22"/>
          <w:szCs w:val="22"/>
        </w:rPr>
        <w:t>-</w:t>
      </w:r>
      <w:r w:rsidR="00CE7DAF" w:rsidRPr="58546FE3">
        <w:rPr>
          <w:i w:val="0"/>
          <w:iCs w:val="0"/>
          <w:color w:val="auto"/>
          <w:sz w:val="22"/>
          <w:szCs w:val="22"/>
        </w:rPr>
        <w:t xml:space="preserve">use </w:t>
      </w:r>
      <w:r w:rsidR="004C56F7" w:rsidRPr="58546FE3">
        <w:rPr>
          <w:i w:val="0"/>
          <w:iCs w:val="0"/>
          <w:color w:val="auto"/>
          <w:sz w:val="22"/>
          <w:szCs w:val="22"/>
        </w:rPr>
        <w:t>considerations</w:t>
      </w:r>
      <w:r w:rsidR="001E5166" w:rsidRPr="58546FE3">
        <w:rPr>
          <w:i w:val="0"/>
          <w:iCs w:val="0"/>
          <w:color w:val="auto"/>
          <w:sz w:val="22"/>
          <w:szCs w:val="22"/>
        </w:rPr>
        <w:t>, which are separately solved with distinct parametrisations for the 10 major biomes.</w:t>
      </w:r>
    </w:p>
    <w:p w14:paraId="7EF05751" w14:textId="77777777" w:rsidR="00A849FA" w:rsidRDefault="00A849FA" w:rsidP="00A849FA"/>
    <w:p w14:paraId="7E6B1644" w14:textId="77777777" w:rsidR="00EF5F5B" w:rsidRDefault="00EF5F5B" w:rsidP="00A849FA"/>
    <w:p w14:paraId="405A21D0" w14:textId="77777777" w:rsidR="007E7176" w:rsidRDefault="007E7176" w:rsidP="00A849FA"/>
    <w:p w14:paraId="30A2DFA8" w14:textId="77777777" w:rsidR="007E7176" w:rsidRDefault="007E7176" w:rsidP="00A849FA"/>
    <w:p w14:paraId="6A24BBAD" w14:textId="77777777" w:rsidR="007E7176" w:rsidRDefault="007E7176" w:rsidP="00A849FA"/>
    <w:p w14:paraId="6EC7F710" w14:textId="35FEDBBE" w:rsidR="00102847" w:rsidRDefault="00102847" w:rsidP="00102847">
      <w:pPr>
        <w:jc w:val="center"/>
        <w:rPr>
          <w:noProof/>
        </w:rPr>
      </w:pPr>
    </w:p>
    <w:p w14:paraId="3E23CE37" w14:textId="0E1E4650" w:rsidR="00911F3E" w:rsidRDefault="007F0F9E" w:rsidP="00102847">
      <w:pPr>
        <w:jc w:val="center"/>
        <w:rPr>
          <w:noProof/>
        </w:rPr>
      </w:pPr>
      <w:r w:rsidRPr="007F0F9E">
        <w:rPr>
          <w:noProof/>
        </w:rPr>
        <w:lastRenderedPageBreak/>
        <w:drawing>
          <wp:inline distT="0" distB="0" distL="0" distR="0" wp14:anchorId="3F11C0BD" wp14:editId="3EBBB0CE">
            <wp:extent cx="1980000" cy="2096558"/>
            <wp:effectExtent l="0" t="0" r="0" b="0"/>
            <wp:docPr id="1053490238" name="Picture 1" descr="A graph of a graph showing the amount of emiss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3490238" name="Picture 1" descr="A graph of a graph showing the amount of emission&#10;&#10;AI-generated content may be incorrect."/>
                    <pic:cNvPicPr/>
                  </pic:nvPicPr>
                  <pic:blipFill>
                    <a:blip r:embed="rId12"/>
                    <a:stretch>
                      <a:fillRect/>
                    </a:stretch>
                  </pic:blipFill>
                  <pic:spPr>
                    <a:xfrm>
                      <a:off x="0" y="0"/>
                      <a:ext cx="1980000" cy="2096558"/>
                    </a:xfrm>
                    <a:prstGeom prst="rect">
                      <a:avLst/>
                    </a:prstGeom>
                  </pic:spPr>
                </pic:pic>
              </a:graphicData>
            </a:graphic>
          </wp:inline>
        </w:drawing>
      </w:r>
      <w:r w:rsidRPr="007F0F9E">
        <w:rPr>
          <w:noProof/>
        </w:rPr>
        <w:drawing>
          <wp:inline distT="0" distB="0" distL="0" distR="0" wp14:anchorId="184273B2" wp14:editId="1A3E24EB">
            <wp:extent cx="1980000" cy="2096558"/>
            <wp:effectExtent l="0" t="0" r="0" b="0"/>
            <wp:docPr id="1619735203" name="Picture 1" descr="A graph of a graph showing the amount of carbon dioxide emiss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9735203" name="Picture 1" descr="A graph of a graph showing the amount of carbon dioxide emission&#10;&#10;AI-generated content may be incorrect."/>
                    <pic:cNvPicPr/>
                  </pic:nvPicPr>
                  <pic:blipFill>
                    <a:blip r:embed="rId13"/>
                    <a:stretch>
                      <a:fillRect/>
                    </a:stretch>
                  </pic:blipFill>
                  <pic:spPr>
                    <a:xfrm>
                      <a:off x="0" y="0"/>
                      <a:ext cx="1980000" cy="2096558"/>
                    </a:xfrm>
                    <a:prstGeom prst="rect">
                      <a:avLst/>
                    </a:prstGeom>
                  </pic:spPr>
                </pic:pic>
              </a:graphicData>
            </a:graphic>
          </wp:inline>
        </w:drawing>
      </w:r>
      <w:r w:rsidR="000E6DE2" w:rsidRPr="000E6DE2">
        <w:rPr>
          <w:noProof/>
        </w:rPr>
        <w:drawing>
          <wp:inline distT="0" distB="0" distL="0" distR="0" wp14:anchorId="17359240" wp14:editId="678BA590">
            <wp:extent cx="1980000" cy="2096135"/>
            <wp:effectExtent l="0" t="0" r="0" b="0"/>
            <wp:docPr id="1966303451" name="Picture 1"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6303451" name="Picture 1" descr="A graph of different colored lines&#10;&#10;AI-generated content may be incorrect."/>
                    <pic:cNvPicPr/>
                  </pic:nvPicPr>
                  <pic:blipFill>
                    <a:blip r:embed="rId14"/>
                    <a:stretch>
                      <a:fillRect/>
                    </a:stretch>
                  </pic:blipFill>
                  <pic:spPr>
                    <a:xfrm>
                      <a:off x="0" y="0"/>
                      <a:ext cx="1980000" cy="2096135"/>
                    </a:xfrm>
                    <a:prstGeom prst="rect">
                      <a:avLst/>
                    </a:prstGeom>
                  </pic:spPr>
                </pic:pic>
              </a:graphicData>
            </a:graphic>
          </wp:inline>
        </w:drawing>
      </w:r>
    </w:p>
    <w:p w14:paraId="6F97EB1C" w14:textId="2D236976" w:rsidR="008751DA" w:rsidRDefault="00965A1B" w:rsidP="00270C0A">
      <w:pPr>
        <w:jc w:val="center"/>
        <w:rPr>
          <w:noProof/>
        </w:rPr>
      </w:pPr>
      <w:r>
        <w:rPr>
          <w:noProof/>
        </w:rPr>
        <w:drawing>
          <wp:inline distT="0" distB="0" distL="0" distR="0" wp14:anchorId="6AE0B04D" wp14:editId="2196AA6E">
            <wp:extent cx="5943600" cy="312302"/>
            <wp:effectExtent l="0" t="0" r="0" b="0"/>
            <wp:docPr id="1380805213" name="Picture 2"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0805213" name="Picture 2" descr="A graph of different colored lines&#10;&#10;AI-generated content may be incorrect."/>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87608"/>
                    <a:stretch/>
                  </pic:blipFill>
                  <pic:spPr bwMode="auto">
                    <a:xfrm>
                      <a:off x="0" y="0"/>
                      <a:ext cx="5943600" cy="312302"/>
                    </a:xfrm>
                    <a:prstGeom prst="rect">
                      <a:avLst/>
                    </a:prstGeom>
                    <a:noFill/>
                    <a:ln>
                      <a:noFill/>
                    </a:ln>
                    <a:extLst>
                      <a:ext uri="{53640926-AAD7-44D8-BBD7-CCE9431645EC}">
                        <a14:shadowObscured xmlns:a14="http://schemas.microsoft.com/office/drawing/2010/main"/>
                      </a:ext>
                    </a:extLst>
                  </pic:spPr>
                </pic:pic>
              </a:graphicData>
            </a:graphic>
          </wp:inline>
        </w:drawing>
      </w:r>
    </w:p>
    <w:p w14:paraId="51EC5BCC" w14:textId="5A74F702" w:rsidR="00C15C23" w:rsidRDefault="3D191EC6" w:rsidP="3D191EC6">
      <w:pPr>
        <w:pStyle w:val="Caption"/>
        <w:jc w:val="both"/>
        <w:rPr>
          <w:i w:val="0"/>
          <w:iCs w:val="0"/>
          <w:color w:val="auto"/>
          <w:sz w:val="22"/>
          <w:szCs w:val="22"/>
        </w:rPr>
      </w:pPr>
      <w:bookmarkStart w:id="16" w:name="_Ref195693701"/>
      <w:r w:rsidRPr="3D191EC6">
        <w:rPr>
          <w:b/>
          <w:bCs/>
          <w:i w:val="0"/>
          <w:iCs w:val="0"/>
          <w:color w:val="auto"/>
          <w:sz w:val="22"/>
          <w:szCs w:val="22"/>
        </w:rPr>
        <w:t>Fig. S-F</w:t>
      </w:r>
      <w:r w:rsidR="00C159FA" w:rsidRPr="3D191EC6">
        <w:rPr>
          <w:b/>
          <w:bCs/>
          <w:i w:val="0"/>
          <w:iCs w:val="0"/>
          <w:color w:val="auto"/>
          <w:sz w:val="22"/>
          <w:szCs w:val="22"/>
        </w:rPr>
        <w:fldChar w:fldCharType="begin"/>
      </w:r>
      <w:r w:rsidR="00C159FA" w:rsidRPr="3D191EC6">
        <w:rPr>
          <w:b/>
          <w:bCs/>
          <w:i w:val="0"/>
          <w:iCs w:val="0"/>
          <w:color w:val="auto"/>
          <w:sz w:val="22"/>
          <w:szCs w:val="22"/>
        </w:rPr>
        <w:instrText xml:space="preserve"> SEQ Figure \* ARABIC </w:instrText>
      </w:r>
      <w:r w:rsidR="00C159FA" w:rsidRPr="3D191EC6">
        <w:rPr>
          <w:b/>
          <w:bCs/>
          <w:i w:val="0"/>
          <w:iCs w:val="0"/>
          <w:color w:val="auto"/>
          <w:sz w:val="22"/>
          <w:szCs w:val="22"/>
        </w:rPr>
        <w:fldChar w:fldCharType="separate"/>
      </w:r>
      <w:r w:rsidR="007B7678">
        <w:rPr>
          <w:b/>
          <w:bCs/>
          <w:i w:val="0"/>
          <w:iCs w:val="0"/>
          <w:noProof/>
          <w:color w:val="auto"/>
          <w:sz w:val="22"/>
          <w:szCs w:val="22"/>
        </w:rPr>
        <w:t>4</w:t>
      </w:r>
      <w:r w:rsidR="00C159FA" w:rsidRPr="3D191EC6">
        <w:rPr>
          <w:b/>
          <w:bCs/>
          <w:i w:val="0"/>
          <w:iCs w:val="0"/>
          <w:color w:val="auto"/>
          <w:sz w:val="22"/>
          <w:szCs w:val="22"/>
        </w:rPr>
        <w:fldChar w:fldCharType="end"/>
      </w:r>
      <w:bookmarkEnd w:id="16"/>
      <w:r w:rsidRPr="3D191EC6">
        <w:rPr>
          <w:b/>
          <w:bCs/>
          <w:i w:val="0"/>
          <w:iCs w:val="0"/>
          <w:color w:val="auto"/>
          <w:sz w:val="22"/>
          <w:szCs w:val="22"/>
        </w:rPr>
        <w:t>:</w:t>
      </w:r>
      <w:r w:rsidRPr="3D191EC6">
        <w:rPr>
          <w:i w:val="0"/>
          <w:iCs w:val="0"/>
          <w:color w:val="auto"/>
          <w:sz w:val="22"/>
          <w:szCs w:val="22"/>
        </w:rPr>
        <w:t xml:space="preserve"> </w:t>
      </w:r>
      <w:r w:rsidRPr="3D191EC6">
        <w:rPr>
          <w:b/>
          <w:bCs/>
          <w:i w:val="0"/>
          <w:iCs w:val="0"/>
          <w:color w:val="auto"/>
          <w:sz w:val="22"/>
          <w:szCs w:val="22"/>
        </w:rPr>
        <w:t>a)</w:t>
      </w:r>
      <w:r w:rsidRPr="3D191EC6">
        <w:rPr>
          <w:i w:val="0"/>
          <w:iCs w:val="0"/>
          <w:color w:val="auto"/>
          <w:sz w:val="22"/>
          <w:szCs w:val="22"/>
        </w:rPr>
        <w:t xml:space="preserve"> </w:t>
      </w:r>
      <w:r w:rsidRPr="3D191EC6">
        <w:rPr>
          <w:b/>
          <w:bCs/>
          <w:i w:val="0"/>
          <w:iCs w:val="0"/>
          <w:color w:val="auto"/>
          <w:sz w:val="22"/>
          <w:szCs w:val="22"/>
        </w:rPr>
        <w:t>Global annual total net emissions</w:t>
      </w:r>
      <w:r w:rsidRPr="3D191EC6">
        <w:rPr>
          <w:i w:val="0"/>
          <w:iCs w:val="0"/>
          <w:color w:val="auto"/>
          <w:sz w:val="22"/>
          <w:szCs w:val="22"/>
        </w:rPr>
        <w:t xml:space="preserve"> including fossil fuels, industry, and AFOLU sectors. </w:t>
      </w:r>
      <w:r w:rsidRPr="3D191EC6">
        <w:rPr>
          <w:b/>
          <w:bCs/>
          <w:i w:val="0"/>
          <w:iCs w:val="0"/>
          <w:color w:val="auto"/>
          <w:sz w:val="22"/>
          <w:szCs w:val="22"/>
        </w:rPr>
        <w:t>b)</w:t>
      </w:r>
      <w:r w:rsidRPr="3D191EC6">
        <w:rPr>
          <w:i w:val="0"/>
          <w:iCs w:val="0"/>
          <w:color w:val="auto"/>
          <w:sz w:val="22"/>
          <w:szCs w:val="22"/>
        </w:rPr>
        <w:t xml:space="preserve"> </w:t>
      </w:r>
      <w:r w:rsidRPr="3D191EC6">
        <w:rPr>
          <w:b/>
          <w:bCs/>
          <w:i w:val="0"/>
          <w:iCs w:val="0"/>
          <w:color w:val="auto"/>
          <w:sz w:val="22"/>
          <w:szCs w:val="22"/>
        </w:rPr>
        <w:t>Global annual AFOLU net emissions</w:t>
      </w:r>
      <w:r w:rsidRPr="3D191EC6">
        <w:rPr>
          <w:i w:val="0"/>
          <w:iCs w:val="0"/>
          <w:color w:val="auto"/>
          <w:sz w:val="22"/>
          <w:szCs w:val="22"/>
        </w:rPr>
        <w:t xml:space="preserve"> for different global diets. </w:t>
      </w:r>
      <w:r w:rsidRPr="3D191EC6">
        <w:rPr>
          <w:b/>
          <w:bCs/>
          <w:i w:val="0"/>
          <w:iCs w:val="0"/>
          <w:color w:val="auto"/>
          <w:sz w:val="22"/>
          <w:szCs w:val="22"/>
        </w:rPr>
        <w:t>c)</w:t>
      </w:r>
      <w:r w:rsidRPr="3D191EC6">
        <w:rPr>
          <w:i w:val="0"/>
          <w:iCs w:val="0"/>
          <w:color w:val="auto"/>
          <w:sz w:val="22"/>
          <w:szCs w:val="22"/>
        </w:rPr>
        <w:t xml:space="preserve"> </w:t>
      </w:r>
      <w:r w:rsidRPr="3D191EC6">
        <w:rPr>
          <w:b/>
          <w:bCs/>
          <w:i w:val="0"/>
          <w:iCs w:val="0"/>
          <w:color w:val="auto"/>
          <w:sz w:val="22"/>
          <w:szCs w:val="22"/>
        </w:rPr>
        <w:t>Global temperature anomaly</w:t>
      </w:r>
      <w:r w:rsidRPr="3D191EC6">
        <w:rPr>
          <w:i w:val="0"/>
          <w:iCs w:val="0"/>
          <w:color w:val="auto"/>
          <w:sz w:val="22"/>
          <w:szCs w:val="22"/>
        </w:rPr>
        <w:t xml:space="preserve">. The trajectories are coloured according to emission pricing. The dashed black trajectory indicates the baseline scenario. The black lines in a) and b) mark net zero emissions. The two black lines in c) represent the two Paris Agreement limits. </w:t>
      </w:r>
      <w:r w:rsidR="00CF3703">
        <w:rPr>
          <w:i w:val="0"/>
          <w:iCs w:val="0"/>
          <w:color w:val="auto"/>
          <w:sz w:val="22"/>
          <w:szCs w:val="22"/>
        </w:rPr>
        <w:t xml:space="preserve">For discussion of line separations and </w:t>
      </w:r>
      <w:r w:rsidR="00634EB5">
        <w:rPr>
          <w:i w:val="0"/>
          <w:iCs w:val="0"/>
          <w:color w:val="auto"/>
          <w:sz w:val="22"/>
          <w:szCs w:val="22"/>
        </w:rPr>
        <w:t xml:space="preserve">emissions bounce-back of </w:t>
      </w:r>
      <w:r w:rsidR="002E5AEE">
        <w:rPr>
          <w:i w:val="0"/>
          <w:iCs w:val="0"/>
          <w:color w:val="auto"/>
          <w:sz w:val="22"/>
          <w:szCs w:val="22"/>
        </w:rPr>
        <w:t>early decarbonisation and meat-free diets</w:t>
      </w:r>
      <w:r w:rsidR="00231EFD">
        <w:rPr>
          <w:i w:val="0"/>
          <w:iCs w:val="0"/>
          <w:color w:val="auto"/>
          <w:sz w:val="22"/>
          <w:szCs w:val="22"/>
        </w:rPr>
        <w:t xml:space="preserve"> </w:t>
      </w:r>
      <w:r w:rsidR="002E5AEE">
        <w:rPr>
          <w:i w:val="0"/>
          <w:iCs w:val="0"/>
          <w:color w:val="auto"/>
          <w:sz w:val="22"/>
          <w:szCs w:val="22"/>
        </w:rPr>
        <w:t>(dark blue lines)</w:t>
      </w:r>
      <w:r w:rsidR="00231EFD">
        <w:rPr>
          <w:i w:val="0"/>
          <w:iCs w:val="0"/>
          <w:color w:val="auto"/>
          <w:sz w:val="22"/>
          <w:szCs w:val="22"/>
        </w:rPr>
        <w:t xml:space="preserve">, see </w:t>
      </w:r>
      <w:r w:rsidR="004015A8">
        <w:rPr>
          <w:i w:val="0"/>
          <w:iCs w:val="0"/>
          <w:color w:val="auto"/>
          <w:sz w:val="22"/>
          <w:szCs w:val="22"/>
        </w:rPr>
        <w:t>discussion section below</w:t>
      </w:r>
    </w:p>
    <w:p w14:paraId="0FEA8512" w14:textId="77777777" w:rsidR="008C5A8F" w:rsidRDefault="008C5A8F" w:rsidP="008C5A8F"/>
    <w:p w14:paraId="1275D368" w14:textId="77777777" w:rsidR="003377DA" w:rsidRDefault="003377DA" w:rsidP="008C5A8F"/>
    <w:p w14:paraId="6E8C15D3" w14:textId="77777777" w:rsidR="002D30B0" w:rsidRDefault="002D30B0" w:rsidP="008C5A8F"/>
    <w:p w14:paraId="37ADC11A" w14:textId="77777777" w:rsidR="00CF3703" w:rsidRDefault="00CF3703" w:rsidP="00CF3703">
      <w:pPr>
        <w:jc w:val="center"/>
      </w:pPr>
      <w:r w:rsidRPr="004A77CD">
        <w:rPr>
          <w:noProof/>
        </w:rPr>
        <w:drawing>
          <wp:inline distT="0" distB="0" distL="0" distR="0" wp14:anchorId="674052EB" wp14:editId="29B9EE3E">
            <wp:extent cx="1980000" cy="1451577"/>
            <wp:effectExtent l="0" t="0" r="0" b="0"/>
            <wp:docPr id="920481908" name="Picture 1"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0481908" name="Picture 1" descr="A graph of different colored lines&#10;&#10;AI-generated content may be incorrect."/>
                    <pic:cNvPicPr/>
                  </pic:nvPicPr>
                  <pic:blipFill>
                    <a:blip r:embed="rId16"/>
                    <a:stretch>
                      <a:fillRect/>
                    </a:stretch>
                  </pic:blipFill>
                  <pic:spPr>
                    <a:xfrm>
                      <a:off x="0" y="0"/>
                      <a:ext cx="1980000" cy="1451577"/>
                    </a:xfrm>
                    <a:prstGeom prst="rect">
                      <a:avLst/>
                    </a:prstGeom>
                  </pic:spPr>
                </pic:pic>
              </a:graphicData>
            </a:graphic>
          </wp:inline>
        </w:drawing>
      </w:r>
      <w:r w:rsidRPr="00911F5A">
        <w:rPr>
          <w:noProof/>
        </w:rPr>
        <w:drawing>
          <wp:inline distT="0" distB="0" distL="0" distR="0" wp14:anchorId="5CF59770" wp14:editId="54BF9880">
            <wp:extent cx="1980000" cy="1418577"/>
            <wp:effectExtent l="0" t="0" r="0" b="0"/>
            <wp:docPr id="614333779" name="Picture 1"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333779" name="Picture 1" descr="A graph of different colored lines&#10;&#10;AI-generated content may be incorrect."/>
                    <pic:cNvPicPr/>
                  </pic:nvPicPr>
                  <pic:blipFill>
                    <a:blip r:embed="rId17"/>
                    <a:stretch>
                      <a:fillRect/>
                    </a:stretch>
                  </pic:blipFill>
                  <pic:spPr>
                    <a:xfrm>
                      <a:off x="0" y="0"/>
                      <a:ext cx="1980000" cy="1418577"/>
                    </a:xfrm>
                    <a:prstGeom prst="rect">
                      <a:avLst/>
                    </a:prstGeom>
                  </pic:spPr>
                </pic:pic>
              </a:graphicData>
            </a:graphic>
          </wp:inline>
        </w:drawing>
      </w:r>
      <w:r w:rsidRPr="00CF3703">
        <w:rPr>
          <w:noProof/>
        </w:rPr>
        <w:drawing>
          <wp:inline distT="0" distB="0" distL="0" distR="0" wp14:anchorId="554A4728" wp14:editId="1D98AF83">
            <wp:extent cx="1980000" cy="1451577"/>
            <wp:effectExtent l="0" t="0" r="0" b="0"/>
            <wp:docPr id="1171381928" name="Picture 1" descr="A graph with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1381928" name="Picture 1" descr="A graph with different colored lines&#10;&#10;AI-generated content may be incorrect."/>
                    <pic:cNvPicPr/>
                  </pic:nvPicPr>
                  <pic:blipFill>
                    <a:blip r:embed="rId18"/>
                    <a:stretch>
                      <a:fillRect/>
                    </a:stretch>
                  </pic:blipFill>
                  <pic:spPr>
                    <a:xfrm>
                      <a:off x="0" y="0"/>
                      <a:ext cx="1980000" cy="1451577"/>
                    </a:xfrm>
                    <a:prstGeom prst="rect">
                      <a:avLst/>
                    </a:prstGeom>
                  </pic:spPr>
                </pic:pic>
              </a:graphicData>
            </a:graphic>
          </wp:inline>
        </w:drawing>
      </w:r>
    </w:p>
    <w:p w14:paraId="1FD5C702" w14:textId="638C754D" w:rsidR="00CF3703" w:rsidRPr="00B0734E" w:rsidRDefault="00CF3703" w:rsidP="00E76FA0">
      <w:pPr>
        <w:jc w:val="both"/>
      </w:pPr>
      <w:r w:rsidRPr="58546FE3">
        <w:rPr>
          <w:b/>
          <w:bCs/>
        </w:rPr>
        <w:t>Fig. S-F</w:t>
      </w:r>
      <w:r w:rsidRPr="58546FE3">
        <w:rPr>
          <w:b/>
          <w:bCs/>
        </w:rPr>
        <w:fldChar w:fldCharType="begin"/>
      </w:r>
      <w:r w:rsidRPr="58546FE3">
        <w:rPr>
          <w:b/>
          <w:bCs/>
        </w:rPr>
        <w:instrText xml:space="preserve"> SEQ Figure \* ARABIC </w:instrText>
      </w:r>
      <w:r w:rsidRPr="58546FE3">
        <w:rPr>
          <w:b/>
          <w:bCs/>
        </w:rPr>
        <w:fldChar w:fldCharType="separate"/>
      </w:r>
      <w:r w:rsidR="007B7678">
        <w:rPr>
          <w:b/>
          <w:bCs/>
          <w:noProof/>
        </w:rPr>
        <w:t>5</w:t>
      </w:r>
      <w:r w:rsidRPr="58546FE3">
        <w:rPr>
          <w:b/>
          <w:bCs/>
        </w:rPr>
        <w:fldChar w:fldCharType="end"/>
      </w:r>
      <w:r w:rsidRPr="58546FE3">
        <w:rPr>
          <w:b/>
          <w:bCs/>
        </w:rPr>
        <w:t>:</w:t>
      </w:r>
      <w:r w:rsidRPr="58546FE3">
        <w:rPr>
          <w:sz w:val="20"/>
          <w:szCs w:val="20"/>
        </w:rPr>
        <w:t xml:space="preserve"> </w:t>
      </w:r>
      <w:r w:rsidRPr="58546FE3">
        <w:rPr>
          <w:b/>
          <w:bCs/>
        </w:rPr>
        <w:t>Greenhouse gas concentrations</w:t>
      </w:r>
      <w:r>
        <w:t xml:space="preserve"> among all scenarios, coloured by emission pricing</w:t>
      </w:r>
      <w:r w:rsidR="004015A8">
        <w:t xml:space="preserve">. For </w:t>
      </w:r>
      <w:r w:rsidR="00E76FA0">
        <w:t xml:space="preserve">discussion of </w:t>
      </w:r>
      <w:r w:rsidR="003377DA">
        <w:t>GHG concentrations trajectories, see discussion section below</w:t>
      </w:r>
    </w:p>
    <w:p w14:paraId="3ED976C2" w14:textId="77777777" w:rsidR="00CF3703" w:rsidRDefault="00CF3703" w:rsidP="008C5A8F"/>
    <w:p w14:paraId="18649762" w14:textId="3CBFA518" w:rsidR="003377DA" w:rsidRDefault="003377DA">
      <w:r>
        <w:br w:type="page"/>
      </w:r>
    </w:p>
    <w:p w14:paraId="35DE3051" w14:textId="21C52067" w:rsidR="004A3734" w:rsidRPr="004A3734" w:rsidRDefault="004A3734" w:rsidP="004A3734">
      <w:pPr>
        <w:pStyle w:val="Heading4"/>
      </w:pPr>
      <w:bookmarkStart w:id="17" w:name="_Ref195351358"/>
      <w:r>
        <w:lastRenderedPageBreak/>
        <w:t>Discussion o</w:t>
      </w:r>
      <w:r w:rsidR="0050698E">
        <w:t>n emissions</w:t>
      </w:r>
      <w:r w:rsidR="008C5A8F">
        <w:t xml:space="preserve"> and concentrations</w:t>
      </w:r>
      <w:r w:rsidR="0050698E">
        <w:t xml:space="preserve"> </w:t>
      </w:r>
      <w:r w:rsidR="008A488E">
        <w:t>trajectories</w:t>
      </w:r>
      <w:bookmarkEnd w:id="17"/>
    </w:p>
    <w:p w14:paraId="661FEF90" w14:textId="4FA0684A" w:rsidR="008A488E" w:rsidRDefault="00977F88" w:rsidP="008A488E">
      <w:pPr>
        <w:pStyle w:val="Caption"/>
        <w:jc w:val="both"/>
        <w:rPr>
          <w:i w:val="0"/>
          <w:iCs w:val="0"/>
          <w:color w:val="auto"/>
          <w:sz w:val="22"/>
          <w:szCs w:val="22"/>
        </w:rPr>
      </w:pPr>
      <w:r w:rsidRPr="00977F88">
        <w:rPr>
          <w:i w:val="0"/>
          <w:iCs w:val="0"/>
          <w:color w:val="auto"/>
          <w:sz w:val="22"/>
          <w:szCs w:val="22"/>
        </w:rPr>
        <w:t xml:space="preserve">In </w:t>
      </w:r>
      <w:r w:rsidRPr="00977F88">
        <w:rPr>
          <w:i w:val="0"/>
          <w:iCs w:val="0"/>
          <w:color w:val="auto"/>
          <w:sz w:val="22"/>
          <w:szCs w:val="22"/>
        </w:rPr>
        <w:fldChar w:fldCharType="begin"/>
      </w:r>
      <w:r w:rsidRPr="00977F88">
        <w:rPr>
          <w:i w:val="0"/>
          <w:iCs w:val="0"/>
          <w:color w:val="auto"/>
          <w:sz w:val="22"/>
          <w:szCs w:val="22"/>
        </w:rPr>
        <w:instrText xml:space="preserve"> REF _Ref195693701 \h  \* MERGEFORMAT </w:instrText>
      </w:r>
      <w:r w:rsidRPr="00977F88">
        <w:rPr>
          <w:i w:val="0"/>
          <w:iCs w:val="0"/>
          <w:color w:val="auto"/>
          <w:sz w:val="22"/>
          <w:szCs w:val="22"/>
        </w:rPr>
      </w:r>
      <w:r w:rsidRPr="00977F88">
        <w:rPr>
          <w:i w:val="0"/>
          <w:iCs w:val="0"/>
          <w:color w:val="auto"/>
          <w:sz w:val="22"/>
          <w:szCs w:val="22"/>
        </w:rPr>
        <w:fldChar w:fldCharType="separate"/>
      </w:r>
      <w:r w:rsidR="007B7678" w:rsidRPr="3D191EC6">
        <w:rPr>
          <w:b/>
          <w:bCs/>
          <w:i w:val="0"/>
          <w:iCs w:val="0"/>
          <w:color w:val="auto"/>
          <w:sz w:val="22"/>
          <w:szCs w:val="22"/>
        </w:rPr>
        <w:t>Fig. S-F</w:t>
      </w:r>
      <w:r w:rsidR="007B7678">
        <w:rPr>
          <w:b/>
          <w:bCs/>
          <w:i w:val="0"/>
          <w:iCs w:val="0"/>
          <w:color w:val="auto"/>
          <w:sz w:val="22"/>
          <w:szCs w:val="22"/>
        </w:rPr>
        <w:t>4</w:t>
      </w:r>
      <w:r w:rsidRPr="00977F88">
        <w:rPr>
          <w:i w:val="0"/>
          <w:iCs w:val="0"/>
          <w:color w:val="auto"/>
          <w:sz w:val="22"/>
          <w:szCs w:val="22"/>
        </w:rPr>
        <w:fldChar w:fldCharType="end"/>
      </w:r>
      <w:r>
        <w:rPr>
          <w:i w:val="0"/>
          <w:iCs w:val="0"/>
          <w:color w:val="auto"/>
          <w:sz w:val="22"/>
          <w:szCs w:val="22"/>
        </w:rPr>
        <w:t>, t</w:t>
      </w:r>
      <w:r w:rsidR="008A488E" w:rsidRPr="3D191EC6">
        <w:rPr>
          <w:i w:val="0"/>
          <w:iCs w:val="0"/>
          <w:color w:val="auto"/>
          <w:sz w:val="22"/>
          <w:szCs w:val="22"/>
        </w:rPr>
        <w:t xml:space="preserve">he clear divergence in emission pricing scenarios, particularly in early decarbonization (dark blue), is driven by dietary choices: lower emissions and temperatures result from reduced animal product consumption. In contrast, the pronounced trajectory separation in </w:t>
      </w:r>
      <w:r w:rsidR="008A488E">
        <w:rPr>
          <w:i w:val="0"/>
          <w:iCs w:val="0"/>
          <w:color w:val="auto"/>
          <w:sz w:val="22"/>
          <w:szCs w:val="22"/>
        </w:rPr>
        <w:t xml:space="preserve">the </w:t>
      </w:r>
      <w:r w:rsidR="008A488E" w:rsidRPr="3D191EC6">
        <w:rPr>
          <w:i w:val="0"/>
          <w:iCs w:val="0"/>
          <w:color w:val="auto"/>
          <w:sz w:val="22"/>
          <w:szCs w:val="22"/>
        </w:rPr>
        <w:t xml:space="preserve">no emission pricing scenarios (yellow lines), especially evident in panel c), stems from biodiversity conservation policies, distinguishing the </w:t>
      </w:r>
      <w:r w:rsidR="008A488E" w:rsidRPr="00264581">
        <w:rPr>
          <w:color w:val="auto"/>
          <w:sz w:val="22"/>
          <w:szCs w:val="22"/>
        </w:rPr>
        <w:t>Maturing Habitats</w:t>
      </w:r>
      <w:r w:rsidR="008A488E" w:rsidRPr="3D191EC6">
        <w:rPr>
          <w:i w:val="0"/>
          <w:iCs w:val="0"/>
          <w:color w:val="auto"/>
          <w:sz w:val="22"/>
          <w:szCs w:val="22"/>
        </w:rPr>
        <w:t xml:space="preserve"> case from less strict conservation.</w:t>
      </w:r>
      <w:r w:rsidR="008A488E">
        <w:rPr>
          <w:i w:val="0"/>
          <w:iCs w:val="0"/>
          <w:color w:val="auto"/>
          <w:sz w:val="22"/>
          <w:szCs w:val="22"/>
        </w:rPr>
        <w:t xml:space="preserve"> </w:t>
      </w:r>
    </w:p>
    <w:p w14:paraId="595A1BFA" w14:textId="678EEB5E" w:rsidR="00B139CF" w:rsidRPr="00AD2167" w:rsidRDefault="00264581" w:rsidP="00AD2167">
      <w:pPr>
        <w:pStyle w:val="Caption"/>
        <w:jc w:val="both"/>
        <w:rPr>
          <w:color w:val="auto"/>
        </w:rPr>
      </w:pPr>
      <w:r w:rsidRPr="00977F88">
        <w:rPr>
          <w:i w:val="0"/>
          <w:iCs w:val="0"/>
          <w:color w:val="auto"/>
          <w:sz w:val="22"/>
          <w:szCs w:val="22"/>
        </w:rPr>
        <w:t>In</w:t>
      </w:r>
      <w:r w:rsidR="00CC3EF2" w:rsidRPr="00977F88">
        <w:rPr>
          <w:i w:val="0"/>
          <w:iCs w:val="0"/>
          <w:color w:val="auto"/>
          <w:sz w:val="22"/>
          <w:szCs w:val="22"/>
        </w:rPr>
        <w:t xml:space="preserve"> </w:t>
      </w:r>
      <w:r w:rsidR="00CC3EF2" w:rsidRPr="00977F88">
        <w:rPr>
          <w:i w:val="0"/>
          <w:iCs w:val="0"/>
          <w:color w:val="auto"/>
          <w:sz w:val="22"/>
          <w:szCs w:val="22"/>
        </w:rPr>
        <w:fldChar w:fldCharType="begin"/>
      </w:r>
      <w:r w:rsidR="00CC3EF2" w:rsidRPr="00977F88">
        <w:rPr>
          <w:i w:val="0"/>
          <w:iCs w:val="0"/>
          <w:color w:val="auto"/>
          <w:sz w:val="22"/>
          <w:szCs w:val="22"/>
        </w:rPr>
        <w:instrText xml:space="preserve"> REF _Ref195693701 \h </w:instrText>
      </w:r>
      <w:r w:rsidR="00433681" w:rsidRPr="00977F88">
        <w:rPr>
          <w:i w:val="0"/>
          <w:iCs w:val="0"/>
          <w:color w:val="auto"/>
          <w:sz w:val="22"/>
          <w:szCs w:val="22"/>
        </w:rPr>
        <w:instrText xml:space="preserve"> \* MERGEFORMAT </w:instrText>
      </w:r>
      <w:r w:rsidR="00CC3EF2" w:rsidRPr="00977F88">
        <w:rPr>
          <w:i w:val="0"/>
          <w:iCs w:val="0"/>
          <w:color w:val="auto"/>
          <w:sz w:val="22"/>
          <w:szCs w:val="22"/>
        </w:rPr>
      </w:r>
      <w:r w:rsidR="00CC3EF2" w:rsidRPr="00977F88">
        <w:rPr>
          <w:i w:val="0"/>
          <w:iCs w:val="0"/>
          <w:color w:val="auto"/>
          <w:sz w:val="22"/>
          <w:szCs w:val="22"/>
        </w:rPr>
        <w:fldChar w:fldCharType="separate"/>
      </w:r>
      <w:r w:rsidR="007B7678" w:rsidRPr="3D191EC6">
        <w:rPr>
          <w:b/>
          <w:bCs/>
          <w:i w:val="0"/>
          <w:iCs w:val="0"/>
          <w:color w:val="auto"/>
          <w:sz w:val="22"/>
          <w:szCs w:val="22"/>
        </w:rPr>
        <w:t>Fig. S-F</w:t>
      </w:r>
      <w:r w:rsidR="007B7678">
        <w:rPr>
          <w:b/>
          <w:bCs/>
          <w:i w:val="0"/>
          <w:iCs w:val="0"/>
          <w:color w:val="auto"/>
          <w:sz w:val="22"/>
          <w:szCs w:val="22"/>
        </w:rPr>
        <w:t>4</w:t>
      </w:r>
      <w:r w:rsidR="00CC3EF2" w:rsidRPr="00977F88">
        <w:rPr>
          <w:i w:val="0"/>
          <w:iCs w:val="0"/>
          <w:color w:val="auto"/>
          <w:sz w:val="22"/>
          <w:szCs w:val="22"/>
        </w:rPr>
        <w:fldChar w:fldCharType="end"/>
      </w:r>
      <w:r w:rsidR="004C04A6" w:rsidRPr="00977F88">
        <w:rPr>
          <w:i w:val="0"/>
          <w:iCs w:val="0"/>
          <w:color w:val="auto"/>
          <w:sz w:val="22"/>
          <w:szCs w:val="22"/>
        </w:rPr>
        <w:t>,</w:t>
      </w:r>
      <w:r w:rsidR="008C26D9" w:rsidRPr="00977F88">
        <w:rPr>
          <w:i w:val="0"/>
          <w:iCs w:val="0"/>
          <w:color w:val="auto"/>
          <w:sz w:val="22"/>
          <w:szCs w:val="22"/>
        </w:rPr>
        <w:t xml:space="preserve"> </w:t>
      </w:r>
      <w:r w:rsidR="00157A1A" w:rsidRPr="00977F88">
        <w:rPr>
          <w:i w:val="0"/>
          <w:iCs w:val="0"/>
          <w:color w:val="auto"/>
          <w:sz w:val="22"/>
          <w:szCs w:val="22"/>
        </w:rPr>
        <w:t xml:space="preserve">in </w:t>
      </w:r>
      <w:r w:rsidR="007D74FB" w:rsidRPr="00977F88">
        <w:rPr>
          <w:i w:val="0"/>
          <w:iCs w:val="0"/>
          <w:color w:val="auto"/>
          <w:sz w:val="22"/>
          <w:szCs w:val="22"/>
        </w:rPr>
        <w:t>v</w:t>
      </w:r>
      <w:r w:rsidR="008C26D9" w:rsidRPr="00977F88">
        <w:rPr>
          <w:i w:val="0"/>
          <w:iCs w:val="0"/>
          <w:color w:val="auto"/>
          <w:sz w:val="22"/>
          <w:szCs w:val="22"/>
        </w:rPr>
        <w:t xml:space="preserve">egan and vegetarian </w:t>
      </w:r>
      <w:r w:rsidR="00397149" w:rsidRPr="00977F88">
        <w:rPr>
          <w:i w:val="0"/>
          <w:iCs w:val="0"/>
          <w:color w:val="auto"/>
          <w:sz w:val="22"/>
          <w:szCs w:val="22"/>
        </w:rPr>
        <w:t xml:space="preserve">scenarios </w:t>
      </w:r>
      <w:r w:rsidR="008C26D9" w:rsidRPr="00977F88">
        <w:rPr>
          <w:i w:val="0"/>
          <w:iCs w:val="0"/>
          <w:color w:val="auto"/>
          <w:sz w:val="22"/>
          <w:szCs w:val="22"/>
        </w:rPr>
        <w:t>under early decarbonisation emission pricing (dark blue lines, lower part of the separation),</w:t>
      </w:r>
      <w:r w:rsidR="00E869B3" w:rsidRPr="00977F88">
        <w:rPr>
          <w:i w:val="0"/>
          <w:iCs w:val="0"/>
          <w:color w:val="auto"/>
          <w:sz w:val="22"/>
          <w:szCs w:val="22"/>
        </w:rPr>
        <w:t xml:space="preserve"> emissions </w:t>
      </w:r>
      <w:r w:rsidR="00941935" w:rsidRPr="00977F88">
        <w:rPr>
          <w:i w:val="0"/>
          <w:iCs w:val="0"/>
          <w:color w:val="auto"/>
          <w:sz w:val="22"/>
          <w:szCs w:val="22"/>
        </w:rPr>
        <w:t>decrease</w:t>
      </w:r>
      <w:r w:rsidR="00E869B3" w:rsidRPr="00977F88">
        <w:rPr>
          <w:i w:val="0"/>
          <w:iCs w:val="0"/>
          <w:color w:val="auto"/>
          <w:sz w:val="22"/>
          <w:szCs w:val="22"/>
        </w:rPr>
        <w:t xml:space="preserve"> to almost net-zero by 2050, but</w:t>
      </w:r>
      <w:r w:rsidR="00C51233" w:rsidRPr="00977F88">
        <w:rPr>
          <w:i w:val="0"/>
          <w:iCs w:val="0"/>
          <w:color w:val="auto"/>
          <w:sz w:val="22"/>
          <w:szCs w:val="22"/>
        </w:rPr>
        <w:t xml:space="preserve"> </w:t>
      </w:r>
      <w:r w:rsidR="008C26D9" w:rsidRPr="00977F88">
        <w:rPr>
          <w:i w:val="0"/>
          <w:iCs w:val="0"/>
          <w:color w:val="auto"/>
          <w:sz w:val="22"/>
          <w:szCs w:val="22"/>
        </w:rPr>
        <w:t>continuous</w:t>
      </w:r>
      <w:r w:rsidR="00E869B3" w:rsidRPr="00977F88">
        <w:rPr>
          <w:i w:val="0"/>
          <w:iCs w:val="0"/>
          <w:color w:val="auto"/>
          <w:sz w:val="22"/>
          <w:szCs w:val="22"/>
        </w:rPr>
        <w:t>ly</w:t>
      </w:r>
      <w:r w:rsidR="008C26D9" w:rsidRPr="00977F88">
        <w:rPr>
          <w:i w:val="0"/>
          <w:iCs w:val="0"/>
          <w:color w:val="auto"/>
          <w:sz w:val="22"/>
          <w:szCs w:val="22"/>
        </w:rPr>
        <w:t xml:space="preserve"> rise </w:t>
      </w:r>
      <w:r w:rsidR="00E869B3" w:rsidRPr="00977F88">
        <w:rPr>
          <w:i w:val="0"/>
          <w:iCs w:val="0"/>
          <w:color w:val="auto"/>
          <w:sz w:val="22"/>
          <w:szCs w:val="22"/>
        </w:rPr>
        <w:t>again</w:t>
      </w:r>
      <w:r w:rsidR="008C26D9" w:rsidRPr="00977F88">
        <w:rPr>
          <w:i w:val="0"/>
          <w:iCs w:val="0"/>
          <w:color w:val="auto"/>
          <w:sz w:val="22"/>
          <w:szCs w:val="22"/>
        </w:rPr>
        <w:t xml:space="preserve"> </w:t>
      </w:r>
      <w:r w:rsidR="00941935" w:rsidRPr="00977F88">
        <w:rPr>
          <w:i w:val="0"/>
          <w:iCs w:val="0"/>
          <w:color w:val="auto"/>
          <w:sz w:val="22"/>
          <w:szCs w:val="22"/>
        </w:rPr>
        <w:t>thereafter</w:t>
      </w:r>
      <w:r w:rsidR="00257FCC" w:rsidRPr="00977F88">
        <w:rPr>
          <w:i w:val="0"/>
          <w:iCs w:val="0"/>
          <w:color w:val="auto"/>
          <w:sz w:val="22"/>
          <w:szCs w:val="22"/>
        </w:rPr>
        <w:t xml:space="preserve"> while</w:t>
      </w:r>
      <w:r w:rsidR="00084699" w:rsidRPr="00977F88">
        <w:rPr>
          <w:i w:val="0"/>
          <w:iCs w:val="0"/>
          <w:color w:val="auto"/>
          <w:sz w:val="22"/>
          <w:szCs w:val="22"/>
        </w:rPr>
        <w:t xml:space="preserve"> temperature </w:t>
      </w:r>
      <w:r w:rsidR="00A72463" w:rsidRPr="00977F88">
        <w:rPr>
          <w:i w:val="0"/>
          <w:iCs w:val="0"/>
          <w:color w:val="auto"/>
          <w:sz w:val="22"/>
          <w:szCs w:val="22"/>
        </w:rPr>
        <w:t>anomaly steadily</w:t>
      </w:r>
      <w:r w:rsidR="00257FCC" w:rsidRPr="00977F88">
        <w:rPr>
          <w:i w:val="0"/>
          <w:iCs w:val="0"/>
          <w:color w:val="auto"/>
          <w:sz w:val="22"/>
          <w:szCs w:val="22"/>
        </w:rPr>
        <w:t xml:space="preserve"> decreas</w:t>
      </w:r>
      <w:r w:rsidR="00A72463" w:rsidRPr="00977F88">
        <w:rPr>
          <w:i w:val="0"/>
          <w:iCs w:val="0"/>
          <w:color w:val="auto"/>
          <w:sz w:val="22"/>
          <w:szCs w:val="22"/>
        </w:rPr>
        <w:t>es</w:t>
      </w:r>
      <w:r w:rsidR="00257FCC" w:rsidRPr="00977F88">
        <w:rPr>
          <w:i w:val="0"/>
          <w:iCs w:val="0"/>
          <w:color w:val="auto"/>
          <w:sz w:val="22"/>
          <w:szCs w:val="22"/>
        </w:rPr>
        <w:t>.</w:t>
      </w:r>
      <w:r w:rsidR="006C6780" w:rsidRPr="00977F88">
        <w:rPr>
          <w:i w:val="0"/>
          <w:iCs w:val="0"/>
          <w:color w:val="auto"/>
          <w:sz w:val="22"/>
          <w:szCs w:val="22"/>
        </w:rPr>
        <w:t xml:space="preserve"> </w:t>
      </w:r>
      <w:r w:rsidR="00AA70BA">
        <w:rPr>
          <w:i w:val="0"/>
          <w:iCs w:val="0"/>
          <w:color w:val="auto"/>
          <w:sz w:val="22"/>
          <w:szCs w:val="22"/>
        </w:rPr>
        <w:t xml:space="preserve">Conversely, </w:t>
      </w:r>
      <w:r w:rsidR="00B44651">
        <w:rPr>
          <w:i w:val="0"/>
          <w:iCs w:val="0"/>
          <w:color w:val="auto"/>
          <w:sz w:val="22"/>
          <w:szCs w:val="22"/>
        </w:rPr>
        <w:t xml:space="preserve"> </w:t>
      </w:r>
      <w:r w:rsidR="3C777A80" w:rsidRPr="272A463B">
        <w:rPr>
          <w:i w:val="0"/>
          <w:iCs w:val="0"/>
          <w:color w:val="auto"/>
          <w:sz w:val="22"/>
          <w:szCs w:val="22"/>
        </w:rPr>
        <w:t xml:space="preserve">the </w:t>
      </w:r>
      <w:r w:rsidR="006C6780" w:rsidRPr="00977F88">
        <w:rPr>
          <w:i w:val="0"/>
          <w:iCs w:val="0"/>
          <w:color w:val="auto"/>
          <w:sz w:val="22"/>
          <w:szCs w:val="22"/>
        </w:rPr>
        <w:t>mitigation scenarios</w:t>
      </w:r>
      <w:r w:rsidR="00B44651">
        <w:rPr>
          <w:i w:val="0"/>
          <w:iCs w:val="0"/>
          <w:color w:val="auto"/>
          <w:sz w:val="22"/>
          <w:szCs w:val="22"/>
        </w:rPr>
        <w:t xml:space="preserve"> </w:t>
      </w:r>
      <w:r w:rsidR="134B60EF" w:rsidRPr="272A463B">
        <w:rPr>
          <w:i w:val="0"/>
          <w:iCs w:val="0"/>
          <w:color w:val="auto"/>
          <w:sz w:val="22"/>
          <w:szCs w:val="22"/>
        </w:rPr>
        <w:t>assessed by the IPCC</w:t>
      </w:r>
      <w:r w:rsidR="006C6780" w:rsidRPr="00977F88">
        <w:rPr>
          <w:i w:val="0"/>
          <w:iCs w:val="0"/>
          <w:color w:val="auto"/>
          <w:sz w:val="22"/>
          <w:szCs w:val="22"/>
        </w:rPr>
        <w:t xml:space="preserve">  </w:t>
      </w:r>
      <w:r w:rsidR="73D3FFB1" w:rsidRPr="272A463B">
        <w:rPr>
          <w:i w:val="0"/>
          <w:iCs w:val="0"/>
          <w:color w:val="auto"/>
          <w:sz w:val="22"/>
          <w:szCs w:val="22"/>
        </w:rPr>
        <w:t>limiting</w:t>
      </w:r>
      <w:r w:rsidR="074BDC15" w:rsidRPr="272A463B">
        <w:rPr>
          <w:i w:val="0"/>
          <w:iCs w:val="0"/>
          <w:color w:val="auto"/>
          <w:sz w:val="22"/>
          <w:szCs w:val="22"/>
        </w:rPr>
        <w:t xml:space="preserve"> </w:t>
      </w:r>
      <w:r w:rsidR="00B44651">
        <w:rPr>
          <w:i w:val="0"/>
          <w:iCs w:val="0"/>
          <w:color w:val="auto"/>
          <w:sz w:val="22"/>
          <w:szCs w:val="22"/>
        </w:rPr>
        <w:t xml:space="preserve">the </w:t>
      </w:r>
      <w:r w:rsidR="006C6780" w:rsidRPr="00977F88">
        <w:rPr>
          <w:i w:val="0"/>
          <w:iCs w:val="0"/>
          <w:color w:val="auto"/>
          <w:sz w:val="22"/>
          <w:szCs w:val="22"/>
        </w:rPr>
        <w:t>temp</w:t>
      </w:r>
      <w:r w:rsidR="00B44651">
        <w:rPr>
          <w:i w:val="0"/>
          <w:iCs w:val="0"/>
          <w:color w:val="auto"/>
          <w:sz w:val="22"/>
          <w:szCs w:val="22"/>
        </w:rPr>
        <w:t>erature rise</w:t>
      </w:r>
      <w:r w:rsidR="006C6780" w:rsidRPr="00977F88">
        <w:rPr>
          <w:i w:val="0"/>
          <w:iCs w:val="0"/>
          <w:color w:val="auto"/>
          <w:sz w:val="22"/>
          <w:szCs w:val="22"/>
        </w:rPr>
        <w:t xml:space="preserve"> </w:t>
      </w:r>
      <w:r w:rsidR="7FDE5AB2" w:rsidRPr="272A463B">
        <w:rPr>
          <w:i w:val="0"/>
          <w:iCs w:val="0"/>
          <w:color w:val="auto"/>
          <w:sz w:val="22"/>
          <w:szCs w:val="22"/>
        </w:rPr>
        <w:t>to</w:t>
      </w:r>
      <w:r w:rsidR="006C6780" w:rsidRPr="00977F88">
        <w:rPr>
          <w:i w:val="0"/>
          <w:iCs w:val="0"/>
          <w:color w:val="auto"/>
          <w:sz w:val="22"/>
          <w:szCs w:val="22"/>
        </w:rPr>
        <w:t xml:space="preserve"> 1.5</w:t>
      </w:r>
      <w:r w:rsidR="00977F88" w:rsidRPr="00977F88">
        <w:rPr>
          <w:i w:val="0"/>
          <w:iCs w:val="0"/>
          <w:color w:val="auto"/>
          <w:sz w:val="22"/>
          <w:szCs w:val="22"/>
        </w:rPr>
        <w:t>°C</w:t>
      </w:r>
      <w:r w:rsidR="006C6780" w:rsidRPr="00977F88">
        <w:rPr>
          <w:i w:val="0"/>
          <w:iCs w:val="0"/>
          <w:color w:val="auto"/>
          <w:sz w:val="22"/>
          <w:szCs w:val="22"/>
        </w:rPr>
        <w:t xml:space="preserve"> </w:t>
      </w:r>
      <w:r w:rsidR="030C0EA6" w:rsidRPr="272A463B">
        <w:rPr>
          <w:i w:val="0"/>
          <w:iCs w:val="0"/>
          <w:color w:val="auto"/>
          <w:sz w:val="22"/>
          <w:szCs w:val="22"/>
        </w:rPr>
        <w:t>with no or limited overshoot</w:t>
      </w:r>
      <w:r w:rsidR="074BDC15" w:rsidRPr="272A463B">
        <w:rPr>
          <w:i w:val="0"/>
          <w:iCs w:val="0"/>
          <w:color w:val="auto"/>
          <w:sz w:val="22"/>
          <w:szCs w:val="22"/>
        </w:rPr>
        <w:t xml:space="preserve"> </w:t>
      </w:r>
      <w:r w:rsidR="38C5F637" w:rsidRPr="272A463B">
        <w:rPr>
          <w:i w:val="0"/>
          <w:iCs w:val="0"/>
          <w:color w:val="auto"/>
          <w:sz w:val="22"/>
          <w:szCs w:val="22"/>
        </w:rPr>
        <w:t>reach</w:t>
      </w:r>
      <w:r w:rsidR="3DF275D5" w:rsidRPr="272A463B">
        <w:rPr>
          <w:i w:val="0"/>
          <w:iCs w:val="0"/>
          <w:color w:val="auto"/>
          <w:sz w:val="22"/>
          <w:szCs w:val="22"/>
        </w:rPr>
        <w:t xml:space="preserve"> near-zero</w:t>
      </w:r>
      <w:r w:rsidR="38C5F637" w:rsidRPr="272A463B">
        <w:rPr>
          <w:i w:val="0"/>
          <w:iCs w:val="0"/>
          <w:color w:val="auto"/>
          <w:sz w:val="22"/>
          <w:szCs w:val="22"/>
        </w:rPr>
        <w:t xml:space="preserve"> </w:t>
      </w:r>
      <w:r w:rsidR="55BD2271" w:rsidRPr="272A463B">
        <w:rPr>
          <w:i w:val="0"/>
          <w:iCs w:val="0"/>
          <w:color w:val="auto"/>
          <w:sz w:val="22"/>
          <w:szCs w:val="22"/>
        </w:rPr>
        <w:t xml:space="preserve">emissions already 2050s without the increasing trend </w:t>
      </w:r>
      <w:r w:rsidR="303BD0A5" w:rsidRPr="272A463B">
        <w:rPr>
          <w:i w:val="0"/>
          <w:iCs w:val="0"/>
          <w:color w:val="auto"/>
          <w:sz w:val="22"/>
          <w:szCs w:val="22"/>
        </w:rPr>
        <w:t>in</w:t>
      </w:r>
      <w:r w:rsidR="5248DA9A" w:rsidRPr="272A463B">
        <w:rPr>
          <w:i w:val="0"/>
          <w:iCs w:val="0"/>
          <w:color w:val="auto"/>
          <w:sz w:val="22"/>
          <w:szCs w:val="22"/>
        </w:rPr>
        <w:t xml:space="preserve"> the latter half of the century</w:t>
      </w:r>
      <w:r w:rsidR="0015350A" w:rsidRPr="00CD3654">
        <w:rPr>
          <w:i w:val="0"/>
          <w:iCs w:val="0"/>
          <w:color w:val="auto"/>
          <w:sz w:val="22"/>
          <w:szCs w:val="22"/>
        </w:rPr>
        <w:t xml:space="preserve"> </w:t>
      </w:r>
      <w:r w:rsidR="0015350A" w:rsidRPr="00CD3654">
        <w:rPr>
          <w:i w:val="0"/>
          <w:iCs w:val="0"/>
          <w:color w:val="auto"/>
          <w:sz w:val="22"/>
          <w:szCs w:val="22"/>
        </w:rPr>
        <w:fldChar w:fldCharType="begin"/>
      </w:r>
      <w:r w:rsidR="008500A2" w:rsidRPr="00CD3654">
        <w:rPr>
          <w:i w:val="0"/>
          <w:iCs w:val="0"/>
          <w:color w:val="auto"/>
          <w:sz w:val="22"/>
          <w:szCs w:val="22"/>
        </w:rPr>
        <w:instrText xml:space="preserve"> ADDIN ZOTERO_ITEM CSL_CITATION {"citationID":"OqYWbc3J","properties":{"formattedCitation":"(IPCC, 2023)","plainCitation":"(IPCC, 2023)","noteIndex":0},"citationItems":[{"id":1299,"uris":["http://zotero.org/users/11614317/items/3XA9S78I"],"itemData":{"id":1299,"type":"chapter","container-title":"Working Group III contribution to the Sixth Assessment Report of the Intergovernmental Panel on Climate Change: Climate Change 2022 - Mitigation of Climate Change","edition":"1","ISBN":"978-1-00-915792-6","language":"en","license":"https://www.cambridge.org/core/terms","note":"DOI: 10.1017/9781009157926.002","page":"51-148","publisher":"Cambridge University Press","source":"DOI.org (Crossref)","title":"Technical Summary Table 3.2","URL":"https://www.cambridge.org/core/product/identifier/9781009157926%23pre3/type/book_part","editor":[{"literal":"IPCC"}],"accessed":{"date-parts":[["2025",4,16]]},"issued":{"date-parts":[["2023",8,17]]}}}],"schema":"https://github.com/citation-style-language/schema/raw/master/csl-citation.json"} </w:instrText>
      </w:r>
      <w:r w:rsidR="0015350A" w:rsidRPr="00CD3654">
        <w:rPr>
          <w:i w:val="0"/>
          <w:iCs w:val="0"/>
          <w:color w:val="auto"/>
          <w:sz w:val="22"/>
          <w:szCs w:val="22"/>
        </w:rPr>
        <w:fldChar w:fldCharType="separate"/>
      </w:r>
      <w:r w:rsidR="005056DF" w:rsidRPr="7D92B3DB">
        <w:rPr>
          <w:rFonts w:ascii="Aptos" w:hAnsi="Aptos"/>
          <w:i w:val="0"/>
          <w:color w:val="auto"/>
          <w:sz w:val="22"/>
          <w:szCs w:val="22"/>
        </w:rPr>
        <w:t>(IPCC, 2023)</w:t>
      </w:r>
      <w:r w:rsidR="0015350A" w:rsidRPr="00CD3654">
        <w:rPr>
          <w:i w:val="0"/>
          <w:iCs w:val="0"/>
          <w:color w:val="auto"/>
          <w:sz w:val="22"/>
          <w:szCs w:val="22"/>
        </w:rPr>
        <w:fldChar w:fldCharType="end"/>
      </w:r>
      <w:r w:rsidR="461E4F14" w:rsidRPr="272A463B">
        <w:rPr>
          <w:i w:val="0"/>
          <w:iCs w:val="0"/>
          <w:color w:val="auto"/>
          <w:sz w:val="22"/>
          <w:szCs w:val="22"/>
        </w:rPr>
        <w:t>.</w:t>
      </w:r>
      <w:r w:rsidR="00644560" w:rsidRPr="00CD3654">
        <w:rPr>
          <w:i w:val="0"/>
          <w:iCs w:val="0"/>
          <w:color w:val="auto"/>
          <w:sz w:val="22"/>
          <w:szCs w:val="22"/>
        </w:rPr>
        <w:t xml:space="preserve"> </w:t>
      </w:r>
      <w:r w:rsidR="003E0597" w:rsidRPr="00CD3654">
        <w:rPr>
          <w:i w:val="0"/>
          <w:iCs w:val="0"/>
          <w:color w:val="auto"/>
          <w:sz w:val="22"/>
          <w:szCs w:val="22"/>
        </w:rPr>
        <w:t>This</w:t>
      </w:r>
      <w:r w:rsidR="003E0597" w:rsidRPr="00977F88">
        <w:rPr>
          <w:i w:val="0"/>
          <w:iCs w:val="0"/>
          <w:color w:val="auto"/>
          <w:sz w:val="22"/>
          <w:szCs w:val="22"/>
        </w:rPr>
        <w:t xml:space="preserve"> </w:t>
      </w:r>
      <w:r w:rsidR="00680119" w:rsidRPr="00977F88">
        <w:rPr>
          <w:i w:val="0"/>
          <w:iCs w:val="0"/>
          <w:color w:val="auto"/>
          <w:sz w:val="22"/>
          <w:szCs w:val="22"/>
        </w:rPr>
        <w:t xml:space="preserve">difference in </w:t>
      </w:r>
      <w:r w:rsidR="7D81D9F3" w:rsidRPr="272A463B">
        <w:rPr>
          <w:i w:val="0"/>
          <w:iCs w:val="0"/>
          <w:color w:val="auto"/>
          <w:sz w:val="22"/>
          <w:szCs w:val="22"/>
        </w:rPr>
        <w:t xml:space="preserve">higher allowed emissions for a given </w:t>
      </w:r>
      <w:r w:rsidR="00680119" w:rsidRPr="00977F88">
        <w:rPr>
          <w:i w:val="0"/>
          <w:iCs w:val="0"/>
          <w:color w:val="auto"/>
          <w:sz w:val="22"/>
          <w:szCs w:val="22"/>
        </w:rPr>
        <w:t xml:space="preserve">temperature </w:t>
      </w:r>
      <w:r w:rsidR="00680119" w:rsidRPr="00977F88">
        <w:rPr>
          <w:i w:val="0"/>
          <w:iCs w:val="0"/>
          <w:color w:val="auto"/>
          <w:sz w:val="22"/>
          <w:szCs w:val="22"/>
        </w:rPr>
        <w:t>response</w:t>
      </w:r>
      <w:r w:rsidR="003E0597" w:rsidRPr="00977F88">
        <w:rPr>
          <w:i w:val="0"/>
          <w:iCs w:val="0"/>
          <w:color w:val="auto"/>
          <w:sz w:val="22"/>
          <w:szCs w:val="22"/>
        </w:rPr>
        <w:t xml:space="preserve"> </w:t>
      </w:r>
      <w:r w:rsidR="00680119" w:rsidRPr="00977F88">
        <w:rPr>
          <w:i w:val="0"/>
          <w:iCs w:val="0"/>
          <w:color w:val="auto"/>
          <w:sz w:val="22"/>
          <w:szCs w:val="22"/>
        </w:rPr>
        <w:t>can be attributed to two</w:t>
      </w:r>
      <w:r w:rsidR="008D6253" w:rsidRPr="00977F88">
        <w:rPr>
          <w:i w:val="0"/>
          <w:iCs w:val="0"/>
          <w:color w:val="auto"/>
          <w:sz w:val="22"/>
          <w:szCs w:val="22"/>
        </w:rPr>
        <w:t xml:space="preserve"> factors.</w:t>
      </w:r>
      <w:r w:rsidR="00B139CF" w:rsidRPr="00977F88">
        <w:rPr>
          <w:i w:val="0"/>
          <w:iCs w:val="0"/>
          <w:color w:val="auto"/>
          <w:sz w:val="22"/>
          <w:szCs w:val="22"/>
        </w:rPr>
        <w:t xml:space="preserve"> First, the natural (unmanaged) carbon sink in SuCCESs is stronger compared other IAMs, especially in vegan cases where primary ecosystem area remains large. Second, the transient climate response of SuCCESs (version 2024-10-23) seems to be low, which can be attributed to a parametrisation of the </w:t>
      </w:r>
      <w:proofErr w:type="spellStart"/>
      <w:r w:rsidR="00B139CF" w:rsidRPr="00977F88">
        <w:rPr>
          <w:i w:val="0"/>
          <w:iCs w:val="0"/>
          <w:color w:val="auto"/>
          <w:sz w:val="22"/>
          <w:szCs w:val="22"/>
        </w:rPr>
        <w:t>FaIR</w:t>
      </w:r>
      <w:proofErr w:type="spellEnd"/>
      <w:r w:rsidR="00B139CF" w:rsidRPr="00977F88">
        <w:rPr>
          <w:i w:val="0"/>
          <w:iCs w:val="0"/>
          <w:color w:val="auto"/>
          <w:sz w:val="22"/>
          <w:szCs w:val="22"/>
        </w:rPr>
        <w:t xml:space="preserve"> simple climate model (v2.0.0) on which SuCCESs’ temperature dynamics are based </w:t>
      </w:r>
      <w:r w:rsidR="00B139CF" w:rsidRPr="00977F88">
        <w:rPr>
          <w:i w:val="0"/>
          <w:iCs w:val="0"/>
          <w:color w:val="auto"/>
          <w:sz w:val="22"/>
          <w:szCs w:val="22"/>
        </w:rPr>
        <w:fldChar w:fldCharType="begin"/>
      </w:r>
      <w:r w:rsidR="00B139CF" w:rsidRPr="00977F88">
        <w:rPr>
          <w:i w:val="0"/>
          <w:iCs w:val="0"/>
          <w:color w:val="auto"/>
          <w:sz w:val="22"/>
          <w:szCs w:val="22"/>
        </w:rPr>
        <w:instrText xml:space="preserve"> ADDIN ZOTERO_ITEM CSL_CITATION {"citationID":"n7Shxeuj","properties":{"formattedCitation":"(Leach et al., 2021)","plainCitation":"(Leach et al., 2021)","noteIndex":0},"citationItems":[{"id":1296,"uris":["http://zotero.org/users/11614317/items/AJQKKMTP"],"itemData":{"id":1296,"type":"article-journal","abstract":"Here we present an update to the FaIR model for use in probabilistic future climate and scenario exploration, integrated assessment, policy analysis, and education. In this update we have focussed on identifying a minimum level of structural complexity in the model. The result is a set of six equations, five of which correspond to the standard impulse response model used for greenhouse gas (GHG) metric calculations in the IPCC's Fifth Assessment Report, plus one additional physically motivated equation to represent state-dependent feedbacks on the response timescales of each greenhouse gas cycle. This additional equation is necessary to reproduce non-linearities in the carbon cycle apparent in both Earth system models and observations. These six equations are transparent and sufficiently simple that the model is able to be ported into standard tabular data analysis packages, such as Excel, increasing the potential user base considerably. However, we demonstrate that the equations are flexible enough to be tuned to emulate the behaviour of several key processes within more complex models from CMIP6. The model is exceptionally quick to run, making it ideal for integrating large probabilistic ensembles. We apply a constraint based on the current estimates of the global warming trend to a million-member ensemble, using the constrained ensemble to make scenario-dependent projections and infer ranges for properties of the climate system. Through these analyses, we reaffirm that simple climate models (unlike more complex models) are not themselves intrinsically biased “hot” or “cold”: it is the choice of parameters and how those are selected that determines the model response, something that appears to have been misunderstood in the past. This updated FaIR model is able to reproduce the global climate system response to GHG and aerosol emissions with sufficient accuracy to be useful in a wide range of applications and therefore could be used as a lowest-common-denominator model to provide consistency in different contexts. The fact that FaIR can be written down in just six equations greatly aids transparency in such contexts.","container-title":"Geoscientific Model Development","DOI":"10.5194/gmd-14-3007-2021","ISSN":"1991-959X","issue":"5","language":"English","note":"publisher: Copernicus GmbH","page":"3007-3036","source":"Copernicus Online Journals","title":"FaIRv2.0.0: a generalized impulse response model for climate uncertainty and future scenario exploration","title-short":"FaIRv2.0.0","volume":"14","author":[{"family":"Leach","given":"Nicholas J."},{"family":"Jenkins","given":"Stuart"},{"family":"Nicholls","given":"Zebedee"},{"family":"Smith","given":"Christopher J."},{"family":"Lynch","given":"John"},{"family":"Cain","given":"Michelle"},{"family":"Walsh","given":"Tristram"},{"family":"Wu","given":"Bill"},{"family":"Tsutsui","given":"Junichi"},{"family":"Allen","given":"Myles R."}],"issued":{"date-parts":[["2021",5,27]]}}}],"schema":"https://github.com/citation-style-language/schema/raw/master/csl-citation.json"} </w:instrText>
      </w:r>
      <w:r w:rsidR="00B139CF" w:rsidRPr="00977F88">
        <w:rPr>
          <w:i w:val="0"/>
          <w:iCs w:val="0"/>
          <w:color w:val="auto"/>
          <w:sz w:val="22"/>
          <w:szCs w:val="22"/>
        </w:rPr>
        <w:fldChar w:fldCharType="separate"/>
      </w:r>
      <w:r w:rsidR="00B139CF" w:rsidRPr="7D92B3DB">
        <w:rPr>
          <w:rFonts w:ascii="Aptos" w:hAnsi="Aptos"/>
          <w:i w:val="0"/>
          <w:color w:val="auto"/>
          <w:sz w:val="22"/>
          <w:szCs w:val="22"/>
        </w:rPr>
        <w:t>(Leach et al., 2021)</w:t>
      </w:r>
      <w:r w:rsidR="00B139CF" w:rsidRPr="00977F88">
        <w:rPr>
          <w:i w:val="0"/>
          <w:iCs w:val="0"/>
          <w:color w:val="auto"/>
          <w:sz w:val="22"/>
          <w:szCs w:val="22"/>
        </w:rPr>
        <w:fldChar w:fldCharType="end"/>
      </w:r>
      <w:r w:rsidR="00B139CF" w:rsidRPr="00977F88">
        <w:rPr>
          <w:i w:val="0"/>
          <w:iCs w:val="0"/>
          <w:color w:val="auto"/>
          <w:sz w:val="22"/>
          <w:szCs w:val="22"/>
        </w:rPr>
        <w:t xml:space="preserve">. </w:t>
      </w:r>
      <w:r w:rsidR="004A6155" w:rsidRPr="00977F88">
        <w:rPr>
          <w:i w:val="0"/>
          <w:iCs w:val="0"/>
          <w:color w:val="auto"/>
          <w:sz w:val="22"/>
          <w:szCs w:val="22"/>
        </w:rPr>
        <w:t>This also leads to SuCCESs getting to lower radiative forcing levels with lower emission pricing than SSP scenarios (</w:t>
      </w:r>
      <w:r w:rsidR="004A6155" w:rsidRPr="00977F88">
        <w:rPr>
          <w:i w:val="0"/>
          <w:iCs w:val="0"/>
          <w:color w:val="auto"/>
          <w:sz w:val="22"/>
          <w:szCs w:val="22"/>
        </w:rPr>
        <w:fldChar w:fldCharType="begin"/>
      </w:r>
      <w:r w:rsidR="00644560">
        <w:rPr>
          <w:i w:val="0"/>
          <w:iCs w:val="0"/>
          <w:color w:val="auto"/>
          <w:sz w:val="22"/>
          <w:szCs w:val="22"/>
        </w:rPr>
        <w:instrText xml:space="preserve"> ADDIN ZOTERO_ITEM CSL_CITATION {"citationID":"IgmLI6Uw","properties":{"formattedCitation":"(Ekholm et al., 2024a)","plainCitation":"(Ekholm et al., 2024a)","dontUpdate":true,"noteIndex":0},"citationItems":[{"id":1138,"uris":["http://zotero.org/users/11614317/items/IGFIZAAG"],"itemData":{"id":1138,"type":"article-journal","abstract":"&lt;p&gt;&lt;strong class=\"journal-contentHeaderColor\"&gt;Abstract.&lt;/strong&gt; SuCCESs is a bottom-up Integrated Assessment Model (IAM) that represents energy production and use, materials production, land-use and climate globally. The primary use-case for SuCCESs is to calculate long-term scenarios until 2100 that consider the interactions between these systems, for example the greenhouse gas emissions from energy, materials and land-use and their impact on climate change. The four systems are hard-linked in SuCCESs and scenarios are solved through intertemporal optimization by minimizing discounted system costs to satisfy projected demand and other constraints, e.g. climate targets. This yields a long-term equilibrium solution between the modelled systems. This article introduces the model logic and structure, describes the overall representation of each system, and provides an evaluation by comparing the scenarios produced by SuCCESs with different end-of-century radiative forcing targets to those from other IAMs. Towards this end, and to demonstrate the capability of SuCCESs for large-scale scenario exploration, we also conduct a sensitivity analysis employing Monte Carlo sampling with a 1000-member scenario ensemble for each radiative forcing target. Last, we discuss some practical aspects and different ways of using the model in long-term scenario analyses.&lt;/p&gt;","container-title":"Geoscientific Model Development Discussions","DOI":"10.5194/gmd-2024-196","language":"English","note":"publisher: Copernicus GmbH","page":"1-26","source":"gmd.copernicus.org","title":"SuCCESs &amp;ndash; a global IAM for exploring the interactions between energy, materials, land-use and climate systems in long-term scenarios (model version 2024-10-23)","author":[{"family":"Ekholm","given":"Tommi"},{"family":"Freistetter","given":"Nadine-Cyra"},{"family":"Mattlar","given":"Tuukka"},{"family":"Schaber","given":"Theresa"},{"family":"Rautiainen","given":"Aapo"}],"issued":{"date-parts":[["2024",10,29]]}}}],"schema":"https://github.com/citation-style-language/schema/raw/master/csl-citation.json"} </w:instrText>
      </w:r>
      <w:r w:rsidR="004A6155" w:rsidRPr="00977F88">
        <w:rPr>
          <w:i w:val="0"/>
          <w:iCs w:val="0"/>
          <w:color w:val="auto"/>
          <w:sz w:val="22"/>
          <w:szCs w:val="22"/>
        </w:rPr>
        <w:fldChar w:fldCharType="separate"/>
      </w:r>
      <w:r w:rsidR="004A6155" w:rsidRPr="7D92B3DB">
        <w:rPr>
          <w:rFonts w:ascii="Aptos" w:hAnsi="Aptos"/>
          <w:i w:val="0"/>
          <w:color w:val="auto"/>
          <w:sz w:val="22"/>
          <w:szCs w:val="22"/>
        </w:rPr>
        <w:t>Ekholm et al.</w:t>
      </w:r>
      <w:r w:rsidR="002F237A" w:rsidRPr="7D92B3DB">
        <w:rPr>
          <w:rFonts w:ascii="Aptos" w:hAnsi="Aptos"/>
          <w:i w:val="0"/>
          <w:color w:val="auto"/>
          <w:sz w:val="22"/>
          <w:szCs w:val="22"/>
        </w:rPr>
        <w:t xml:space="preserve">, </w:t>
      </w:r>
      <w:r w:rsidR="004A6155" w:rsidRPr="7D92B3DB">
        <w:rPr>
          <w:rFonts w:ascii="Aptos" w:hAnsi="Aptos"/>
          <w:i w:val="0"/>
          <w:color w:val="auto"/>
          <w:sz w:val="22"/>
          <w:szCs w:val="22"/>
        </w:rPr>
        <w:t>2024a)</w:t>
      </w:r>
      <w:r w:rsidR="004A6155" w:rsidRPr="00977F88">
        <w:rPr>
          <w:i w:val="0"/>
          <w:iCs w:val="0"/>
          <w:color w:val="auto"/>
          <w:sz w:val="22"/>
          <w:szCs w:val="22"/>
        </w:rPr>
        <w:fldChar w:fldCharType="end"/>
      </w:r>
      <w:r w:rsidR="004A6155" w:rsidRPr="00977F88">
        <w:rPr>
          <w:i w:val="0"/>
          <w:iCs w:val="0"/>
          <w:color w:val="auto"/>
          <w:sz w:val="22"/>
          <w:szCs w:val="22"/>
        </w:rPr>
        <w:t>.</w:t>
      </w:r>
      <w:r w:rsidR="004A6155" w:rsidRPr="00AD2167">
        <w:rPr>
          <w:color w:val="auto"/>
        </w:rPr>
        <w:t xml:space="preserve"> </w:t>
      </w:r>
      <w:r w:rsidR="00B139CF" w:rsidRPr="00977F88">
        <w:rPr>
          <w:i w:val="0"/>
          <w:iCs w:val="0"/>
          <w:color w:val="auto"/>
          <w:sz w:val="22"/>
          <w:szCs w:val="22"/>
        </w:rPr>
        <w:t xml:space="preserve">However, this paper </w:t>
      </w:r>
      <w:r w:rsidR="00433681" w:rsidRPr="00977F88">
        <w:rPr>
          <w:i w:val="0"/>
          <w:iCs w:val="0"/>
          <w:color w:val="auto"/>
          <w:sz w:val="22"/>
          <w:szCs w:val="22"/>
        </w:rPr>
        <w:t>deals with</w:t>
      </w:r>
      <w:r w:rsidR="00B139CF" w:rsidRPr="00977F88">
        <w:rPr>
          <w:i w:val="0"/>
          <w:iCs w:val="0"/>
          <w:color w:val="auto"/>
          <w:sz w:val="22"/>
          <w:szCs w:val="22"/>
        </w:rPr>
        <w:t xml:space="preserve"> the order of magnitude of</w:t>
      </w:r>
      <w:r w:rsidR="009C03EA" w:rsidRPr="00977F88">
        <w:rPr>
          <w:i w:val="0"/>
          <w:iCs w:val="0"/>
          <w:color w:val="auto"/>
          <w:sz w:val="22"/>
          <w:szCs w:val="22"/>
        </w:rPr>
        <w:t xml:space="preserve"> relative</w:t>
      </w:r>
      <w:r w:rsidR="00B139CF" w:rsidRPr="00977F88">
        <w:rPr>
          <w:i w:val="0"/>
          <w:iCs w:val="0"/>
          <w:color w:val="auto"/>
          <w:sz w:val="22"/>
          <w:szCs w:val="22"/>
        </w:rPr>
        <w:t xml:space="preserve"> interactions when combining variations, for which this feature is less relevant, although it likely has some impact on the exact values of the mitigation potentials.</w:t>
      </w:r>
    </w:p>
    <w:p w14:paraId="02A838AC" w14:textId="77777777" w:rsidR="008A488E" w:rsidRPr="008A488E" w:rsidRDefault="008A488E" w:rsidP="008A488E"/>
    <w:p w14:paraId="4BAE7256" w14:textId="56946834" w:rsidR="00B0734E" w:rsidRDefault="00B0734E" w:rsidP="00A849FA">
      <w:pPr>
        <w:jc w:val="center"/>
      </w:pPr>
    </w:p>
    <w:p w14:paraId="632D715F" w14:textId="77777777" w:rsidR="00A849FA" w:rsidRDefault="00A849FA" w:rsidP="00A849FA">
      <w:pPr>
        <w:jc w:val="both"/>
      </w:pPr>
    </w:p>
    <w:p w14:paraId="429A2F0D" w14:textId="1BFDBAF7" w:rsidR="003377DA" w:rsidRDefault="003377DA">
      <w:r>
        <w:br w:type="page"/>
      </w:r>
    </w:p>
    <w:p w14:paraId="6F70ABF9" w14:textId="19D379CE" w:rsidR="0066118D" w:rsidRDefault="0045028F" w:rsidP="00850CF4">
      <w:pPr>
        <w:jc w:val="center"/>
      </w:pPr>
      <w:r w:rsidRPr="0045028F">
        <w:rPr>
          <w:noProof/>
        </w:rPr>
        <w:lastRenderedPageBreak/>
        <w:drawing>
          <wp:inline distT="0" distB="0" distL="0" distR="0" wp14:anchorId="60F48450" wp14:editId="51998BE9">
            <wp:extent cx="5040000" cy="3214077"/>
            <wp:effectExtent l="0" t="0" r="0" b="0"/>
            <wp:docPr id="1699614381" name="Picture 1"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9614381" name="Picture 1" descr="A graph of different colored lines&#10;&#10;AI-generated content may be incorrect."/>
                    <pic:cNvPicPr/>
                  </pic:nvPicPr>
                  <pic:blipFill>
                    <a:blip r:embed="rId19"/>
                    <a:stretch>
                      <a:fillRect/>
                    </a:stretch>
                  </pic:blipFill>
                  <pic:spPr>
                    <a:xfrm>
                      <a:off x="0" y="0"/>
                      <a:ext cx="5040000" cy="3214077"/>
                    </a:xfrm>
                    <a:prstGeom prst="rect">
                      <a:avLst/>
                    </a:prstGeom>
                  </pic:spPr>
                </pic:pic>
              </a:graphicData>
            </a:graphic>
          </wp:inline>
        </w:drawing>
      </w:r>
    </w:p>
    <w:p w14:paraId="7110BC09" w14:textId="43BFD485" w:rsidR="0054063F" w:rsidRDefault="0054063F" w:rsidP="00850CF4">
      <w:pPr>
        <w:jc w:val="center"/>
      </w:pPr>
      <w:r w:rsidRPr="0054063F">
        <w:rPr>
          <w:noProof/>
        </w:rPr>
        <w:drawing>
          <wp:inline distT="0" distB="0" distL="0" distR="0" wp14:anchorId="3148DAD8" wp14:editId="15CFBDBE">
            <wp:extent cx="5040000" cy="3135462"/>
            <wp:effectExtent l="0" t="0" r="0" b="0"/>
            <wp:docPr id="1100641350" name="Picture 1" descr="A graph of different types of emitting gas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641350" name="Picture 1" descr="A graph of different types of emitting gases&#10;&#10;AI-generated content may be incorrect."/>
                    <pic:cNvPicPr/>
                  </pic:nvPicPr>
                  <pic:blipFill>
                    <a:blip r:embed="rId20"/>
                    <a:stretch>
                      <a:fillRect/>
                    </a:stretch>
                  </pic:blipFill>
                  <pic:spPr>
                    <a:xfrm>
                      <a:off x="0" y="0"/>
                      <a:ext cx="5040000" cy="3135462"/>
                    </a:xfrm>
                    <a:prstGeom prst="rect">
                      <a:avLst/>
                    </a:prstGeom>
                  </pic:spPr>
                </pic:pic>
              </a:graphicData>
            </a:graphic>
          </wp:inline>
        </w:drawing>
      </w:r>
    </w:p>
    <w:p w14:paraId="36953D0E" w14:textId="3079B5E4" w:rsidR="0066118D" w:rsidRDefault="009869AB" w:rsidP="00A849FA">
      <w:pPr>
        <w:jc w:val="both"/>
      </w:pPr>
      <w:r w:rsidRPr="58546FE3">
        <w:rPr>
          <w:b/>
          <w:bCs/>
        </w:rPr>
        <w:t>Fig. S-F</w:t>
      </w:r>
      <w:r w:rsidRPr="58546FE3">
        <w:rPr>
          <w:b/>
          <w:bCs/>
        </w:rPr>
        <w:fldChar w:fldCharType="begin"/>
      </w:r>
      <w:r w:rsidRPr="58546FE3">
        <w:rPr>
          <w:b/>
          <w:bCs/>
        </w:rPr>
        <w:instrText xml:space="preserve"> SEQ Figure \* ARABIC </w:instrText>
      </w:r>
      <w:r w:rsidRPr="58546FE3">
        <w:rPr>
          <w:b/>
          <w:bCs/>
        </w:rPr>
        <w:fldChar w:fldCharType="separate"/>
      </w:r>
      <w:r w:rsidR="007B7678">
        <w:rPr>
          <w:b/>
          <w:bCs/>
          <w:noProof/>
        </w:rPr>
        <w:t>6</w:t>
      </w:r>
      <w:r w:rsidRPr="58546FE3">
        <w:rPr>
          <w:b/>
          <w:bCs/>
        </w:rPr>
        <w:fldChar w:fldCharType="end"/>
      </w:r>
      <w:r w:rsidRPr="58546FE3">
        <w:rPr>
          <w:b/>
          <w:bCs/>
        </w:rPr>
        <w:t>:</w:t>
      </w:r>
      <w:r w:rsidRPr="58546FE3">
        <w:rPr>
          <w:sz w:val="20"/>
          <w:szCs w:val="20"/>
        </w:rPr>
        <w:t xml:space="preserve"> </w:t>
      </w:r>
      <w:r w:rsidR="0045028F" w:rsidRPr="58546FE3">
        <w:rPr>
          <w:b/>
          <w:bCs/>
        </w:rPr>
        <w:t xml:space="preserve">Cumulative </w:t>
      </w:r>
      <w:r w:rsidR="00150001" w:rsidRPr="58546FE3">
        <w:rPr>
          <w:b/>
          <w:bCs/>
        </w:rPr>
        <w:t>combined mitigation</w:t>
      </w:r>
      <w:r w:rsidR="00150001">
        <w:t xml:space="preserve"> </w:t>
      </w:r>
      <w:r w:rsidR="000B2A33" w:rsidRPr="58546FE3">
        <w:rPr>
          <w:b/>
          <w:bCs/>
        </w:rPr>
        <w:t xml:space="preserve">of </w:t>
      </w:r>
      <w:r w:rsidR="0054063F">
        <w:rPr>
          <w:b/>
          <w:bCs/>
        </w:rPr>
        <w:t>total</w:t>
      </w:r>
      <w:r w:rsidR="000B2A33" w:rsidRPr="58546FE3">
        <w:rPr>
          <w:b/>
          <w:bCs/>
        </w:rPr>
        <w:t xml:space="preserve"> emissions</w:t>
      </w:r>
      <w:r w:rsidR="000B2A33">
        <w:t xml:space="preserve"> (including </w:t>
      </w:r>
      <w:r w:rsidR="00B20433">
        <w:t xml:space="preserve">fossil fuels, industry, and AFOLU sector) </w:t>
      </w:r>
      <w:r w:rsidR="00150001" w:rsidRPr="0054063F">
        <w:rPr>
          <w:b/>
          <w:bCs/>
        </w:rPr>
        <w:t xml:space="preserve">achieved in </w:t>
      </w:r>
      <w:r w:rsidR="0054063F" w:rsidRPr="0054063F">
        <w:rPr>
          <w:b/>
          <w:bCs/>
        </w:rPr>
        <w:t>(</w:t>
      </w:r>
      <w:r w:rsidR="00863D33">
        <w:rPr>
          <w:b/>
          <w:bCs/>
        </w:rPr>
        <w:t>top</w:t>
      </w:r>
      <w:r w:rsidR="0054063F" w:rsidRPr="0054063F">
        <w:rPr>
          <w:b/>
          <w:bCs/>
        </w:rPr>
        <w:t xml:space="preserve">) all </w:t>
      </w:r>
      <w:r w:rsidR="00150001" w:rsidRPr="0054063F">
        <w:rPr>
          <w:b/>
          <w:bCs/>
        </w:rPr>
        <w:t>scenarios</w:t>
      </w:r>
      <w:r w:rsidR="00571C32">
        <w:rPr>
          <w:b/>
          <w:bCs/>
        </w:rPr>
        <w:t xml:space="preserve"> and</w:t>
      </w:r>
      <w:r w:rsidR="0054063F" w:rsidRPr="0054063F">
        <w:rPr>
          <w:b/>
          <w:bCs/>
        </w:rPr>
        <w:t xml:space="preserve"> (</w:t>
      </w:r>
      <w:r w:rsidR="00863D33">
        <w:rPr>
          <w:b/>
          <w:bCs/>
        </w:rPr>
        <w:t>bottom</w:t>
      </w:r>
      <w:r w:rsidR="0054063F" w:rsidRPr="0054063F">
        <w:rPr>
          <w:b/>
          <w:bCs/>
        </w:rPr>
        <w:t>) strong synergies and extreme trade-offs scenarios</w:t>
      </w:r>
      <w:r w:rsidR="0054063F">
        <w:t xml:space="preserve"> </w:t>
      </w:r>
      <w:r w:rsidR="00150001">
        <w:t xml:space="preserve">compared to baseline scenario (no emission price, omnivore diet, 65% self-sufficiency, no additional biodiversity habitat conservation, </w:t>
      </w:r>
      <w:r w:rsidR="000B2A33">
        <w:t>SSP2-level wood-product demand, and SuCCESs-default wildfire activity)</w:t>
      </w:r>
      <w:r w:rsidR="00A61478">
        <w:t>, coloured by emission pricing</w:t>
      </w:r>
      <w:r w:rsidR="000B2A33">
        <w:t xml:space="preserve"> </w:t>
      </w:r>
    </w:p>
    <w:p w14:paraId="7F2E5C52" w14:textId="7C0391A6" w:rsidR="00647D71" w:rsidRDefault="00647D71" w:rsidP="00A849FA">
      <w:pPr>
        <w:jc w:val="both"/>
      </w:pPr>
    </w:p>
    <w:p w14:paraId="7763C389" w14:textId="3239CB07" w:rsidR="001B393E" w:rsidRDefault="001B393E" w:rsidP="00850CF4">
      <w:pPr>
        <w:jc w:val="center"/>
        <w:rPr>
          <w:noProof/>
        </w:rPr>
      </w:pPr>
      <w:r w:rsidRPr="001B393E">
        <w:rPr>
          <w:noProof/>
        </w:rPr>
        <w:lastRenderedPageBreak/>
        <w:drawing>
          <wp:inline distT="0" distB="0" distL="0" distR="0" wp14:anchorId="6E2EA322" wp14:editId="3591B8FD">
            <wp:extent cx="5040000" cy="3214076"/>
            <wp:effectExtent l="0" t="0" r="0" b="0"/>
            <wp:docPr id="769828856" name="Picture 1"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828856" name="Picture 1" descr="A graph of different colored lines&#10;&#10;AI-generated content may be incorrect."/>
                    <pic:cNvPicPr/>
                  </pic:nvPicPr>
                  <pic:blipFill>
                    <a:blip r:embed="rId21"/>
                    <a:stretch>
                      <a:fillRect/>
                    </a:stretch>
                  </pic:blipFill>
                  <pic:spPr>
                    <a:xfrm>
                      <a:off x="0" y="0"/>
                      <a:ext cx="5040000" cy="3214076"/>
                    </a:xfrm>
                    <a:prstGeom prst="rect">
                      <a:avLst/>
                    </a:prstGeom>
                  </pic:spPr>
                </pic:pic>
              </a:graphicData>
            </a:graphic>
          </wp:inline>
        </w:drawing>
      </w:r>
    </w:p>
    <w:p w14:paraId="6ED428B1" w14:textId="1ED3CE1F" w:rsidR="00571C32" w:rsidRDefault="005C3893" w:rsidP="00850CF4">
      <w:pPr>
        <w:jc w:val="center"/>
        <w:rPr>
          <w:noProof/>
        </w:rPr>
      </w:pPr>
      <w:r w:rsidRPr="005C3893">
        <w:rPr>
          <w:noProof/>
        </w:rPr>
        <w:drawing>
          <wp:inline distT="0" distB="0" distL="0" distR="0" wp14:anchorId="3E973B1A" wp14:editId="285DCA39">
            <wp:extent cx="5040000" cy="3135462"/>
            <wp:effectExtent l="0" t="0" r="0" b="0"/>
            <wp:docPr id="1066197664" name="Picture 1"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6197664" name="Picture 1" descr="A graph of different colored lines&#10;&#10;AI-generated content may be incorrect."/>
                    <pic:cNvPicPr/>
                  </pic:nvPicPr>
                  <pic:blipFill>
                    <a:blip r:embed="rId22"/>
                    <a:stretch>
                      <a:fillRect/>
                    </a:stretch>
                  </pic:blipFill>
                  <pic:spPr>
                    <a:xfrm>
                      <a:off x="0" y="0"/>
                      <a:ext cx="5040000" cy="3135462"/>
                    </a:xfrm>
                    <a:prstGeom prst="rect">
                      <a:avLst/>
                    </a:prstGeom>
                  </pic:spPr>
                </pic:pic>
              </a:graphicData>
            </a:graphic>
          </wp:inline>
        </w:drawing>
      </w:r>
    </w:p>
    <w:p w14:paraId="5155BE8E" w14:textId="3A5D56D2" w:rsidR="00162C44" w:rsidRDefault="001B393E" w:rsidP="00D02AC1">
      <w:pPr>
        <w:jc w:val="both"/>
      </w:pPr>
      <w:r w:rsidRPr="58546FE3">
        <w:rPr>
          <w:b/>
          <w:bCs/>
        </w:rPr>
        <w:t>Fig. S-F</w:t>
      </w:r>
      <w:r w:rsidRPr="58546FE3">
        <w:rPr>
          <w:b/>
          <w:bCs/>
        </w:rPr>
        <w:fldChar w:fldCharType="begin"/>
      </w:r>
      <w:r w:rsidRPr="58546FE3">
        <w:rPr>
          <w:b/>
          <w:bCs/>
        </w:rPr>
        <w:instrText xml:space="preserve"> SEQ Figure \* ARABIC </w:instrText>
      </w:r>
      <w:r w:rsidRPr="58546FE3">
        <w:rPr>
          <w:b/>
          <w:bCs/>
        </w:rPr>
        <w:fldChar w:fldCharType="separate"/>
      </w:r>
      <w:r w:rsidR="007B7678">
        <w:rPr>
          <w:b/>
          <w:bCs/>
          <w:noProof/>
        </w:rPr>
        <w:t>7</w:t>
      </w:r>
      <w:r w:rsidRPr="58546FE3">
        <w:rPr>
          <w:b/>
          <w:bCs/>
        </w:rPr>
        <w:fldChar w:fldCharType="end"/>
      </w:r>
      <w:r w:rsidRPr="58546FE3">
        <w:rPr>
          <w:b/>
          <w:bCs/>
        </w:rPr>
        <w:t>:</w:t>
      </w:r>
      <w:r w:rsidRPr="58546FE3">
        <w:rPr>
          <w:sz w:val="20"/>
          <w:szCs w:val="20"/>
        </w:rPr>
        <w:t xml:space="preserve"> </w:t>
      </w:r>
      <w:r w:rsidRPr="58546FE3">
        <w:rPr>
          <w:b/>
          <w:bCs/>
        </w:rPr>
        <w:t>Cumulative combined mitigation</w:t>
      </w:r>
      <w:r>
        <w:t xml:space="preserve"> </w:t>
      </w:r>
      <w:r w:rsidRPr="58546FE3">
        <w:rPr>
          <w:b/>
          <w:bCs/>
        </w:rPr>
        <w:t>of</w:t>
      </w:r>
      <w:r w:rsidR="003D25B4" w:rsidRPr="58546FE3">
        <w:rPr>
          <w:b/>
          <w:bCs/>
        </w:rPr>
        <w:t xml:space="preserve"> agriculture, forestry, and land use</w:t>
      </w:r>
      <w:r w:rsidRPr="58546FE3">
        <w:rPr>
          <w:b/>
          <w:bCs/>
        </w:rPr>
        <w:t xml:space="preserve"> </w:t>
      </w:r>
      <w:r w:rsidR="003D25B4" w:rsidRPr="58546FE3">
        <w:rPr>
          <w:b/>
          <w:bCs/>
        </w:rPr>
        <w:t>(</w:t>
      </w:r>
      <w:r w:rsidR="007D4029" w:rsidRPr="58546FE3">
        <w:rPr>
          <w:b/>
          <w:bCs/>
        </w:rPr>
        <w:t>AFOLU</w:t>
      </w:r>
      <w:r w:rsidR="003D25B4" w:rsidRPr="58546FE3">
        <w:rPr>
          <w:b/>
          <w:bCs/>
        </w:rPr>
        <w:t>)</w:t>
      </w:r>
      <w:r w:rsidRPr="58546FE3">
        <w:rPr>
          <w:b/>
          <w:bCs/>
        </w:rPr>
        <w:t xml:space="preserve"> emissions</w:t>
      </w:r>
      <w:r>
        <w:t xml:space="preserve"> </w:t>
      </w:r>
      <w:r w:rsidR="005C3893" w:rsidRPr="0054063F">
        <w:rPr>
          <w:b/>
          <w:bCs/>
        </w:rPr>
        <w:t>achieved in (</w:t>
      </w:r>
      <w:r w:rsidR="00D62DC7">
        <w:rPr>
          <w:b/>
          <w:bCs/>
        </w:rPr>
        <w:t>top</w:t>
      </w:r>
      <w:r w:rsidR="00C13E0E">
        <w:rPr>
          <w:b/>
          <w:bCs/>
        </w:rPr>
        <w:t xml:space="preserve"> panel</w:t>
      </w:r>
      <w:r w:rsidR="005C3893" w:rsidRPr="0054063F">
        <w:rPr>
          <w:b/>
          <w:bCs/>
        </w:rPr>
        <w:t>) all scenarios</w:t>
      </w:r>
      <w:r w:rsidR="005C3893">
        <w:rPr>
          <w:b/>
          <w:bCs/>
        </w:rPr>
        <w:t xml:space="preserve"> and</w:t>
      </w:r>
      <w:r w:rsidR="005C3893" w:rsidRPr="0054063F">
        <w:rPr>
          <w:b/>
          <w:bCs/>
        </w:rPr>
        <w:t xml:space="preserve"> (</w:t>
      </w:r>
      <w:r w:rsidR="00D62DC7">
        <w:rPr>
          <w:b/>
          <w:bCs/>
        </w:rPr>
        <w:t>bottom</w:t>
      </w:r>
      <w:r w:rsidR="00C13E0E">
        <w:rPr>
          <w:b/>
          <w:bCs/>
        </w:rPr>
        <w:t xml:space="preserve"> panel</w:t>
      </w:r>
      <w:r w:rsidR="005C3893" w:rsidRPr="0054063F">
        <w:rPr>
          <w:b/>
          <w:bCs/>
        </w:rPr>
        <w:t>) strong synergies and extreme trade-offs scenarios</w:t>
      </w:r>
      <w:r w:rsidR="005C3893">
        <w:t xml:space="preserve"> </w:t>
      </w:r>
      <w:r>
        <w:t>compared to baseline scenario (no emission price, omnivore diet, 65% self-sufficiency, no additional biodiversity habitat conservation, SSP2-level wood-product demand, and SuCCESs-default wildfire activity), coloured by emission pricing</w:t>
      </w:r>
      <w:r w:rsidR="002E0455">
        <w:t>. The strong separation between dark blue lines (early decarbonisation emission pricing) is caused by me</w:t>
      </w:r>
      <w:r w:rsidR="00C13E0E">
        <w:t>at-eating versus meatless diets.</w:t>
      </w:r>
    </w:p>
    <w:p w14:paraId="40908F84" w14:textId="04DE800A" w:rsidR="00162C44" w:rsidRDefault="00162C44">
      <w:r>
        <w:br w:type="page"/>
      </w:r>
    </w:p>
    <w:p w14:paraId="6743D54B" w14:textId="062AAC7C" w:rsidR="0056328F" w:rsidRDefault="00BE34E8" w:rsidP="00350331">
      <w:pPr>
        <w:jc w:val="center"/>
        <w:rPr>
          <w:noProof/>
        </w:rPr>
      </w:pPr>
      <w:r w:rsidRPr="00BE34E8">
        <w:rPr>
          <w:noProof/>
        </w:rPr>
        <w:lastRenderedPageBreak/>
        <w:drawing>
          <wp:inline distT="0" distB="0" distL="0" distR="0" wp14:anchorId="023C17D3" wp14:editId="392729D9">
            <wp:extent cx="2301589" cy="1692000"/>
            <wp:effectExtent l="0" t="0" r="0" b="0"/>
            <wp:docPr id="1632522226" name="Picture 1"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2522226" name="Picture 1" descr="A graph of different colored lines&#10;&#10;AI-generated content may be incorrect."/>
                    <pic:cNvPicPr/>
                  </pic:nvPicPr>
                  <pic:blipFill>
                    <a:blip r:embed="rId23"/>
                    <a:stretch>
                      <a:fillRect/>
                    </a:stretch>
                  </pic:blipFill>
                  <pic:spPr>
                    <a:xfrm>
                      <a:off x="0" y="0"/>
                      <a:ext cx="2301589" cy="1692000"/>
                    </a:xfrm>
                    <a:prstGeom prst="rect">
                      <a:avLst/>
                    </a:prstGeom>
                  </pic:spPr>
                </pic:pic>
              </a:graphicData>
            </a:graphic>
          </wp:inline>
        </w:drawing>
      </w:r>
      <w:r w:rsidR="00DF475C" w:rsidRPr="00DF475C">
        <w:rPr>
          <w:noProof/>
        </w:rPr>
        <w:drawing>
          <wp:inline distT="0" distB="0" distL="0" distR="0" wp14:anchorId="5CDA69E5" wp14:editId="74D51C0E">
            <wp:extent cx="2336757" cy="1692000"/>
            <wp:effectExtent l="0" t="0" r="0" b="0"/>
            <wp:docPr id="479913484" name="Picture 1"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913484" name="Picture 1" descr="A graph of different colored lines&#10;&#10;AI-generated content may be incorrect."/>
                    <pic:cNvPicPr/>
                  </pic:nvPicPr>
                  <pic:blipFill>
                    <a:blip r:embed="rId24"/>
                    <a:stretch>
                      <a:fillRect/>
                    </a:stretch>
                  </pic:blipFill>
                  <pic:spPr>
                    <a:xfrm>
                      <a:off x="0" y="0"/>
                      <a:ext cx="2336757" cy="1692000"/>
                    </a:xfrm>
                    <a:prstGeom prst="rect">
                      <a:avLst/>
                    </a:prstGeom>
                  </pic:spPr>
                </pic:pic>
              </a:graphicData>
            </a:graphic>
          </wp:inline>
        </w:drawing>
      </w:r>
    </w:p>
    <w:p w14:paraId="5AE8325E" w14:textId="2E27C25A" w:rsidR="00BE34E8" w:rsidRDefault="008944A4" w:rsidP="00350331">
      <w:pPr>
        <w:jc w:val="center"/>
        <w:rPr>
          <w:noProof/>
        </w:rPr>
      </w:pPr>
      <w:r w:rsidRPr="008944A4">
        <w:rPr>
          <w:noProof/>
        </w:rPr>
        <w:drawing>
          <wp:inline distT="0" distB="0" distL="0" distR="0" wp14:anchorId="7BB94AE6" wp14:editId="1F4C5C08">
            <wp:extent cx="2301589" cy="1692000"/>
            <wp:effectExtent l="0" t="0" r="0" b="0"/>
            <wp:docPr id="2020153484" name="Picture 1" descr="A graph of crude oil pric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0153484" name="Picture 1" descr="A graph of crude oil prices&#10;&#10;AI-generated content may be incorrect."/>
                    <pic:cNvPicPr/>
                  </pic:nvPicPr>
                  <pic:blipFill>
                    <a:blip r:embed="rId25"/>
                    <a:stretch>
                      <a:fillRect/>
                    </a:stretch>
                  </pic:blipFill>
                  <pic:spPr>
                    <a:xfrm>
                      <a:off x="0" y="0"/>
                      <a:ext cx="2301589" cy="1692000"/>
                    </a:xfrm>
                    <a:prstGeom prst="rect">
                      <a:avLst/>
                    </a:prstGeom>
                  </pic:spPr>
                </pic:pic>
              </a:graphicData>
            </a:graphic>
          </wp:inline>
        </w:drawing>
      </w:r>
      <w:r w:rsidR="00115028" w:rsidRPr="00115028">
        <w:rPr>
          <w:noProof/>
        </w:rPr>
        <w:drawing>
          <wp:inline distT="0" distB="0" distL="0" distR="0" wp14:anchorId="1F27DE80" wp14:editId="1A737A01">
            <wp:extent cx="2371926" cy="1692000"/>
            <wp:effectExtent l="0" t="0" r="0" b="0"/>
            <wp:docPr id="1903223819" name="Picture 1" descr="A graph of crude oil pric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3223819" name="Picture 1" descr="A graph of crude oil prices&#10;&#10;AI-generated content may be incorrect."/>
                    <pic:cNvPicPr/>
                  </pic:nvPicPr>
                  <pic:blipFill>
                    <a:blip r:embed="rId26"/>
                    <a:stretch>
                      <a:fillRect/>
                    </a:stretch>
                  </pic:blipFill>
                  <pic:spPr>
                    <a:xfrm>
                      <a:off x="0" y="0"/>
                      <a:ext cx="2371926" cy="1692000"/>
                    </a:xfrm>
                    <a:prstGeom prst="rect">
                      <a:avLst/>
                    </a:prstGeom>
                  </pic:spPr>
                </pic:pic>
              </a:graphicData>
            </a:graphic>
          </wp:inline>
        </w:drawing>
      </w:r>
    </w:p>
    <w:p w14:paraId="1A92CA02" w14:textId="4657BE1A" w:rsidR="008944A4" w:rsidRDefault="00581139" w:rsidP="00350331">
      <w:pPr>
        <w:jc w:val="center"/>
        <w:rPr>
          <w:noProof/>
        </w:rPr>
      </w:pPr>
      <w:r w:rsidRPr="00581139">
        <w:rPr>
          <w:noProof/>
        </w:rPr>
        <w:drawing>
          <wp:inline distT="0" distB="0" distL="0" distR="0" wp14:anchorId="47066048" wp14:editId="6323C4C4">
            <wp:extent cx="2301589" cy="1692000"/>
            <wp:effectExtent l="0" t="0" r="0" b="0"/>
            <wp:docPr id="316856235" name="Picture 1"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856235" name="Picture 1" descr="A graph of different colored lines&#10;&#10;AI-generated content may be incorrect."/>
                    <pic:cNvPicPr/>
                  </pic:nvPicPr>
                  <pic:blipFill>
                    <a:blip r:embed="rId27"/>
                    <a:stretch>
                      <a:fillRect/>
                    </a:stretch>
                  </pic:blipFill>
                  <pic:spPr>
                    <a:xfrm>
                      <a:off x="0" y="0"/>
                      <a:ext cx="2301589" cy="1692000"/>
                    </a:xfrm>
                    <a:prstGeom prst="rect">
                      <a:avLst/>
                    </a:prstGeom>
                  </pic:spPr>
                </pic:pic>
              </a:graphicData>
            </a:graphic>
          </wp:inline>
        </w:drawing>
      </w:r>
      <w:r w:rsidR="00700426" w:rsidRPr="00700426">
        <w:rPr>
          <w:noProof/>
        </w:rPr>
        <w:drawing>
          <wp:inline distT="0" distB="0" distL="0" distR="0" wp14:anchorId="6CA3CCEA" wp14:editId="3C6CC516">
            <wp:extent cx="2371926" cy="1692000"/>
            <wp:effectExtent l="0" t="0" r="0" b="0"/>
            <wp:docPr id="831057656" name="Picture 1"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1057656" name="Picture 1" descr="A graph of different colored lines&#10;&#10;AI-generated content may be incorrect."/>
                    <pic:cNvPicPr/>
                  </pic:nvPicPr>
                  <pic:blipFill>
                    <a:blip r:embed="rId28"/>
                    <a:stretch>
                      <a:fillRect/>
                    </a:stretch>
                  </pic:blipFill>
                  <pic:spPr>
                    <a:xfrm>
                      <a:off x="0" y="0"/>
                      <a:ext cx="2371926" cy="1692000"/>
                    </a:xfrm>
                    <a:prstGeom prst="rect">
                      <a:avLst/>
                    </a:prstGeom>
                  </pic:spPr>
                </pic:pic>
              </a:graphicData>
            </a:graphic>
          </wp:inline>
        </w:drawing>
      </w:r>
    </w:p>
    <w:p w14:paraId="7F7E0008" w14:textId="2F24C942" w:rsidR="007A42BF" w:rsidRDefault="00B0560A" w:rsidP="00350331">
      <w:pPr>
        <w:jc w:val="center"/>
        <w:rPr>
          <w:noProof/>
        </w:rPr>
      </w:pPr>
      <w:r w:rsidRPr="00B0560A">
        <w:rPr>
          <w:noProof/>
        </w:rPr>
        <w:drawing>
          <wp:inline distT="0" distB="0" distL="0" distR="0" wp14:anchorId="39872B8E" wp14:editId="0E296905">
            <wp:extent cx="2301589" cy="1692000"/>
            <wp:effectExtent l="0" t="0" r="0" b="0"/>
            <wp:docPr id="1391683346" name="Picture 1" descr="A graph showing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1683346" name="Picture 1" descr="A graph showing different colored lines&#10;&#10;AI-generated content may be incorrect."/>
                    <pic:cNvPicPr/>
                  </pic:nvPicPr>
                  <pic:blipFill>
                    <a:blip r:embed="rId29"/>
                    <a:stretch>
                      <a:fillRect/>
                    </a:stretch>
                  </pic:blipFill>
                  <pic:spPr>
                    <a:xfrm>
                      <a:off x="0" y="0"/>
                      <a:ext cx="2301589" cy="1692000"/>
                    </a:xfrm>
                    <a:prstGeom prst="rect">
                      <a:avLst/>
                    </a:prstGeom>
                  </pic:spPr>
                </pic:pic>
              </a:graphicData>
            </a:graphic>
          </wp:inline>
        </w:drawing>
      </w:r>
      <w:r w:rsidR="00C2489D" w:rsidRPr="00C2489D">
        <w:rPr>
          <w:noProof/>
        </w:rPr>
        <w:drawing>
          <wp:inline distT="0" distB="0" distL="0" distR="0" wp14:anchorId="0FAA1EE9" wp14:editId="79795FDC">
            <wp:extent cx="2371926" cy="1692000"/>
            <wp:effectExtent l="0" t="0" r="0" b="0"/>
            <wp:docPr id="1127750672" name="Picture 1"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7750672" name="Picture 1" descr="A graph of different colored lines&#10;&#10;AI-generated content may be incorrect."/>
                    <pic:cNvPicPr/>
                  </pic:nvPicPr>
                  <pic:blipFill>
                    <a:blip r:embed="rId30"/>
                    <a:stretch>
                      <a:fillRect/>
                    </a:stretch>
                  </pic:blipFill>
                  <pic:spPr>
                    <a:xfrm>
                      <a:off x="0" y="0"/>
                      <a:ext cx="2371926" cy="1692000"/>
                    </a:xfrm>
                    <a:prstGeom prst="rect">
                      <a:avLst/>
                    </a:prstGeom>
                  </pic:spPr>
                </pic:pic>
              </a:graphicData>
            </a:graphic>
          </wp:inline>
        </w:drawing>
      </w:r>
    </w:p>
    <w:p w14:paraId="4653BAAC" w14:textId="60CEB104" w:rsidR="00D02AC1" w:rsidRDefault="3D191EC6" w:rsidP="00DD6A89">
      <w:pPr>
        <w:jc w:val="both"/>
      </w:pPr>
      <w:r w:rsidRPr="00DD6A89">
        <w:rPr>
          <w:b/>
          <w:bCs/>
        </w:rPr>
        <w:t>Fig. S-F</w:t>
      </w:r>
      <w:r w:rsidR="00AC3361" w:rsidRPr="00DD6A89">
        <w:rPr>
          <w:b/>
          <w:bCs/>
        </w:rPr>
        <w:fldChar w:fldCharType="begin"/>
      </w:r>
      <w:r w:rsidR="00AC3361" w:rsidRPr="00DD6A89">
        <w:rPr>
          <w:b/>
          <w:bCs/>
        </w:rPr>
        <w:instrText xml:space="preserve"> SEQ Figure \* ARABIC </w:instrText>
      </w:r>
      <w:r w:rsidR="00AC3361" w:rsidRPr="00DD6A89">
        <w:rPr>
          <w:b/>
          <w:bCs/>
        </w:rPr>
        <w:fldChar w:fldCharType="separate"/>
      </w:r>
      <w:r w:rsidR="007B7678">
        <w:rPr>
          <w:b/>
          <w:bCs/>
          <w:noProof/>
        </w:rPr>
        <w:t>8</w:t>
      </w:r>
      <w:r w:rsidR="00AC3361" w:rsidRPr="00DD6A89">
        <w:rPr>
          <w:b/>
          <w:bCs/>
        </w:rPr>
        <w:fldChar w:fldCharType="end"/>
      </w:r>
      <w:r w:rsidRPr="00DD6A89">
        <w:rPr>
          <w:b/>
          <w:bCs/>
        </w:rPr>
        <w:t>:</w:t>
      </w:r>
      <w:r w:rsidRPr="00DD6A89">
        <w:t xml:space="preserve"> </w:t>
      </w:r>
      <w:r w:rsidRPr="00DD6A89">
        <w:rPr>
          <w:b/>
          <w:bCs/>
        </w:rPr>
        <w:t>Annual and cumulative</w:t>
      </w:r>
      <w:r w:rsidRPr="00DD6A89">
        <w:t xml:space="preserve"> </w:t>
      </w:r>
      <w:r w:rsidRPr="00DD6A89">
        <w:rPr>
          <w:b/>
          <w:bCs/>
        </w:rPr>
        <w:t>non-renewable energy carriers’ utilisation</w:t>
      </w:r>
      <w:r w:rsidRPr="00DD6A89">
        <w:t xml:space="preserve"> coloured by emission pricing. Introducing emission pricing led to less fossil fuel and more nuclear power utilisation</w:t>
      </w:r>
      <w:r w:rsidR="004202D1" w:rsidRPr="00DD6A89">
        <w:t xml:space="preserve">. </w:t>
      </w:r>
      <w:r w:rsidR="00DD6A89" w:rsidRPr="00DD6A89">
        <w:t xml:space="preserve">SuCCESs (v2024-10-23) shows slightly lower temperature sensitivity to CO₂ and a stronger natural carbon sink than other IAMs, enabling more emissions at lower prices while still reducing temperature; for more information, see discussion on page </w:t>
      </w:r>
      <w:r w:rsidR="00E3017E" w:rsidRPr="00DD6A89">
        <w:fldChar w:fldCharType="begin"/>
      </w:r>
      <w:r w:rsidR="00E3017E" w:rsidRPr="00DD6A89">
        <w:instrText xml:space="preserve"> PAGEREF _Ref195351358 \h </w:instrText>
      </w:r>
      <w:r w:rsidR="00E3017E" w:rsidRPr="00DD6A89">
        <w:fldChar w:fldCharType="separate"/>
      </w:r>
      <w:r w:rsidR="007B7678">
        <w:rPr>
          <w:noProof/>
        </w:rPr>
        <w:t>9</w:t>
      </w:r>
      <w:r w:rsidR="00E3017E" w:rsidRPr="00DD6A89">
        <w:fldChar w:fldCharType="end"/>
      </w:r>
      <w:r w:rsidR="00D02AC1">
        <w:br w:type="page"/>
      </w:r>
    </w:p>
    <w:p w14:paraId="0BF45F6B" w14:textId="7FE3196F" w:rsidR="007A42BF" w:rsidRDefault="007A42BF" w:rsidP="00350331">
      <w:pPr>
        <w:jc w:val="center"/>
        <w:rPr>
          <w:noProof/>
        </w:rPr>
      </w:pPr>
      <w:r w:rsidRPr="007A42BF">
        <w:rPr>
          <w:noProof/>
        </w:rPr>
        <w:lastRenderedPageBreak/>
        <w:drawing>
          <wp:inline distT="0" distB="0" distL="0" distR="0" wp14:anchorId="37BF8DB1" wp14:editId="7598E95D">
            <wp:extent cx="3857069" cy="1692000"/>
            <wp:effectExtent l="0" t="0" r="0" b="0"/>
            <wp:docPr id="1609353996" name="Picture 1" descr="A comparison of graphs with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353996" name="Picture 1" descr="A comparison of graphs with numbers&#10;&#10;AI-generated content may be incorrect."/>
                    <pic:cNvPicPr/>
                  </pic:nvPicPr>
                  <pic:blipFill>
                    <a:blip r:embed="rId31"/>
                    <a:stretch>
                      <a:fillRect/>
                    </a:stretch>
                  </pic:blipFill>
                  <pic:spPr>
                    <a:xfrm>
                      <a:off x="0" y="0"/>
                      <a:ext cx="3857069" cy="1692000"/>
                    </a:xfrm>
                    <a:prstGeom prst="rect">
                      <a:avLst/>
                    </a:prstGeom>
                  </pic:spPr>
                </pic:pic>
              </a:graphicData>
            </a:graphic>
          </wp:inline>
        </w:drawing>
      </w:r>
    </w:p>
    <w:p w14:paraId="1E2BF4EF" w14:textId="227A28A5" w:rsidR="001E27D2" w:rsidRDefault="001E27D2" w:rsidP="00350331">
      <w:pPr>
        <w:jc w:val="center"/>
        <w:rPr>
          <w:noProof/>
        </w:rPr>
      </w:pPr>
      <w:r w:rsidRPr="001E27D2">
        <w:rPr>
          <w:noProof/>
        </w:rPr>
        <w:drawing>
          <wp:inline distT="0" distB="0" distL="0" distR="0" wp14:anchorId="4376170F" wp14:editId="0213D079">
            <wp:extent cx="3857069" cy="1692000"/>
            <wp:effectExtent l="0" t="0" r="0" b="0"/>
            <wp:docPr id="1462027511" name="Picture 1" descr="A comparison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027511" name="Picture 1" descr="A comparison of a graph&#10;&#10;AI-generated content may be incorrect."/>
                    <pic:cNvPicPr/>
                  </pic:nvPicPr>
                  <pic:blipFill>
                    <a:blip r:embed="rId32"/>
                    <a:stretch>
                      <a:fillRect/>
                    </a:stretch>
                  </pic:blipFill>
                  <pic:spPr>
                    <a:xfrm>
                      <a:off x="0" y="0"/>
                      <a:ext cx="3857069" cy="1692000"/>
                    </a:xfrm>
                    <a:prstGeom prst="rect">
                      <a:avLst/>
                    </a:prstGeom>
                  </pic:spPr>
                </pic:pic>
              </a:graphicData>
            </a:graphic>
          </wp:inline>
        </w:drawing>
      </w:r>
    </w:p>
    <w:p w14:paraId="6B0F474F" w14:textId="6B449D38" w:rsidR="001E27D2" w:rsidRDefault="00CA2723" w:rsidP="00350331">
      <w:pPr>
        <w:jc w:val="center"/>
        <w:rPr>
          <w:noProof/>
        </w:rPr>
      </w:pPr>
      <w:r w:rsidRPr="00CA2723">
        <w:rPr>
          <w:noProof/>
        </w:rPr>
        <w:drawing>
          <wp:inline distT="0" distB="0" distL="0" distR="0" wp14:anchorId="425050C6" wp14:editId="37A12800">
            <wp:extent cx="3857069" cy="1692000"/>
            <wp:effectExtent l="0" t="0" r="0" b="0"/>
            <wp:docPr id="470369617" name="Picture 1" descr="A close-up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369617" name="Picture 1" descr="A close-up of a graph&#10;&#10;AI-generated content may be incorrect."/>
                    <pic:cNvPicPr/>
                  </pic:nvPicPr>
                  <pic:blipFill>
                    <a:blip r:embed="rId33"/>
                    <a:stretch>
                      <a:fillRect/>
                    </a:stretch>
                  </pic:blipFill>
                  <pic:spPr>
                    <a:xfrm>
                      <a:off x="0" y="0"/>
                      <a:ext cx="3857069" cy="1692000"/>
                    </a:xfrm>
                    <a:prstGeom prst="rect">
                      <a:avLst/>
                    </a:prstGeom>
                  </pic:spPr>
                </pic:pic>
              </a:graphicData>
            </a:graphic>
          </wp:inline>
        </w:drawing>
      </w:r>
    </w:p>
    <w:p w14:paraId="45DC94AF" w14:textId="513D3066" w:rsidR="00B71050" w:rsidRDefault="0040414E" w:rsidP="00350331">
      <w:pPr>
        <w:jc w:val="center"/>
        <w:rPr>
          <w:noProof/>
        </w:rPr>
      </w:pPr>
      <w:r w:rsidRPr="0040414E">
        <w:rPr>
          <w:noProof/>
        </w:rPr>
        <w:drawing>
          <wp:inline distT="0" distB="0" distL="0" distR="0" wp14:anchorId="24907C08" wp14:editId="54A0237D">
            <wp:extent cx="3857069" cy="1692000"/>
            <wp:effectExtent l="0" t="0" r="0" b="0"/>
            <wp:docPr id="1856617328" name="Picture 1"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6617328" name="Picture 1" descr="A graph of different colored lines&#10;&#10;AI-generated content may be incorrect."/>
                    <pic:cNvPicPr/>
                  </pic:nvPicPr>
                  <pic:blipFill>
                    <a:blip r:embed="rId34"/>
                    <a:stretch>
                      <a:fillRect/>
                    </a:stretch>
                  </pic:blipFill>
                  <pic:spPr>
                    <a:xfrm>
                      <a:off x="0" y="0"/>
                      <a:ext cx="3857069" cy="1692000"/>
                    </a:xfrm>
                    <a:prstGeom prst="rect">
                      <a:avLst/>
                    </a:prstGeom>
                  </pic:spPr>
                </pic:pic>
              </a:graphicData>
            </a:graphic>
          </wp:inline>
        </w:drawing>
      </w:r>
    </w:p>
    <w:p w14:paraId="1C202CFC" w14:textId="64F84E64" w:rsidR="007A42BF" w:rsidRPr="00C2489D" w:rsidRDefault="007A42BF" w:rsidP="00A849FA">
      <w:pPr>
        <w:jc w:val="both"/>
      </w:pPr>
      <w:r w:rsidRPr="58546FE3">
        <w:rPr>
          <w:b/>
          <w:bCs/>
        </w:rPr>
        <w:t>Fig. S-F</w:t>
      </w:r>
      <w:r w:rsidRPr="58546FE3">
        <w:rPr>
          <w:b/>
          <w:bCs/>
        </w:rPr>
        <w:fldChar w:fldCharType="begin"/>
      </w:r>
      <w:r w:rsidRPr="58546FE3">
        <w:rPr>
          <w:b/>
          <w:bCs/>
        </w:rPr>
        <w:instrText xml:space="preserve"> SEQ Figure \* ARABIC </w:instrText>
      </w:r>
      <w:r w:rsidRPr="58546FE3">
        <w:rPr>
          <w:b/>
          <w:bCs/>
        </w:rPr>
        <w:fldChar w:fldCharType="separate"/>
      </w:r>
      <w:r w:rsidR="007B7678">
        <w:rPr>
          <w:b/>
          <w:bCs/>
          <w:noProof/>
        </w:rPr>
        <w:t>9</w:t>
      </w:r>
      <w:r w:rsidRPr="58546FE3">
        <w:rPr>
          <w:b/>
          <w:bCs/>
        </w:rPr>
        <w:fldChar w:fldCharType="end"/>
      </w:r>
      <w:r w:rsidRPr="58546FE3">
        <w:rPr>
          <w:b/>
          <w:bCs/>
        </w:rPr>
        <w:t>:</w:t>
      </w:r>
      <w:r>
        <w:t xml:space="preserve"> </w:t>
      </w:r>
      <w:r w:rsidRPr="58546FE3">
        <w:rPr>
          <w:b/>
          <w:bCs/>
        </w:rPr>
        <w:t>Annual and cumulative</w:t>
      </w:r>
      <w:r>
        <w:t xml:space="preserve"> </w:t>
      </w:r>
      <w:r w:rsidRPr="58546FE3">
        <w:rPr>
          <w:b/>
          <w:bCs/>
        </w:rPr>
        <w:t>renewable energy carriers’ utilisation</w:t>
      </w:r>
      <w:r>
        <w:t xml:space="preserve"> coloured by emission pricing. Introducing emission pricing led to </w:t>
      </w:r>
      <w:r w:rsidR="00285F4A">
        <w:t xml:space="preserve">increased biomass and wind energy. Emission pricing aiming to limit warming to </w:t>
      </w:r>
      <w:r w:rsidR="006516AE">
        <w:t>equal or below 1.5</w:t>
      </w:r>
      <w:r w:rsidR="00C71129">
        <w:t>°</w:t>
      </w:r>
      <w:r w:rsidR="006516AE">
        <w:t>C</w:t>
      </w:r>
      <w:r w:rsidR="00C71129">
        <w:t xml:space="preserve"> utilised bioenergy with carbon capture and storage (BECCS) (overshoot and early decarbonisation, teal and blue lines). Solar energy deployment was roughly the same across all scenarios</w:t>
      </w:r>
    </w:p>
    <w:p w14:paraId="7ECACED9" w14:textId="77777777" w:rsidR="0066118D" w:rsidRDefault="0066118D" w:rsidP="0066118D">
      <w:pPr>
        <w:pStyle w:val="Caption"/>
        <w:jc w:val="both"/>
      </w:pPr>
      <w:r w:rsidRPr="00883B9B">
        <w:rPr>
          <w:noProof/>
        </w:rPr>
        <w:lastRenderedPageBreak/>
        <w:drawing>
          <wp:inline distT="0" distB="0" distL="0" distR="0" wp14:anchorId="3567FCDD" wp14:editId="715C7237">
            <wp:extent cx="5763491" cy="7700049"/>
            <wp:effectExtent l="0" t="0" r="0" b="0"/>
            <wp:docPr id="584072755" name="Picture 1" descr="A white sheet of paper with many different colore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4072755" name="Picture 1" descr="A white sheet of paper with many different colored dots&#10;&#10;Description automatically generated"/>
                    <pic:cNvPicPr/>
                  </pic:nvPicPr>
                  <pic:blipFill>
                    <a:blip r:embed="rId35"/>
                    <a:stretch>
                      <a:fillRect/>
                    </a:stretch>
                  </pic:blipFill>
                  <pic:spPr>
                    <a:xfrm>
                      <a:off x="0" y="0"/>
                      <a:ext cx="5765668" cy="7702958"/>
                    </a:xfrm>
                    <a:prstGeom prst="rect">
                      <a:avLst/>
                    </a:prstGeom>
                  </pic:spPr>
                </pic:pic>
              </a:graphicData>
            </a:graphic>
          </wp:inline>
        </w:drawing>
      </w:r>
    </w:p>
    <w:p w14:paraId="5245F8EB" w14:textId="07A47489" w:rsidR="00B624E1" w:rsidRDefault="0066118D">
      <w:r w:rsidRPr="58546FE3">
        <w:rPr>
          <w:b/>
          <w:bCs/>
        </w:rPr>
        <w:t>Fig. S-F</w:t>
      </w:r>
      <w:r w:rsidRPr="58546FE3">
        <w:rPr>
          <w:b/>
          <w:bCs/>
        </w:rPr>
        <w:fldChar w:fldCharType="begin"/>
      </w:r>
      <w:r w:rsidRPr="58546FE3">
        <w:rPr>
          <w:b/>
          <w:bCs/>
        </w:rPr>
        <w:instrText xml:space="preserve"> SEQ Figure \* ARABIC </w:instrText>
      </w:r>
      <w:r w:rsidRPr="58546FE3">
        <w:rPr>
          <w:b/>
          <w:bCs/>
        </w:rPr>
        <w:fldChar w:fldCharType="separate"/>
      </w:r>
      <w:r w:rsidR="007B7678">
        <w:rPr>
          <w:b/>
          <w:bCs/>
          <w:noProof/>
        </w:rPr>
        <w:t>10</w:t>
      </w:r>
      <w:r w:rsidRPr="58546FE3">
        <w:rPr>
          <w:b/>
          <w:bCs/>
        </w:rPr>
        <w:fldChar w:fldCharType="end"/>
      </w:r>
      <w:r w:rsidRPr="58546FE3">
        <w:rPr>
          <w:b/>
          <w:bCs/>
        </w:rPr>
        <w:t>:</w:t>
      </w:r>
      <w:r>
        <w:t xml:space="preserve"> </w:t>
      </w:r>
      <w:r w:rsidRPr="58546FE3">
        <w:rPr>
          <w:b/>
          <w:bCs/>
        </w:rPr>
        <w:t>Land</w:t>
      </w:r>
      <w:r w:rsidR="74FC16A7" w:rsidRPr="58546FE3">
        <w:rPr>
          <w:b/>
          <w:bCs/>
        </w:rPr>
        <w:t>-</w:t>
      </w:r>
      <w:r w:rsidRPr="58546FE3">
        <w:rPr>
          <w:b/>
          <w:bCs/>
        </w:rPr>
        <w:t>use change</w:t>
      </w:r>
      <w:r>
        <w:t xml:space="preserve"> in 2100 compared to 2020 for all combinations of emission pricing, diet, and biodiversity habitat protection</w:t>
      </w:r>
      <w:r w:rsidR="00B624E1">
        <w:br w:type="page"/>
      </w:r>
    </w:p>
    <w:p w14:paraId="6603EDE9" w14:textId="4C697522" w:rsidR="004262E3" w:rsidRDefault="003C5717" w:rsidP="00F75C6C">
      <w:pPr>
        <w:jc w:val="center"/>
      </w:pPr>
      <w:r w:rsidRPr="003C5717">
        <w:rPr>
          <w:noProof/>
        </w:rPr>
        <w:lastRenderedPageBreak/>
        <w:drawing>
          <wp:inline distT="0" distB="0" distL="0" distR="0" wp14:anchorId="04BF88EC" wp14:editId="0216A4B3">
            <wp:extent cx="5943600" cy="5267325"/>
            <wp:effectExtent l="0" t="0" r="0" b="0"/>
            <wp:docPr id="643502918" name="Picture 1" descr="A graph of a forest are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3502918" name="Picture 1" descr="A graph of a forest area&#10;&#10;AI-generated content may be incorrect."/>
                    <pic:cNvPicPr/>
                  </pic:nvPicPr>
                  <pic:blipFill>
                    <a:blip r:embed="rId36"/>
                    <a:stretch>
                      <a:fillRect/>
                    </a:stretch>
                  </pic:blipFill>
                  <pic:spPr>
                    <a:xfrm>
                      <a:off x="0" y="0"/>
                      <a:ext cx="5943600" cy="5267325"/>
                    </a:xfrm>
                    <a:prstGeom prst="rect">
                      <a:avLst/>
                    </a:prstGeom>
                  </pic:spPr>
                </pic:pic>
              </a:graphicData>
            </a:graphic>
          </wp:inline>
        </w:drawing>
      </w:r>
    </w:p>
    <w:p w14:paraId="28C98817" w14:textId="73AF4E3E" w:rsidR="00CE7DAF" w:rsidRPr="005E0164" w:rsidRDefault="00CE7DAF" w:rsidP="00114D66">
      <w:pPr>
        <w:jc w:val="both"/>
      </w:pPr>
      <w:r w:rsidRPr="00073B97">
        <w:rPr>
          <w:b/>
          <w:bCs/>
        </w:rPr>
        <w:t>Fig. S-F</w:t>
      </w:r>
      <w:r w:rsidRPr="00073B97">
        <w:rPr>
          <w:b/>
          <w:bCs/>
        </w:rPr>
        <w:fldChar w:fldCharType="begin"/>
      </w:r>
      <w:r w:rsidRPr="00073B97">
        <w:rPr>
          <w:b/>
          <w:bCs/>
        </w:rPr>
        <w:instrText xml:space="preserve"> SEQ Figure \* ARABIC </w:instrText>
      </w:r>
      <w:r w:rsidRPr="00073B97">
        <w:rPr>
          <w:b/>
          <w:bCs/>
        </w:rPr>
        <w:fldChar w:fldCharType="separate"/>
      </w:r>
      <w:r w:rsidR="007B7678">
        <w:rPr>
          <w:b/>
          <w:bCs/>
          <w:noProof/>
        </w:rPr>
        <w:t>11</w:t>
      </w:r>
      <w:r w:rsidRPr="00073B97">
        <w:rPr>
          <w:b/>
          <w:bCs/>
        </w:rPr>
        <w:fldChar w:fldCharType="end"/>
      </w:r>
      <w:r w:rsidRPr="00114D66">
        <w:rPr>
          <w:b/>
          <w:bCs/>
        </w:rPr>
        <w:t xml:space="preserve">: </w:t>
      </w:r>
      <w:r w:rsidR="00114D66" w:rsidRPr="00114D66">
        <w:rPr>
          <w:b/>
          <w:bCs/>
        </w:rPr>
        <w:t xml:space="preserve">Scenario components’ effect on pristine forest area change </w:t>
      </w:r>
      <w:r w:rsidR="00114D66">
        <w:t xml:space="preserve">(2020-2100) </w:t>
      </w:r>
      <w:r w:rsidRPr="00073B97">
        <w:t>compared</w:t>
      </w:r>
      <w:r w:rsidR="00114D66">
        <w:t xml:space="preserve"> to their corresponding d</w:t>
      </w:r>
      <w:r w:rsidR="000336CE">
        <w:t xml:space="preserve">imension-baseline (e.g., vegan versus omnivore for the diet dimension). </w:t>
      </w:r>
      <w:r w:rsidR="00BF6E92">
        <w:t xml:space="preserve">Biodiversity habitat protection had the biggest effect on preservation of pristine forests and preserved </w:t>
      </w:r>
      <w:r w:rsidR="005E0164">
        <w:t xml:space="preserve">4-7 </w:t>
      </w:r>
      <w:r w:rsidR="002B106A">
        <w:t>M</w:t>
      </w:r>
      <w:r w:rsidR="005E0164">
        <w:t>km</w:t>
      </w:r>
      <w:r w:rsidR="005E0164" w:rsidRPr="005E0164">
        <w:rPr>
          <w:vertAlign w:val="superscript"/>
        </w:rPr>
        <w:t>2</w:t>
      </w:r>
      <w:r w:rsidR="005E0164">
        <w:t xml:space="preserve"> more forest than scenarios without habitat protection. </w:t>
      </w:r>
      <w:r w:rsidR="00EC7E95">
        <w:t xml:space="preserve">Emission pricing </w:t>
      </w:r>
      <w:r w:rsidR="007A58DD">
        <w:t xml:space="preserve">made pristine habitat preservation less effective because </w:t>
      </w:r>
      <w:r w:rsidR="0066554A">
        <w:t>emission pricing already preserved pristine ecosystems for carbon storage</w:t>
      </w:r>
      <w:r w:rsidR="00836464">
        <w:t>, leaving less added value for the habitat conservation scenarios</w:t>
      </w:r>
    </w:p>
    <w:p w14:paraId="4DE422E2" w14:textId="75630275" w:rsidR="00F75C6C" w:rsidRDefault="001A1590" w:rsidP="00F75C6C">
      <w:pPr>
        <w:jc w:val="center"/>
        <w:rPr>
          <w:noProof/>
        </w:rPr>
      </w:pPr>
      <w:r w:rsidRPr="001A1590">
        <w:rPr>
          <w:noProof/>
        </w:rPr>
        <w:lastRenderedPageBreak/>
        <w:drawing>
          <wp:inline distT="0" distB="0" distL="0" distR="0" wp14:anchorId="72622B8D" wp14:editId="19090961">
            <wp:extent cx="5943600" cy="5199380"/>
            <wp:effectExtent l="0" t="0" r="0" b="0"/>
            <wp:docPr id="1875299317" name="Picture 1" descr="A graph of a graph showing the amount of forest in different colo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5299317" name="Picture 1" descr="A graph of a graph showing the amount of forest in different colors&#10;&#10;AI-generated content may be incorrect."/>
                    <pic:cNvPicPr/>
                  </pic:nvPicPr>
                  <pic:blipFill>
                    <a:blip r:embed="rId37"/>
                    <a:stretch>
                      <a:fillRect/>
                    </a:stretch>
                  </pic:blipFill>
                  <pic:spPr>
                    <a:xfrm>
                      <a:off x="0" y="0"/>
                      <a:ext cx="5943600" cy="5199380"/>
                    </a:xfrm>
                    <a:prstGeom prst="rect">
                      <a:avLst/>
                    </a:prstGeom>
                  </pic:spPr>
                </pic:pic>
              </a:graphicData>
            </a:graphic>
          </wp:inline>
        </w:drawing>
      </w:r>
    </w:p>
    <w:p w14:paraId="22F751FB" w14:textId="5FCDCB55" w:rsidR="00761337" w:rsidRPr="005E0164" w:rsidRDefault="00761337" w:rsidP="00761337">
      <w:pPr>
        <w:jc w:val="both"/>
      </w:pPr>
      <w:r w:rsidRPr="00073B97">
        <w:rPr>
          <w:b/>
          <w:bCs/>
        </w:rPr>
        <w:t>Fig. S-F</w:t>
      </w:r>
      <w:r w:rsidRPr="00073B97">
        <w:rPr>
          <w:b/>
          <w:bCs/>
        </w:rPr>
        <w:fldChar w:fldCharType="begin"/>
      </w:r>
      <w:r w:rsidRPr="00073B97">
        <w:rPr>
          <w:b/>
          <w:bCs/>
        </w:rPr>
        <w:instrText xml:space="preserve"> SEQ Figure \* ARABIC </w:instrText>
      </w:r>
      <w:r w:rsidRPr="00073B97">
        <w:rPr>
          <w:b/>
          <w:bCs/>
        </w:rPr>
        <w:fldChar w:fldCharType="separate"/>
      </w:r>
      <w:r w:rsidR="007B7678">
        <w:rPr>
          <w:b/>
          <w:bCs/>
          <w:noProof/>
        </w:rPr>
        <w:t>12</w:t>
      </w:r>
      <w:r w:rsidRPr="00073B97">
        <w:rPr>
          <w:b/>
          <w:bCs/>
        </w:rPr>
        <w:fldChar w:fldCharType="end"/>
      </w:r>
      <w:r w:rsidRPr="00114D66">
        <w:rPr>
          <w:b/>
          <w:bCs/>
        </w:rPr>
        <w:t xml:space="preserve">: Scenario components’ effect on </w:t>
      </w:r>
      <w:r>
        <w:rPr>
          <w:b/>
          <w:bCs/>
        </w:rPr>
        <w:t>total managed</w:t>
      </w:r>
      <w:r w:rsidRPr="00114D66">
        <w:rPr>
          <w:b/>
          <w:bCs/>
        </w:rPr>
        <w:t xml:space="preserve"> forest </w:t>
      </w:r>
      <w:r>
        <w:rPr>
          <w:b/>
          <w:bCs/>
        </w:rPr>
        <w:t xml:space="preserve">cover </w:t>
      </w:r>
      <w:r w:rsidRPr="00114D66">
        <w:rPr>
          <w:b/>
          <w:bCs/>
        </w:rPr>
        <w:t xml:space="preserve">change </w:t>
      </w:r>
      <w:r>
        <w:t xml:space="preserve">(2020-2100) </w:t>
      </w:r>
      <w:r w:rsidRPr="00073B97">
        <w:t>compared</w:t>
      </w:r>
      <w:r>
        <w:t xml:space="preserve"> to their corresponding dimension-baseline (e.g., vegan versus omnivore for the diet dimension). </w:t>
      </w:r>
      <w:r w:rsidR="00B650B4">
        <w:t>Reduced meat consumption</w:t>
      </w:r>
      <w:r w:rsidR="00805F60">
        <w:t xml:space="preserve"> (Flexitarian, </w:t>
      </w:r>
      <w:proofErr w:type="spellStart"/>
      <w:r w:rsidR="00805F60">
        <w:t>Lacto</w:t>
      </w:r>
      <w:proofErr w:type="spellEnd"/>
      <w:r w:rsidR="00805F60">
        <w:t>-Ovo, and Vegan cases)</w:t>
      </w:r>
      <w:r w:rsidR="00B650B4">
        <w:t xml:space="preserve"> showed the strongest potential to expand managed forest area when combined with an incentive (emission pricing) as freed pastureland was afforested</w:t>
      </w:r>
      <w:r w:rsidR="00887DFD">
        <w:t>.</w:t>
      </w:r>
      <w:r w:rsidR="00851C3D">
        <w:t xml:space="preserve"> </w:t>
      </w:r>
      <w:r w:rsidR="00FB1564">
        <w:t>B</w:t>
      </w:r>
      <w:r w:rsidR="00851C3D">
        <w:t xml:space="preserve">iodiversity habitat conservation </w:t>
      </w:r>
      <w:r w:rsidR="00DD2CFC">
        <w:t>caused net deforestation of</w:t>
      </w:r>
      <w:r w:rsidR="003F2502">
        <w:t xml:space="preserve"> up to 8 Mkm</w:t>
      </w:r>
      <w:r w:rsidR="003F2502" w:rsidRPr="003F2502">
        <w:rPr>
          <w:vertAlign w:val="superscript"/>
        </w:rPr>
        <w:t>2</w:t>
      </w:r>
      <w:r w:rsidR="00DD2CFC">
        <w:t xml:space="preserve"> </w:t>
      </w:r>
      <w:r w:rsidR="003F2502">
        <w:t xml:space="preserve">in </w:t>
      </w:r>
      <w:r w:rsidR="00DD2CFC">
        <w:t>managed forests in m</w:t>
      </w:r>
      <w:r w:rsidR="00FB1564">
        <w:t>ost</w:t>
      </w:r>
      <w:r w:rsidR="00DD2CFC">
        <w:t xml:space="preserve"> </w:t>
      </w:r>
      <w:r w:rsidR="00FB1564">
        <w:t>scenarios</w:t>
      </w:r>
      <w:r w:rsidR="00DD2CFC">
        <w:t xml:space="preserve">, as forestry </w:t>
      </w:r>
      <w:r w:rsidR="00FB1564">
        <w:t xml:space="preserve">intensified and </w:t>
      </w:r>
      <w:r w:rsidR="00DD2CFC">
        <w:t>focused entirely on unprotected land</w:t>
      </w:r>
    </w:p>
    <w:p w14:paraId="342FA5C5" w14:textId="77777777" w:rsidR="00761337" w:rsidRDefault="00761337" w:rsidP="00F75C6C">
      <w:pPr>
        <w:jc w:val="center"/>
        <w:rPr>
          <w:noProof/>
        </w:rPr>
      </w:pPr>
    </w:p>
    <w:p w14:paraId="573EE88B" w14:textId="6AB3EA0B" w:rsidR="00FF455C" w:rsidRDefault="00FF455C" w:rsidP="009768B0">
      <w:pPr>
        <w:jc w:val="both"/>
      </w:pPr>
    </w:p>
    <w:p w14:paraId="2BFC4876" w14:textId="0B8CB731" w:rsidR="00B82066" w:rsidRDefault="00544B3C" w:rsidP="006F38DB">
      <w:pPr>
        <w:jc w:val="center"/>
        <w:rPr>
          <w:b/>
          <w:bCs/>
        </w:rPr>
      </w:pPr>
      <w:r w:rsidRPr="00544B3C">
        <w:rPr>
          <w:b/>
          <w:bCs/>
          <w:noProof/>
        </w:rPr>
        <w:lastRenderedPageBreak/>
        <w:drawing>
          <wp:inline distT="0" distB="0" distL="0" distR="0" wp14:anchorId="305C92B7" wp14:editId="384D6ED2">
            <wp:extent cx="5943600" cy="5267325"/>
            <wp:effectExtent l="0" t="0" r="0" b="0"/>
            <wp:docPr id="373599279" name="Picture 1" descr="A graph of different colored box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599279" name="Picture 1" descr="A graph of different colored boxes&#10;&#10;AI-generated content may be incorrect."/>
                    <pic:cNvPicPr/>
                  </pic:nvPicPr>
                  <pic:blipFill>
                    <a:blip r:embed="rId38"/>
                    <a:stretch>
                      <a:fillRect/>
                    </a:stretch>
                  </pic:blipFill>
                  <pic:spPr>
                    <a:xfrm>
                      <a:off x="0" y="0"/>
                      <a:ext cx="5943600" cy="5267325"/>
                    </a:xfrm>
                    <a:prstGeom prst="rect">
                      <a:avLst/>
                    </a:prstGeom>
                  </pic:spPr>
                </pic:pic>
              </a:graphicData>
            </a:graphic>
          </wp:inline>
        </w:drawing>
      </w:r>
    </w:p>
    <w:p w14:paraId="7AD0BC45" w14:textId="6ED173EA" w:rsidR="00DD2CFC" w:rsidRDefault="00DD2CFC" w:rsidP="00B82066">
      <w:pPr>
        <w:jc w:val="both"/>
      </w:pPr>
      <w:r w:rsidRPr="00073B97">
        <w:rPr>
          <w:b/>
          <w:bCs/>
        </w:rPr>
        <w:t>Fig. S-F</w:t>
      </w:r>
      <w:r w:rsidRPr="00073B97">
        <w:rPr>
          <w:b/>
          <w:bCs/>
        </w:rPr>
        <w:fldChar w:fldCharType="begin"/>
      </w:r>
      <w:r w:rsidRPr="00073B97">
        <w:rPr>
          <w:b/>
          <w:bCs/>
        </w:rPr>
        <w:instrText xml:space="preserve"> SEQ Figure \* ARABIC </w:instrText>
      </w:r>
      <w:r w:rsidRPr="00073B97">
        <w:rPr>
          <w:b/>
          <w:bCs/>
        </w:rPr>
        <w:fldChar w:fldCharType="separate"/>
      </w:r>
      <w:r w:rsidR="007B7678">
        <w:rPr>
          <w:b/>
          <w:bCs/>
          <w:noProof/>
        </w:rPr>
        <w:t>13</w:t>
      </w:r>
      <w:r w:rsidRPr="00073B97">
        <w:rPr>
          <w:b/>
          <w:bCs/>
        </w:rPr>
        <w:fldChar w:fldCharType="end"/>
      </w:r>
      <w:r w:rsidRPr="00114D66">
        <w:rPr>
          <w:b/>
          <w:bCs/>
        </w:rPr>
        <w:t xml:space="preserve">: Scenario components’ effect on </w:t>
      </w:r>
      <w:r>
        <w:rPr>
          <w:b/>
          <w:bCs/>
        </w:rPr>
        <w:t>harvesting area of managed</w:t>
      </w:r>
      <w:r w:rsidRPr="00114D66">
        <w:rPr>
          <w:b/>
          <w:bCs/>
        </w:rPr>
        <w:t xml:space="preserve"> forest </w:t>
      </w:r>
      <w:r>
        <w:t xml:space="preserve">(2020-2100) </w:t>
      </w:r>
      <w:r w:rsidRPr="00073B97">
        <w:t>compared</w:t>
      </w:r>
      <w:r>
        <w:t xml:space="preserve"> to their corresponding dimension-baseline (e.g., vegan versus omnivore for the diet dimension).</w:t>
      </w:r>
      <w:r w:rsidR="00FB1564">
        <w:t xml:space="preserve"> Biodiversity habitat conservation </w:t>
      </w:r>
      <w:r w:rsidR="00805F60">
        <w:t xml:space="preserve">(Pristine Preservation and Maturing Habitats cases) </w:t>
      </w:r>
      <w:r w:rsidR="00FB1564">
        <w:t xml:space="preserve">caused </w:t>
      </w:r>
      <w:r w:rsidR="00805F60">
        <w:t>a spike of harvesting in</w:t>
      </w:r>
      <w:r w:rsidR="00FB1564">
        <w:t xml:space="preserve"> managed forests, as forestry intensified and focused entirely on unprotected land.</w:t>
      </w:r>
      <w:r w:rsidR="00805F60">
        <w:t xml:space="preserve"> Reducing graphic paper demands (Electronic Papers case)</w:t>
      </w:r>
      <w:r w:rsidR="00A30DBC">
        <w:t xml:space="preserve"> consistently eased forestry intensity. Building </w:t>
      </w:r>
      <w:r w:rsidR="00D43B1C">
        <w:t>50% of new urban residential buildings out of wood (Timber Cities case) increased harvest intensity</w:t>
      </w:r>
      <w:r w:rsidR="00641175">
        <w:t xml:space="preserve">, especially when in land competition with </w:t>
      </w:r>
      <w:r w:rsidR="00CB7A7E">
        <w:t>meat-rich</w:t>
      </w:r>
      <w:r w:rsidR="00641175">
        <w:t xml:space="preserve"> diet</w:t>
      </w:r>
      <w:r w:rsidR="00CB7A7E">
        <w:t>s’</w:t>
      </w:r>
      <w:r w:rsidR="00641175">
        <w:t xml:space="preserve"> food production systems.</w:t>
      </w:r>
    </w:p>
    <w:p w14:paraId="61632453" w14:textId="0B1AF97B" w:rsidR="00A849FA" w:rsidRDefault="00A849FA" w:rsidP="00A849FA">
      <w:pPr>
        <w:jc w:val="both"/>
      </w:pPr>
      <w:r>
        <w:rPr>
          <w:noProof/>
        </w:rPr>
        <w:lastRenderedPageBreak/>
        <w:drawing>
          <wp:inline distT="0" distB="0" distL="0" distR="0" wp14:anchorId="2B5A639C" wp14:editId="45AC1EDB">
            <wp:extent cx="5943600" cy="5681345"/>
            <wp:effectExtent l="0" t="0" r="0" b="0"/>
            <wp:docPr id="90075366" name="Picture 3" descr="A diagram of different types of plan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075366" name="Picture 3" descr="A diagram of different types of plants&#10;&#10;AI-generated content may be incorrect."/>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943600" cy="5681345"/>
                    </a:xfrm>
                    <a:prstGeom prst="rect">
                      <a:avLst/>
                    </a:prstGeom>
                  </pic:spPr>
                </pic:pic>
              </a:graphicData>
            </a:graphic>
          </wp:inline>
        </w:drawing>
      </w:r>
    </w:p>
    <w:p w14:paraId="397E211E" w14:textId="4CAD8855" w:rsidR="00A849FA" w:rsidRPr="006B3E6A" w:rsidRDefault="00C34886" w:rsidP="58546FE3">
      <w:pPr>
        <w:pStyle w:val="Caption"/>
        <w:jc w:val="both"/>
        <w:rPr>
          <w:i w:val="0"/>
          <w:iCs w:val="0"/>
          <w:sz w:val="22"/>
          <w:szCs w:val="22"/>
        </w:rPr>
      </w:pPr>
      <w:r w:rsidRPr="58546FE3">
        <w:rPr>
          <w:b/>
          <w:bCs/>
          <w:i w:val="0"/>
          <w:iCs w:val="0"/>
          <w:color w:val="auto"/>
          <w:sz w:val="22"/>
          <w:szCs w:val="22"/>
        </w:rPr>
        <w:t>Fig. S-F</w:t>
      </w:r>
      <w:r w:rsidRPr="58546FE3">
        <w:rPr>
          <w:b/>
          <w:bCs/>
          <w:i w:val="0"/>
          <w:iCs w:val="0"/>
          <w:color w:val="auto"/>
          <w:sz w:val="22"/>
          <w:szCs w:val="22"/>
        </w:rPr>
        <w:fldChar w:fldCharType="begin"/>
      </w:r>
      <w:r w:rsidRPr="58546FE3">
        <w:rPr>
          <w:b/>
          <w:bCs/>
          <w:i w:val="0"/>
          <w:iCs w:val="0"/>
          <w:color w:val="auto"/>
          <w:sz w:val="22"/>
          <w:szCs w:val="22"/>
        </w:rPr>
        <w:instrText xml:space="preserve"> SEQ Figure \* ARABIC </w:instrText>
      </w:r>
      <w:r w:rsidRPr="58546FE3">
        <w:rPr>
          <w:b/>
          <w:bCs/>
          <w:i w:val="0"/>
          <w:iCs w:val="0"/>
          <w:color w:val="auto"/>
          <w:sz w:val="22"/>
          <w:szCs w:val="22"/>
        </w:rPr>
        <w:fldChar w:fldCharType="separate"/>
      </w:r>
      <w:r w:rsidR="007B7678">
        <w:rPr>
          <w:b/>
          <w:bCs/>
          <w:i w:val="0"/>
          <w:iCs w:val="0"/>
          <w:noProof/>
          <w:color w:val="auto"/>
          <w:sz w:val="22"/>
          <w:szCs w:val="22"/>
        </w:rPr>
        <w:t>14</w:t>
      </w:r>
      <w:r w:rsidRPr="58546FE3">
        <w:rPr>
          <w:b/>
          <w:bCs/>
          <w:i w:val="0"/>
          <w:iCs w:val="0"/>
          <w:color w:val="auto"/>
          <w:sz w:val="22"/>
          <w:szCs w:val="22"/>
        </w:rPr>
        <w:fldChar w:fldCharType="end"/>
      </w:r>
      <w:r w:rsidR="00073B97" w:rsidRPr="58546FE3">
        <w:rPr>
          <w:b/>
          <w:bCs/>
          <w:i w:val="0"/>
          <w:iCs w:val="0"/>
          <w:color w:val="auto"/>
          <w:sz w:val="22"/>
          <w:szCs w:val="22"/>
        </w:rPr>
        <w:t>:</w:t>
      </w:r>
      <w:r w:rsidRPr="58546FE3">
        <w:rPr>
          <w:i w:val="0"/>
          <w:iCs w:val="0"/>
          <w:color w:val="auto"/>
          <w:sz w:val="22"/>
          <w:szCs w:val="22"/>
        </w:rPr>
        <w:t xml:space="preserve"> </w:t>
      </w:r>
      <w:r w:rsidR="00B52E81" w:rsidRPr="58546FE3">
        <w:rPr>
          <w:b/>
          <w:bCs/>
          <w:i w:val="0"/>
          <w:iCs w:val="0"/>
          <w:color w:val="auto"/>
          <w:sz w:val="22"/>
          <w:szCs w:val="22"/>
        </w:rPr>
        <w:t xml:space="preserve">Stacked mitigation potentials for individual non-baseline scenario components under the </w:t>
      </w:r>
      <w:r w:rsidR="0076377B" w:rsidRPr="58546FE3">
        <w:rPr>
          <w:b/>
          <w:bCs/>
          <w:i w:val="0"/>
          <w:iCs w:val="0"/>
          <w:color w:val="auto"/>
          <w:sz w:val="22"/>
          <w:szCs w:val="22"/>
        </w:rPr>
        <w:t>no</w:t>
      </w:r>
      <w:r w:rsidR="00B52E81" w:rsidRPr="58546FE3">
        <w:rPr>
          <w:b/>
          <w:bCs/>
          <w:i w:val="0"/>
          <w:iCs w:val="0"/>
          <w:color w:val="auto"/>
          <w:sz w:val="22"/>
          <w:szCs w:val="22"/>
        </w:rPr>
        <w:t xml:space="preserve"> emission pricing. </w:t>
      </w:r>
      <w:r w:rsidR="00B52E81" w:rsidRPr="58546FE3">
        <w:rPr>
          <w:i w:val="0"/>
          <w:iCs w:val="0"/>
          <w:color w:val="auto"/>
          <w:sz w:val="22"/>
          <w:szCs w:val="22"/>
        </w:rPr>
        <w:t>Each column represents a scenario dimension, excluding wildfires due to their minimal impact. Nodes represent scenario components indicated by the label, while edges link all components of a complete scenario (assuming SuCCESs-default wildfire activity). The shape, colour and colour gradient of the nodes depend on the mitigation potential indicated in Gigatonnes CO</w:t>
      </w:r>
      <w:r w:rsidR="00B52E81" w:rsidRPr="58546FE3">
        <w:rPr>
          <w:i w:val="0"/>
          <w:iCs w:val="0"/>
          <w:color w:val="auto"/>
          <w:sz w:val="22"/>
          <w:szCs w:val="22"/>
          <w:vertAlign w:val="subscript"/>
        </w:rPr>
        <w:t>2</w:t>
      </w:r>
      <w:r w:rsidR="00B52E81" w:rsidRPr="58546FE3">
        <w:rPr>
          <w:i w:val="0"/>
          <w:iCs w:val="0"/>
          <w:color w:val="auto"/>
          <w:sz w:val="22"/>
          <w:szCs w:val="22"/>
        </w:rPr>
        <w:t xml:space="preserve">-equivalents cumulatively between 2020 and 2100. Brown colour and upward arrow nodes indicate rise in emissions compared to the corresponding domain baseline case (e.g., </w:t>
      </w:r>
      <w:r w:rsidR="00B52E81" w:rsidRPr="58546FE3">
        <w:rPr>
          <w:color w:val="auto"/>
          <w:sz w:val="22"/>
          <w:szCs w:val="22"/>
        </w:rPr>
        <w:t>Omnivore</w:t>
      </w:r>
      <w:r w:rsidR="00B52E81" w:rsidRPr="58546FE3">
        <w:rPr>
          <w:i w:val="0"/>
          <w:iCs w:val="0"/>
          <w:color w:val="auto"/>
          <w:sz w:val="22"/>
          <w:szCs w:val="22"/>
        </w:rPr>
        <w:t xml:space="preserve"> for diet dimension). Green-coloured downward arrow nodes indicate mitigation. The round bubble in the rightmost column shows total cumulative net emissions between 2020 and 2100 in the linked scenario</w:t>
      </w:r>
    </w:p>
    <w:p w14:paraId="36C94EFF" w14:textId="77777777" w:rsidR="00A849FA" w:rsidRDefault="00A849FA" w:rsidP="00A849FA">
      <w:pPr>
        <w:jc w:val="both"/>
      </w:pPr>
    </w:p>
    <w:p w14:paraId="63E850F8" w14:textId="77777777" w:rsidR="00A849FA" w:rsidRDefault="00A849FA" w:rsidP="00A849FA">
      <w:pPr>
        <w:jc w:val="both"/>
      </w:pPr>
    </w:p>
    <w:p w14:paraId="55C6A1CA" w14:textId="77777777" w:rsidR="00A849FA" w:rsidRDefault="00A849FA" w:rsidP="00A849FA">
      <w:pPr>
        <w:jc w:val="center"/>
      </w:pPr>
      <w:r>
        <w:rPr>
          <w:noProof/>
        </w:rPr>
        <w:lastRenderedPageBreak/>
        <w:drawing>
          <wp:inline distT="0" distB="0" distL="0" distR="0" wp14:anchorId="77288076" wp14:editId="67D524F4">
            <wp:extent cx="5943600" cy="5681345"/>
            <wp:effectExtent l="0" t="0" r="0" b="0"/>
            <wp:docPr id="1316686769" name="Picture 4" descr="A diagram of different types of plan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6686769" name="Picture 4" descr="A diagram of different types of plants&#10;&#10;AI-generated content may be incorrect."/>
                    <pic:cNvPicPr/>
                  </pic:nvPicPr>
                  <pic:blipFill>
                    <a:blip r:embed="rId40" cstate="print">
                      <a:extLst>
                        <a:ext uri="{28A0092B-C50C-407E-A947-70E740481C1C}">
                          <a14:useLocalDpi xmlns:a14="http://schemas.microsoft.com/office/drawing/2010/main" val="0"/>
                        </a:ext>
                      </a:extLst>
                    </a:blip>
                    <a:stretch>
                      <a:fillRect/>
                    </a:stretch>
                  </pic:blipFill>
                  <pic:spPr>
                    <a:xfrm>
                      <a:off x="0" y="0"/>
                      <a:ext cx="5943600" cy="5681345"/>
                    </a:xfrm>
                    <a:prstGeom prst="rect">
                      <a:avLst/>
                    </a:prstGeom>
                  </pic:spPr>
                </pic:pic>
              </a:graphicData>
            </a:graphic>
          </wp:inline>
        </w:drawing>
      </w:r>
    </w:p>
    <w:p w14:paraId="7D0B69CC" w14:textId="08975335" w:rsidR="00A849FA" w:rsidRPr="006B3E6A" w:rsidRDefault="00C34886" w:rsidP="58546FE3">
      <w:pPr>
        <w:pStyle w:val="Caption"/>
        <w:jc w:val="both"/>
        <w:rPr>
          <w:i w:val="0"/>
          <w:iCs w:val="0"/>
          <w:sz w:val="22"/>
          <w:szCs w:val="22"/>
        </w:rPr>
      </w:pPr>
      <w:r w:rsidRPr="58546FE3">
        <w:rPr>
          <w:b/>
          <w:bCs/>
          <w:i w:val="0"/>
          <w:iCs w:val="0"/>
          <w:color w:val="auto"/>
          <w:sz w:val="22"/>
          <w:szCs w:val="22"/>
        </w:rPr>
        <w:t>Fig. S-F</w:t>
      </w:r>
      <w:r w:rsidRPr="58546FE3">
        <w:rPr>
          <w:b/>
          <w:bCs/>
          <w:i w:val="0"/>
          <w:iCs w:val="0"/>
          <w:color w:val="auto"/>
          <w:sz w:val="22"/>
          <w:szCs w:val="22"/>
        </w:rPr>
        <w:fldChar w:fldCharType="begin"/>
      </w:r>
      <w:r w:rsidRPr="58546FE3">
        <w:rPr>
          <w:b/>
          <w:bCs/>
          <w:i w:val="0"/>
          <w:iCs w:val="0"/>
          <w:color w:val="auto"/>
          <w:sz w:val="22"/>
          <w:szCs w:val="22"/>
        </w:rPr>
        <w:instrText xml:space="preserve"> SEQ Figure \* ARABIC </w:instrText>
      </w:r>
      <w:r w:rsidRPr="58546FE3">
        <w:rPr>
          <w:b/>
          <w:bCs/>
          <w:i w:val="0"/>
          <w:iCs w:val="0"/>
          <w:color w:val="auto"/>
          <w:sz w:val="22"/>
          <w:szCs w:val="22"/>
        </w:rPr>
        <w:fldChar w:fldCharType="separate"/>
      </w:r>
      <w:r w:rsidR="007B7678">
        <w:rPr>
          <w:b/>
          <w:bCs/>
          <w:i w:val="0"/>
          <w:iCs w:val="0"/>
          <w:noProof/>
          <w:color w:val="auto"/>
          <w:sz w:val="22"/>
          <w:szCs w:val="22"/>
        </w:rPr>
        <w:t>15</w:t>
      </w:r>
      <w:r w:rsidRPr="58546FE3">
        <w:rPr>
          <w:b/>
          <w:bCs/>
          <w:i w:val="0"/>
          <w:iCs w:val="0"/>
          <w:color w:val="auto"/>
          <w:sz w:val="22"/>
          <w:szCs w:val="22"/>
        </w:rPr>
        <w:fldChar w:fldCharType="end"/>
      </w:r>
      <w:r w:rsidR="00073B97" w:rsidRPr="58546FE3">
        <w:rPr>
          <w:b/>
          <w:bCs/>
          <w:i w:val="0"/>
          <w:iCs w:val="0"/>
          <w:color w:val="auto"/>
          <w:sz w:val="22"/>
          <w:szCs w:val="22"/>
        </w:rPr>
        <w:t>:</w:t>
      </w:r>
      <w:r w:rsidRPr="58546FE3">
        <w:rPr>
          <w:i w:val="0"/>
          <w:iCs w:val="0"/>
          <w:color w:val="auto"/>
          <w:sz w:val="22"/>
          <w:szCs w:val="22"/>
        </w:rPr>
        <w:t xml:space="preserve"> </w:t>
      </w:r>
      <w:r w:rsidR="00B52E81" w:rsidRPr="58546FE3">
        <w:rPr>
          <w:b/>
          <w:bCs/>
          <w:i w:val="0"/>
          <w:iCs w:val="0"/>
          <w:color w:val="auto"/>
          <w:sz w:val="22"/>
          <w:szCs w:val="22"/>
        </w:rPr>
        <w:t xml:space="preserve">Stacked mitigation potentials for individual non-baseline scenario components under the </w:t>
      </w:r>
      <w:r w:rsidR="0076377B" w:rsidRPr="58546FE3">
        <w:rPr>
          <w:b/>
          <w:bCs/>
          <w:color w:val="auto"/>
          <w:sz w:val="22"/>
          <w:szCs w:val="22"/>
        </w:rPr>
        <w:t>Steady transition</w:t>
      </w:r>
      <w:r w:rsidR="00B52E81" w:rsidRPr="58546FE3">
        <w:rPr>
          <w:b/>
          <w:bCs/>
          <w:i w:val="0"/>
          <w:iCs w:val="0"/>
          <w:color w:val="auto"/>
          <w:sz w:val="22"/>
          <w:szCs w:val="22"/>
        </w:rPr>
        <w:t xml:space="preserve"> emission pricing. </w:t>
      </w:r>
      <w:r w:rsidR="00B52E81" w:rsidRPr="58546FE3">
        <w:rPr>
          <w:i w:val="0"/>
          <w:iCs w:val="0"/>
          <w:color w:val="auto"/>
          <w:sz w:val="22"/>
          <w:szCs w:val="22"/>
        </w:rPr>
        <w:t>Each column represents a scenario dimension, excluding wildfires due to their minimal impact. Nodes represent scenario components indicated by the label, while edges link all components of a complete scenario (assuming SuCCESs-default wildfire activity). The shape, colour and colour gradient of the nodes depend on the mitigation potential indicated in Gigatonnes CO</w:t>
      </w:r>
      <w:r w:rsidR="00B52E81" w:rsidRPr="58546FE3">
        <w:rPr>
          <w:i w:val="0"/>
          <w:iCs w:val="0"/>
          <w:color w:val="auto"/>
          <w:sz w:val="22"/>
          <w:szCs w:val="22"/>
          <w:vertAlign w:val="subscript"/>
        </w:rPr>
        <w:t>2</w:t>
      </w:r>
      <w:r w:rsidR="00B52E81" w:rsidRPr="58546FE3">
        <w:rPr>
          <w:i w:val="0"/>
          <w:iCs w:val="0"/>
          <w:color w:val="auto"/>
          <w:sz w:val="22"/>
          <w:szCs w:val="22"/>
        </w:rPr>
        <w:t xml:space="preserve">-equivalents cumulatively between 2020 and 2100. Brown colour and upward arrow nodes indicate rise in emissions compared to the corresponding domain baseline case (e.g., </w:t>
      </w:r>
      <w:r w:rsidR="00B52E81" w:rsidRPr="58546FE3">
        <w:rPr>
          <w:color w:val="auto"/>
          <w:sz w:val="22"/>
          <w:szCs w:val="22"/>
        </w:rPr>
        <w:t>Omnivore</w:t>
      </w:r>
      <w:r w:rsidR="00B52E81" w:rsidRPr="58546FE3">
        <w:rPr>
          <w:i w:val="0"/>
          <w:iCs w:val="0"/>
          <w:color w:val="auto"/>
          <w:sz w:val="22"/>
          <w:szCs w:val="22"/>
        </w:rPr>
        <w:t xml:space="preserve"> for diet dimension). Green-coloured downward arrow nodes indicate mitigation. The round bubble in the rightmost column shows total cumulative net emissions between 2020 and 2100 in the linked scenario</w:t>
      </w:r>
    </w:p>
    <w:p w14:paraId="39E6BDD5" w14:textId="77777777" w:rsidR="00A849FA" w:rsidRDefault="00A849FA" w:rsidP="00A849FA">
      <w:pPr>
        <w:jc w:val="center"/>
      </w:pPr>
      <w:r>
        <w:rPr>
          <w:noProof/>
        </w:rPr>
        <w:lastRenderedPageBreak/>
        <w:drawing>
          <wp:inline distT="0" distB="0" distL="0" distR="0" wp14:anchorId="76F788AB" wp14:editId="265B237B">
            <wp:extent cx="4576088" cy="6530196"/>
            <wp:effectExtent l="0" t="0" r="0" b="0"/>
            <wp:docPr id="1220944538" name="Picture 5"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944538" name="Picture 5" descr="A screenshot of a computer screen&#10;&#10;AI-generated content may be incorrect."/>
                    <pic:cNvPicPr/>
                  </pic:nvPicPr>
                  <pic:blipFill>
                    <a:blip r:embed="rId41" cstate="print">
                      <a:extLst>
                        <a:ext uri="{28A0092B-C50C-407E-A947-70E740481C1C}">
                          <a14:useLocalDpi xmlns:a14="http://schemas.microsoft.com/office/drawing/2010/main" val="0"/>
                        </a:ext>
                      </a:extLst>
                    </a:blip>
                    <a:stretch>
                      <a:fillRect/>
                    </a:stretch>
                  </pic:blipFill>
                  <pic:spPr>
                    <a:xfrm>
                      <a:off x="0" y="0"/>
                      <a:ext cx="4620707" cy="6593869"/>
                    </a:xfrm>
                    <a:prstGeom prst="rect">
                      <a:avLst/>
                    </a:prstGeom>
                  </pic:spPr>
                </pic:pic>
              </a:graphicData>
            </a:graphic>
          </wp:inline>
        </w:drawing>
      </w:r>
    </w:p>
    <w:p w14:paraId="2DA78DB0" w14:textId="1D7ED31F" w:rsidR="006406BD" w:rsidRDefault="00C34886" w:rsidP="58546FE3">
      <w:pPr>
        <w:pStyle w:val="Caption"/>
        <w:jc w:val="both"/>
        <w:rPr>
          <w:i w:val="0"/>
          <w:iCs w:val="0"/>
          <w:color w:val="auto"/>
          <w:sz w:val="22"/>
          <w:szCs w:val="22"/>
        </w:rPr>
      </w:pPr>
      <w:r w:rsidRPr="58546FE3">
        <w:rPr>
          <w:b/>
          <w:bCs/>
          <w:i w:val="0"/>
          <w:iCs w:val="0"/>
          <w:color w:val="auto"/>
          <w:sz w:val="22"/>
          <w:szCs w:val="22"/>
        </w:rPr>
        <w:t>Fig. S-F</w:t>
      </w:r>
      <w:r w:rsidRPr="58546FE3">
        <w:rPr>
          <w:b/>
          <w:bCs/>
          <w:i w:val="0"/>
          <w:iCs w:val="0"/>
          <w:color w:val="auto"/>
          <w:sz w:val="22"/>
          <w:szCs w:val="22"/>
        </w:rPr>
        <w:fldChar w:fldCharType="begin"/>
      </w:r>
      <w:r w:rsidRPr="58546FE3">
        <w:rPr>
          <w:b/>
          <w:bCs/>
          <w:i w:val="0"/>
          <w:iCs w:val="0"/>
          <w:color w:val="auto"/>
          <w:sz w:val="22"/>
          <w:szCs w:val="22"/>
        </w:rPr>
        <w:instrText xml:space="preserve"> SEQ Figure \* ARABIC </w:instrText>
      </w:r>
      <w:r w:rsidRPr="58546FE3">
        <w:rPr>
          <w:b/>
          <w:bCs/>
          <w:i w:val="0"/>
          <w:iCs w:val="0"/>
          <w:color w:val="auto"/>
          <w:sz w:val="22"/>
          <w:szCs w:val="22"/>
        </w:rPr>
        <w:fldChar w:fldCharType="separate"/>
      </w:r>
      <w:r w:rsidR="007B7678">
        <w:rPr>
          <w:b/>
          <w:bCs/>
          <w:i w:val="0"/>
          <w:iCs w:val="0"/>
          <w:noProof/>
          <w:color w:val="auto"/>
          <w:sz w:val="22"/>
          <w:szCs w:val="22"/>
        </w:rPr>
        <w:t>16</w:t>
      </w:r>
      <w:r w:rsidRPr="58546FE3">
        <w:rPr>
          <w:b/>
          <w:bCs/>
          <w:i w:val="0"/>
          <w:iCs w:val="0"/>
          <w:color w:val="auto"/>
          <w:sz w:val="22"/>
          <w:szCs w:val="22"/>
        </w:rPr>
        <w:fldChar w:fldCharType="end"/>
      </w:r>
      <w:r w:rsidR="00073B97" w:rsidRPr="58546FE3">
        <w:rPr>
          <w:b/>
          <w:bCs/>
          <w:i w:val="0"/>
          <w:iCs w:val="0"/>
          <w:color w:val="auto"/>
          <w:sz w:val="22"/>
          <w:szCs w:val="22"/>
        </w:rPr>
        <w:t>:</w:t>
      </w:r>
      <w:r w:rsidR="00A849FA" w:rsidRPr="58546FE3">
        <w:rPr>
          <w:b/>
          <w:bCs/>
          <w:i w:val="0"/>
          <w:iCs w:val="0"/>
          <w:color w:val="auto"/>
          <w:sz w:val="22"/>
          <w:szCs w:val="22"/>
        </w:rPr>
        <w:t xml:space="preserve"> </w:t>
      </w:r>
      <w:r w:rsidR="00B52E81" w:rsidRPr="58546FE3">
        <w:rPr>
          <w:b/>
          <w:bCs/>
          <w:i w:val="0"/>
          <w:iCs w:val="0"/>
          <w:color w:val="auto"/>
          <w:sz w:val="22"/>
          <w:szCs w:val="22"/>
        </w:rPr>
        <w:t xml:space="preserve">Stacked mitigation potentials for individual non-baseline scenario components under the </w:t>
      </w:r>
      <w:r w:rsidR="0076377B" w:rsidRPr="58546FE3">
        <w:rPr>
          <w:b/>
          <w:bCs/>
          <w:color w:val="auto"/>
          <w:sz w:val="22"/>
          <w:szCs w:val="22"/>
        </w:rPr>
        <w:t>Overshoot</w:t>
      </w:r>
      <w:r w:rsidR="00B52E81" w:rsidRPr="58546FE3">
        <w:rPr>
          <w:b/>
          <w:bCs/>
          <w:i w:val="0"/>
          <w:iCs w:val="0"/>
          <w:color w:val="auto"/>
          <w:sz w:val="22"/>
          <w:szCs w:val="22"/>
        </w:rPr>
        <w:t xml:space="preserve"> emission pricing. </w:t>
      </w:r>
      <w:r w:rsidR="00B52E81" w:rsidRPr="58546FE3">
        <w:rPr>
          <w:i w:val="0"/>
          <w:iCs w:val="0"/>
          <w:color w:val="auto"/>
          <w:sz w:val="22"/>
          <w:szCs w:val="22"/>
        </w:rPr>
        <w:t>Each column represents a scenario dimension. Nodes represent scenario components indicated by the label, while edges link all components of a complete scenario. The shape, colour and colour gradient of the nodes depend on the mitigation potential indicated in Gigatonnes CO</w:t>
      </w:r>
      <w:r w:rsidR="00B52E81" w:rsidRPr="58546FE3">
        <w:rPr>
          <w:i w:val="0"/>
          <w:iCs w:val="0"/>
          <w:color w:val="auto"/>
          <w:sz w:val="22"/>
          <w:szCs w:val="22"/>
          <w:vertAlign w:val="subscript"/>
        </w:rPr>
        <w:t>2</w:t>
      </w:r>
      <w:r w:rsidR="00B52E81" w:rsidRPr="58546FE3">
        <w:rPr>
          <w:i w:val="0"/>
          <w:iCs w:val="0"/>
          <w:color w:val="auto"/>
          <w:sz w:val="22"/>
          <w:szCs w:val="22"/>
        </w:rPr>
        <w:t xml:space="preserve">-equivalents cumulatively between 2020 and 2100. Brown colour and upward arrow nodes indicate rise in emissions compared to the corresponding domain baseline case (e.g., </w:t>
      </w:r>
      <w:r w:rsidR="00B52E81" w:rsidRPr="58546FE3">
        <w:rPr>
          <w:color w:val="auto"/>
          <w:sz w:val="22"/>
          <w:szCs w:val="22"/>
        </w:rPr>
        <w:t>Omnivore</w:t>
      </w:r>
      <w:r w:rsidR="00B52E81" w:rsidRPr="58546FE3">
        <w:rPr>
          <w:i w:val="0"/>
          <w:iCs w:val="0"/>
          <w:color w:val="auto"/>
          <w:sz w:val="22"/>
          <w:szCs w:val="22"/>
        </w:rPr>
        <w:t xml:space="preserve"> for diet dimension). Green-coloured downward arrow nodes indicate mitigation. The round bubble in the rightmost column shows total cumulative net emissions between 2020 and 2100 in the linked scenario</w:t>
      </w:r>
    </w:p>
    <w:p w14:paraId="55AD2BA8" w14:textId="0D4B7F13" w:rsidR="00E201BD" w:rsidRDefault="0066118D" w:rsidP="00A849FA">
      <w:r w:rsidRPr="0066118D">
        <w:rPr>
          <w:noProof/>
        </w:rPr>
        <w:lastRenderedPageBreak/>
        <w:drawing>
          <wp:inline distT="0" distB="0" distL="0" distR="0" wp14:anchorId="2456BA78" wp14:editId="66B03805">
            <wp:extent cx="5705475" cy="4619625"/>
            <wp:effectExtent l="0" t="0" r="9525" b="9525"/>
            <wp:docPr id="2038851732" name="Picture 1" descr="A graph with blue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8851732" name="Picture 1" descr="A graph with blue dots&#10;&#10;AI-generated content may be incorrect."/>
                    <pic:cNvPicPr/>
                  </pic:nvPicPr>
                  <pic:blipFill>
                    <a:blip r:embed="rId42"/>
                    <a:stretch>
                      <a:fillRect/>
                    </a:stretch>
                  </pic:blipFill>
                  <pic:spPr>
                    <a:xfrm>
                      <a:off x="0" y="0"/>
                      <a:ext cx="5705475" cy="4619625"/>
                    </a:xfrm>
                    <a:prstGeom prst="rect">
                      <a:avLst/>
                    </a:prstGeom>
                  </pic:spPr>
                </pic:pic>
              </a:graphicData>
            </a:graphic>
          </wp:inline>
        </w:drawing>
      </w:r>
    </w:p>
    <w:p w14:paraId="2CB4758F" w14:textId="3BA2CEE7" w:rsidR="002717D4" w:rsidRPr="002717D4" w:rsidRDefault="002717D4" w:rsidP="0041623A">
      <w:pPr>
        <w:jc w:val="both"/>
      </w:pPr>
      <w:r w:rsidRPr="58546FE3">
        <w:rPr>
          <w:b/>
          <w:bCs/>
        </w:rPr>
        <w:t>Fig. S-F</w:t>
      </w:r>
      <w:r w:rsidRPr="58546FE3">
        <w:rPr>
          <w:b/>
          <w:bCs/>
        </w:rPr>
        <w:fldChar w:fldCharType="begin"/>
      </w:r>
      <w:r w:rsidRPr="58546FE3">
        <w:rPr>
          <w:b/>
          <w:bCs/>
        </w:rPr>
        <w:instrText xml:space="preserve"> SEQ Figure \* ARABIC </w:instrText>
      </w:r>
      <w:r w:rsidRPr="58546FE3">
        <w:rPr>
          <w:b/>
          <w:bCs/>
        </w:rPr>
        <w:fldChar w:fldCharType="separate"/>
      </w:r>
      <w:r w:rsidR="007B7678">
        <w:rPr>
          <w:b/>
          <w:bCs/>
          <w:noProof/>
        </w:rPr>
        <w:t>17</w:t>
      </w:r>
      <w:r w:rsidRPr="58546FE3">
        <w:rPr>
          <w:b/>
          <w:bCs/>
        </w:rPr>
        <w:fldChar w:fldCharType="end"/>
      </w:r>
      <w:r w:rsidRPr="58546FE3">
        <w:rPr>
          <w:b/>
          <w:bCs/>
        </w:rPr>
        <w:t>: K-means clustering</w:t>
      </w:r>
      <w:r>
        <w:t xml:space="preserve"> of interaction sizes. </w:t>
      </w:r>
      <w:r w:rsidR="004C753B">
        <w:t>The large number above each cluster indicates the mean interaction size of that cluster. The sma</w:t>
      </w:r>
      <w:r w:rsidR="00EA591D">
        <w:t xml:space="preserve">ll number in </w:t>
      </w:r>
      <w:r w:rsidR="00702AF2">
        <w:t>parentheses</w:t>
      </w:r>
      <w:r w:rsidR="00EA591D">
        <w:t xml:space="preserve"> </w:t>
      </w:r>
      <w:r w:rsidR="00702AF2">
        <w:t>below indicated the number of scenarios in this cluster.</w:t>
      </w:r>
      <w:r w:rsidR="00346638">
        <w:t xml:space="preserve"> The is no extreme synergy cluster</w:t>
      </w:r>
    </w:p>
    <w:p w14:paraId="520AD17D" w14:textId="77777777" w:rsidR="00E201BD" w:rsidRDefault="00E201BD" w:rsidP="00A849FA"/>
    <w:p w14:paraId="4521EC91" w14:textId="5DB0C721" w:rsidR="008E3765" w:rsidRDefault="008E3765">
      <w:r>
        <w:br w:type="page"/>
      </w:r>
    </w:p>
    <w:p w14:paraId="7754620E" w14:textId="77777777" w:rsidR="006C43B8" w:rsidRDefault="006C43B8" w:rsidP="006C43B8">
      <w:pPr>
        <w:pStyle w:val="Heading1"/>
        <w:numPr>
          <w:ilvl w:val="0"/>
          <w:numId w:val="0"/>
        </w:numPr>
        <w:spacing w:line="276" w:lineRule="auto"/>
        <w:jc w:val="both"/>
      </w:pPr>
      <w:bookmarkStart w:id="18" w:name="_Toc167708318"/>
      <w:bookmarkStart w:id="19" w:name="_Toc197023394"/>
      <w:r w:rsidRPr="0055776F">
        <w:rPr>
          <w:sz w:val="36"/>
          <w:szCs w:val="36"/>
        </w:rPr>
        <w:lastRenderedPageBreak/>
        <w:t>Glossary</w:t>
      </w:r>
      <w:bookmarkEnd w:id="18"/>
      <w:bookmarkEnd w:id="19"/>
    </w:p>
    <w:p w14:paraId="7B42B3A9" w14:textId="77777777" w:rsidR="006C43B8" w:rsidRDefault="006C43B8" w:rsidP="006C43B8"/>
    <w:tbl>
      <w:tblPr>
        <w:tblStyle w:val="TableGrid"/>
        <w:tblW w:w="0" w:type="auto"/>
        <w:tblLook w:val="04A0" w:firstRow="1" w:lastRow="0" w:firstColumn="1" w:lastColumn="0" w:noHBand="0" w:noVBand="1"/>
      </w:tblPr>
      <w:tblGrid>
        <w:gridCol w:w="1666"/>
        <w:gridCol w:w="3770"/>
        <w:gridCol w:w="3914"/>
      </w:tblGrid>
      <w:tr w:rsidR="006C43B8" w14:paraId="259612D9" w14:textId="77777777" w:rsidTr="58546FE3">
        <w:tc>
          <w:tcPr>
            <w:tcW w:w="1666" w:type="dxa"/>
          </w:tcPr>
          <w:p w14:paraId="48F34EE8" w14:textId="77777777" w:rsidR="006C43B8" w:rsidRPr="00C05586" w:rsidRDefault="006C43B8" w:rsidP="00662F5C">
            <w:pPr>
              <w:rPr>
                <w:b/>
                <w:bCs/>
              </w:rPr>
            </w:pPr>
            <w:r w:rsidRPr="00C05586">
              <w:rPr>
                <w:b/>
                <w:bCs/>
              </w:rPr>
              <w:t>Abbreviation (alphabetical)</w:t>
            </w:r>
          </w:p>
        </w:tc>
        <w:tc>
          <w:tcPr>
            <w:tcW w:w="3770" w:type="dxa"/>
          </w:tcPr>
          <w:p w14:paraId="39270581" w14:textId="77777777" w:rsidR="006C43B8" w:rsidRPr="00C05586" w:rsidRDefault="006C43B8" w:rsidP="00662F5C">
            <w:pPr>
              <w:rPr>
                <w:b/>
                <w:bCs/>
              </w:rPr>
            </w:pPr>
            <w:r w:rsidRPr="00C05586">
              <w:rPr>
                <w:b/>
                <w:bCs/>
              </w:rPr>
              <w:t>Full name</w:t>
            </w:r>
          </w:p>
        </w:tc>
        <w:tc>
          <w:tcPr>
            <w:tcW w:w="3914" w:type="dxa"/>
          </w:tcPr>
          <w:p w14:paraId="290AFCEF" w14:textId="6A605D12" w:rsidR="006C43B8" w:rsidRPr="00C05586" w:rsidRDefault="00F365CE" w:rsidP="00662F5C">
            <w:pPr>
              <w:rPr>
                <w:b/>
                <w:bCs/>
              </w:rPr>
            </w:pPr>
            <w:r>
              <w:rPr>
                <w:b/>
                <w:bCs/>
              </w:rPr>
              <w:t>Definition</w:t>
            </w:r>
          </w:p>
        </w:tc>
      </w:tr>
      <w:tr w:rsidR="006C43B8" w14:paraId="79E33341" w14:textId="77777777" w:rsidTr="58546FE3">
        <w:tc>
          <w:tcPr>
            <w:tcW w:w="1666" w:type="dxa"/>
          </w:tcPr>
          <w:p w14:paraId="095DE740" w14:textId="77777777" w:rsidR="006C43B8" w:rsidRPr="00E417CA" w:rsidRDefault="006C43B8" w:rsidP="00662F5C">
            <w:r w:rsidRPr="00E417CA">
              <w:t xml:space="preserve">AFOLU </w:t>
            </w:r>
          </w:p>
        </w:tc>
        <w:tc>
          <w:tcPr>
            <w:tcW w:w="3770" w:type="dxa"/>
          </w:tcPr>
          <w:p w14:paraId="727D429C" w14:textId="77777777" w:rsidR="006C43B8" w:rsidRPr="00E417CA" w:rsidRDefault="006C43B8" w:rsidP="00662F5C">
            <w:r w:rsidRPr="00E417CA">
              <w:t>Agriculture, Forestry, and Other Land Use</w:t>
            </w:r>
            <w:r>
              <w:t xml:space="preserve"> sector</w:t>
            </w:r>
          </w:p>
        </w:tc>
        <w:tc>
          <w:tcPr>
            <w:tcW w:w="3914" w:type="dxa"/>
          </w:tcPr>
          <w:p w14:paraId="4A715BFF" w14:textId="5940A272" w:rsidR="006C43B8" w:rsidRPr="00E417CA" w:rsidRDefault="0BBA67A0" w:rsidP="00662F5C">
            <w:r>
              <w:t>R</w:t>
            </w:r>
            <w:r w:rsidR="006C43B8">
              <w:t>efers to activities related to land use that impact greenhouse gas emissions and carbon sequestration</w:t>
            </w:r>
            <w:r w:rsidR="3075F2DC">
              <w:t>.</w:t>
            </w:r>
          </w:p>
        </w:tc>
      </w:tr>
      <w:tr w:rsidR="00A014CE" w14:paraId="09B9EDCE" w14:textId="77777777" w:rsidTr="58546FE3">
        <w:tc>
          <w:tcPr>
            <w:tcW w:w="1666" w:type="dxa"/>
          </w:tcPr>
          <w:p w14:paraId="7F75AB52" w14:textId="09C8FBC9" w:rsidR="00A014CE" w:rsidRPr="00E417CA" w:rsidRDefault="00A014CE" w:rsidP="00662F5C">
            <w:r>
              <w:t>A/R</w:t>
            </w:r>
          </w:p>
        </w:tc>
        <w:tc>
          <w:tcPr>
            <w:tcW w:w="3770" w:type="dxa"/>
          </w:tcPr>
          <w:p w14:paraId="603A6BFD" w14:textId="3AB47FB0" w:rsidR="00A014CE" w:rsidRPr="00E417CA" w:rsidRDefault="00A014CE" w:rsidP="00662F5C">
            <w:r>
              <w:t xml:space="preserve">Afforestation or </w:t>
            </w:r>
            <w:r w:rsidR="007D5E88">
              <w:t>Reforestation</w:t>
            </w:r>
          </w:p>
        </w:tc>
        <w:tc>
          <w:tcPr>
            <w:tcW w:w="3914" w:type="dxa"/>
          </w:tcPr>
          <w:p w14:paraId="3C4DA4D9" w14:textId="345016FD" w:rsidR="00A014CE" w:rsidRPr="00407AD2" w:rsidRDefault="7D1C409E" w:rsidP="00662F5C">
            <w:r>
              <w:t>The establishment of forests on previously non-forested (afforestation) or deforested (reforestation) land</w:t>
            </w:r>
            <w:r w:rsidR="103E2E5F">
              <w:t>.</w:t>
            </w:r>
          </w:p>
        </w:tc>
      </w:tr>
      <w:tr w:rsidR="006C43B8" w14:paraId="5316047F" w14:textId="77777777" w:rsidTr="58546FE3">
        <w:tc>
          <w:tcPr>
            <w:tcW w:w="1666" w:type="dxa"/>
          </w:tcPr>
          <w:p w14:paraId="1C323ADA" w14:textId="77777777" w:rsidR="006C43B8" w:rsidRPr="00E417CA" w:rsidRDefault="006C43B8" w:rsidP="00662F5C">
            <w:r>
              <w:t>BECCS</w:t>
            </w:r>
          </w:p>
        </w:tc>
        <w:tc>
          <w:tcPr>
            <w:tcW w:w="3770" w:type="dxa"/>
          </w:tcPr>
          <w:p w14:paraId="4E0888F3" w14:textId="77777777" w:rsidR="006C43B8" w:rsidRPr="00E417CA" w:rsidRDefault="006C43B8" w:rsidP="00662F5C">
            <w:proofErr w:type="spellStart"/>
            <w:r>
              <w:t>BioEnergy</w:t>
            </w:r>
            <w:proofErr w:type="spellEnd"/>
            <w:r>
              <w:t xml:space="preserve"> with Carbon Capture and Storage</w:t>
            </w:r>
          </w:p>
        </w:tc>
        <w:tc>
          <w:tcPr>
            <w:tcW w:w="3914" w:type="dxa"/>
          </w:tcPr>
          <w:p w14:paraId="387A9E41" w14:textId="5D8E3860" w:rsidR="006C43B8" w:rsidRPr="00407AD2" w:rsidRDefault="7856CC58" w:rsidP="00662F5C">
            <w:r>
              <w:t>E</w:t>
            </w:r>
            <w:r w:rsidR="2BA8FE80">
              <w:t>n</w:t>
            </w:r>
            <w:r>
              <w:t xml:space="preserve">ergy </w:t>
            </w:r>
            <w:r w:rsidR="0E8C5298">
              <w:t xml:space="preserve">generation </w:t>
            </w:r>
            <w:r w:rsidR="2BA8FE80">
              <w:t>us</w:t>
            </w:r>
            <w:r w:rsidR="0E8C5298">
              <w:t>ing</w:t>
            </w:r>
            <w:r w:rsidR="2BA8FE80">
              <w:t xml:space="preserve"> biomass while capturing and storing its CO₂ emissions, creating net-negative emissions to mitigate climate change</w:t>
            </w:r>
            <w:r w:rsidR="528EFEED">
              <w:t>.</w:t>
            </w:r>
          </w:p>
        </w:tc>
      </w:tr>
      <w:tr w:rsidR="006C43B8" w14:paraId="58296B86" w14:textId="77777777" w:rsidTr="58546FE3">
        <w:tc>
          <w:tcPr>
            <w:tcW w:w="1666" w:type="dxa"/>
          </w:tcPr>
          <w:p w14:paraId="3D3D5A9A" w14:textId="77777777" w:rsidR="006C43B8" w:rsidRPr="00C05586" w:rsidRDefault="006C43B8" w:rsidP="00662F5C">
            <w:pPr>
              <w:rPr>
                <w:b/>
                <w:bCs/>
              </w:rPr>
            </w:pPr>
            <w:r>
              <w:t>CLASH</w:t>
            </w:r>
          </w:p>
        </w:tc>
        <w:tc>
          <w:tcPr>
            <w:tcW w:w="3770" w:type="dxa"/>
          </w:tcPr>
          <w:p w14:paraId="75C99717" w14:textId="77777777" w:rsidR="006C43B8" w:rsidRPr="00C05586" w:rsidRDefault="006C43B8" w:rsidP="00662F5C">
            <w:pPr>
              <w:rPr>
                <w:b/>
                <w:bCs/>
              </w:rPr>
            </w:pPr>
            <w:r w:rsidRPr="003723DB">
              <w:t>Climate-responsive Land Allocation model with carbon Storage and Harvests</w:t>
            </w:r>
          </w:p>
        </w:tc>
        <w:tc>
          <w:tcPr>
            <w:tcW w:w="3914" w:type="dxa"/>
          </w:tcPr>
          <w:p w14:paraId="51B642B1" w14:textId="07F8D739" w:rsidR="006C43B8" w:rsidRPr="00C05586" w:rsidRDefault="006C43B8" w:rsidP="00662F5C">
            <w:pPr>
              <w:rPr>
                <w:b/>
                <w:bCs/>
              </w:rPr>
            </w:pPr>
            <w:r>
              <w:t xml:space="preserve">Global land-use model used in SuCCESs </w:t>
            </w:r>
            <w:r w:rsidR="00DF0089">
              <w:fldChar w:fldCharType="begin"/>
            </w:r>
            <w:r w:rsidR="00CC33DA">
              <w:instrText xml:space="preserve"> ADDIN ZOTERO_ITEM CSL_CITATION {"citationID":"CnqoSkru","properties":{"formattedCitation":"(Ekholm et al., 2024b)","plainCitation":"(Ekholm et al., 2024b)","noteIndex":0},"citationItems":[{"id":1023,"uris":["http://zotero.org/users/11614317/items/KVICBXQ8"],"itemData":{"id":1023,"type":"article-journal","abstract":"The Climate-responsive Land Allocation model with carbon Storage and Harvests (CLASH) is a global, biophysical land-use model that can be embedded into integrated assessment models (IAMs). CLASH represents vegetation growth, terrestrial carbon stocks, and production from agriculture and forestry for different land uses in a changing climate. Connecting CLASH to an IAM would allow the consideration of terrestrial carbon stocks, agriculture and forestry in global climate policy analyses. All terrestrial ecosystems and their carbon dynamics are comprehensively described at a coarse resolution. Special emphasis is placed on representing the world's forests. Vegetation growth, soil carbon stocks, agricultural yields and natural disturbance frequencies react to changing climatic conditions, emulating the dynamic global vegetation model LPJ-GUESS. Land is divided into 10 biomes with six land-use classes (including forests and agricultural classes). Secondary forests are age structured. The timing of forest harvests affects forest carbon stocks, and, hence, carbon storage per forest area can be increased through forest management. In addition to secondary forests, CLASH also includes primary ecosystems, cropland and pastures. The comprehensive inclusion of all land-use classes and their main functions allows representing the global land-use competition. In this article, we present, calibrate and validate the model; demonstrate its use; and discuss how it can be integrated into IAMs.","container-title":"Geoscientific Model Development","DOI":"10.5194/gmd-17-3041-2024","ISSN":"1991-959X","issue":"7","language":"English","note":"publisher: Copernicus GmbH","page":"3041-3062","source":"Copernicus Online Journals","title":"CLASH – Climate-responsive Land Allocation model with carbon Storage and Harvests","volume":"17","author":[{"family":"Ekholm","given":"Tommi"},{"family":"Freistetter","given":"Nadine-Cyra"},{"family":"Rautiainen","given":"Aapo"},{"family":"Thölix","given":"Laura"}],"issued":{"date-parts":[["2024",4,17]]}}}],"schema":"https://github.com/citation-style-language/schema/raw/master/csl-citation.json"} </w:instrText>
            </w:r>
            <w:r w:rsidR="00DF0089">
              <w:fldChar w:fldCharType="separate"/>
            </w:r>
            <w:r w:rsidR="00CC33DA" w:rsidRPr="00CC33DA">
              <w:rPr>
                <w:rFonts w:ascii="Aptos" w:hAnsi="Aptos"/>
              </w:rPr>
              <w:t>(Ekholm et al., 2024b)</w:t>
            </w:r>
            <w:r w:rsidR="00DF0089">
              <w:fldChar w:fldCharType="end"/>
            </w:r>
            <w:r w:rsidR="3E31FE78" w:rsidRPr="58546FE3">
              <w:rPr>
                <w:b/>
                <w:bCs/>
              </w:rPr>
              <w:t>.</w:t>
            </w:r>
          </w:p>
        </w:tc>
      </w:tr>
      <w:tr w:rsidR="006C43B8" w14:paraId="759E8FB1" w14:textId="77777777" w:rsidTr="58546FE3">
        <w:tc>
          <w:tcPr>
            <w:tcW w:w="1666" w:type="dxa"/>
          </w:tcPr>
          <w:p w14:paraId="480ECABF" w14:textId="77777777" w:rsidR="006C43B8" w:rsidRDefault="006C43B8" w:rsidP="00662F5C">
            <w:r>
              <w:t>DM</w:t>
            </w:r>
          </w:p>
        </w:tc>
        <w:tc>
          <w:tcPr>
            <w:tcW w:w="3770" w:type="dxa"/>
          </w:tcPr>
          <w:p w14:paraId="7A84DDC5" w14:textId="77777777" w:rsidR="006C43B8" w:rsidRPr="003723DB" w:rsidRDefault="006C43B8" w:rsidP="00662F5C">
            <w:r>
              <w:t>Dry matter</w:t>
            </w:r>
          </w:p>
        </w:tc>
        <w:tc>
          <w:tcPr>
            <w:tcW w:w="3914" w:type="dxa"/>
          </w:tcPr>
          <w:p w14:paraId="563CCD58" w14:textId="32C0F837" w:rsidR="006C43B8" w:rsidRDefault="72221DC8" w:rsidP="00662F5C">
            <w:r>
              <w:t>R</w:t>
            </w:r>
            <w:r w:rsidR="006C43B8">
              <w:t xml:space="preserve">epresents the mass of the crop after all water content has been removed, leaving only the solid components such as carbohydrates, proteins, fats, </w:t>
            </w:r>
            <w:proofErr w:type="spellStart"/>
            <w:r w:rsidR="006C43B8">
              <w:t>fibers</w:t>
            </w:r>
            <w:proofErr w:type="spellEnd"/>
            <w:r w:rsidR="006C43B8">
              <w:t>, and minerals.</w:t>
            </w:r>
          </w:p>
        </w:tc>
      </w:tr>
      <w:tr w:rsidR="006C43B8" w14:paraId="675BEA17" w14:textId="77777777" w:rsidTr="58546FE3">
        <w:tc>
          <w:tcPr>
            <w:tcW w:w="1666" w:type="dxa"/>
          </w:tcPr>
          <w:p w14:paraId="5EFB7AA0" w14:textId="77777777" w:rsidR="006C43B8" w:rsidRDefault="006C43B8" w:rsidP="00662F5C">
            <w:r>
              <w:t>GHG</w:t>
            </w:r>
          </w:p>
        </w:tc>
        <w:tc>
          <w:tcPr>
            <w:tcW w:w="3770" w:type="dxa"/>
          </w:tcPr>
          <w:p w14:paraId="709C39BE" w14:textId="77777777" w:rsidR="006C43B8" w:rsidRPr="003723DB" w:rsidRDefault="006C43B8" w:rsidP="00662F5C">
            <w:r>
              <w:t>Greenhouse Gas(es)</w:t>
            </w:r>
          </w:p>
        </w:tc>
        <w:tc>
          <w:tcPr>
            <w:tcW w:w="3914" w:type="dxa"/>
          </w:tcPr>
          <w:p w14:paraId="34602443" w14:textId="77777777" w:rsidR="006C43B8" w:rsidRDefault="006C43B8" w:rsidP="00662F5C">
            <w:r>
              <w:t>The three climate-active greenhouse gases considered in this paper are carbon dioxide (CO</w:t>
            </w:r>
            <w:r w:rsidRPr="00392178">
              <w:rPr>
                <w:vertAlign w:val="subscript"/>
              </w:rPr>
              <w:t>2</w:t>
            </w:r>
            <w:r>
              <w:t>), methane (CH</w:t>
            </w:r>
            <w:r w:rsidRPr="00392178">
              <w:rPr>
                <w:vertAlign w:val="subscript"/>
              </w:rPr>
              <w:t>4</w:t>
            </w:r>
            <w:r>
              <w:t>), and nitrous oxide (N</w:t>
            </w:r>
            <w:r w:rsidRPr="00392178">
              <w:rPr>
                <w:vertAlign w:val="subscript"/>
              </w:rPr>
              <w:t>2</w:t>
            </w:r>
            <w:r>
              <w:t>O).</w:t>
            </w:r>
          </w:p>
        </w:tc>
      </w:tr>
      <w:tr w:rsidR="006C43B8" w14:paraId="11E644E2" w14:textId="77777777" w:rsidTr="58546FE3">
        <w:tc>
          <w:tcPr>
            <w:tcW w:w="1666" w:type="dxa"/>
          </w:tcPr>
          <w:p w14:paraId="4C3066B2" w14:textId="77777777" w:rsidR="006C43B8" w:rsidRDefault="006C43B8" w:rsidP="00662F5C">
            <w:r>
              <w:t>IAM</w:t>
            </w:r>
          </w:p>
        </w:tc>
        <w:tc>
          <w:tcPr>
            <w:tcW w:w="3770" w:type="dxa"/>
          </w:tcPr>
          <w:p w14:paraId="77E09B8B" w14:textId="77777777" w:rsidR="006C43B8" w:rsidRDefault="006C43B8" w:rsidP="00662F5C">
            <w:r>
              <w:t>Integrated Assessment Model</w:t>
            </w:r>
          </w:p>
        </w:tc>
        <w:tc>
          <w:tcPr>
            <w:tcW w:w="3914" w:type="dxa"/>
          </w:tcPr>
          <w:p w14:paraId="1634E407" w14:textId="7F81D430" w:rsidR="00FA3E1C" w:rsidRPr="00FA3E1C" w:rsidRDefault="3F59D56C" w:rsidP="00FA3E1C">
            <w:r>
              <w:t>Model combines climate, economic, and energy data to assess mitigation strategies, policy impacts, and sustainability pathways</w:t>
            </w:r>
            <w:r w:rsidR="44E86F9C">
              <w:t>.</w:t>
            </w:r>
          </w:p>
          <w:p w14:paraId="7EBC1E60" w14:textId="77777777" w:rsidR="006C43B8" w:rsidRDefault="006C43B8" w:rsidP="00662F5C"/>
        </w:tc>
      </w:tr>
      <w:tr w:rsidR="006C43B8" w14:paraId="49F3AE55" w14:textId="77777777" w:rsidTr="58546FE3">
        <w:tc>
          <w:tcPr>
            <w:tcW w:w="1666" w:type="dxa"/>
          </w:tcPr>
          <w:p w14:paraId="7D128120" w14:textId="77777777" w:rsidR="006C43B8" w:rsidRDefault="006C43B8" w:rsidP="00662F5C">
            <w:r>
              <w:t>PA</w:t>
            </w:r>
          </w:p>
        </w:tc>
        <w:tc>
          <w:tcPr>
            <w:tcW w:w="3770" w:type="dxa"/>
          </w:tcPr>
          <w:p w14:paraId="49F0A575" w14:textId="77777777" w:rsidR="006C43B8" w:rsidRPr="003723DB" w:rsidRDefault="006C43B8" w:rsidP="00662F5C">
            <w:r>
              <w:t>Paris Agreement</w:t>
            </w:r>
          </w:p>
        </w:tc>
        <w:tc>
          <w:tcPr>
            <w:tcW w:w="3914" w:type="dxa"/>
          </w:tcPr>
          <w:p w14:paraId="3008500C" w14:textId="1D294EF5" w:rsidR="006C43B8" w:rsidRDefault="006C43B8" w:rsidP="00662F5C">
            <w:r>
              <w:t xml:space="preserve">Treaty of the parties of the United Nations Framework Convention on Climate Change that legally binds parties to </w:t>
            </w:r>
            <w:r w:rsidRPr="00365C38">
              <w:t>“</w:t>
            </w:r>
            <w:r>
              <w:t xml:space="preserve">keep </w:t>
            </w:r>
            <w:r w:rsidRPr="00365C38">
              <w:t>the increase in the global average temperature to well below 2°C above pre-industrial levels</w:t>
            </w:r>
            <w:r>
              <w:t xml:space="preserve"> </w:t>
            </w:r>
            <w:r w:rsidRPr="00365C38">
              <w:t>and pursue efforts to limit the temperature increase to 1.5°C above pre-industrial levels.”</w:t>
            </w:r>
            <w:r>
              <w:t xml:space="preserve"> </w:t>
            </w:r>
            <w:r w:rsidR="00DF0089">
              <w:fldChar w:fldCharType="begin"/>
            </w:r>
            <w:r w:rsidR="00DF0089">
              <w:instrText xml:space="preserve"> ADDIN ZOTERO_ITEM CSL_CITATION {"citationID":"AiuI2PHa","properties":{"formattedCitation":"(UNFCCC, 2015)","plainCitation":"(UNFCCC, 2015)","noteIndex":0},"citationItems":[{"id":134,"uris":["http://zotero.org/users/11614317/items/Q96CG32E"],"itemData":{"id":134,"type":"document","title":"The Paris Agreement","URL":"https://unfccc.int/process-and-meetings/the-paris-agreement","author":[{"literal":"UNFCCC"}],"accessed":{"date-parts":[["2023",10,24]]},"issued":{"date-parts":[["2015"]]}}}],"schema":"https://github.com/citation-style-language/schema/raw/master/csl-citation.json"} </w:instrText>
            </w:r>
            <w:r w:rsidR="00DF0089">
              <w:fldChar w:fldCharType="separate"/>
            </w:r>
            <w:r w:rsidR="00CC33DA" w:rsidRPr="00CC33DA">
              <w:rPr>
                <w:rFonts w:ascii="Aptos" w:hAnsi="Aptos"/>
              </w:rPr>
              <w:t>(UNFCCC, 2015)</w:t>
            </w:r>
            <w:r w:rsidR="00DF0089">
              <w:fldChar w:fldCharType="end"/>
            </w:r>
          </w:p>
        </w:tc>
      </w:tr>
      <w:tr w:rsidR="005A3022" w14:paraId="70442BB5" w14:textId="77777777" w:rsidTr="58546FE3">
        <w:tc>
          <w:tcPr>
            <w:tcW w:w="1666" w:type="dxa"/>
          </w:tcPr>
          <w:p w14:paraId="29EEA693" w14:textId="07CAC4B8" w:rsidR="005A3022" w:rsidRDefault="005A3022" w:rsidP="00662F5C">
            <w:r>
              <w:t>RCP</w:t>
            </w:r>
          </w:p>
        </w:tc>
        <w:tc>
          <w:tcPr>
            <w:tcW w:w="3770" w:type="dxa"/>
          </w:tcPr>
          <w:p w14:paraId="43793131" w14:textId="6F483FA7" w:rsidR="005A3022" w:rsidRDefault="005A3022" w:rsidP="00662F5C">
            <w:r>
              <w:t>Representative Concentration Pathway</w:t>
            </w:r>
          </w:p>
        </w:tc>
        <w:tc>
          <w:tcPr>
            <w:tcW w:w="3914" w:type="dxa"/>
          </w:tcPr>
          <w:p w14:paraId="1B60EBD6" w14:textId="4F982A7F" w:rsidR="005A3022" w:rsidRDefault="00745AC7" w:rsidP="00662F5C">
            <w:r>
              <w:t>Greenhouse gas concentration trajector</w:t>
            </w:r>
            <w:r w:rsidR="0065311D">
              <w:t>ies</w:t>
            </w:r>
            <w:r w:rsidR="00957476">
              <w:t xml:space="preserve"> </w:t>
            </w:r>
            <w:r w:rsidR="00E97671">
              <w:t>formally adopted by the IPCC</w:t>
            </w:r>
            <w:r w:rsidR="001E58FA">
              <w:t xml:space="preserve"> </w:t>
            </w:r>
            <w:r w:rsidR="005C4101">
              <w:fldChar w:fldCharType="begin"/>
            </w:r>
            <w:r w:rsidR="005C4101">
              <w:instrText xml:space="preserve"> ADDIN ZOTERO_ITEM CSL_CITATION {"citationID":"glGMIfZm","properties":{"formattedCitation":"(van Vuuren et al., 2011)","plainCitation":"(van Vuuren et al., 2011)","noteIndex":0},"citationItems":[{"id":1294,"uris":["http://zotero.org/users/11614317/items/6S4TXXGK"],"itemData":{"id":1294,"type":"article-journal","abstract":"This paper summarizes the development process and main characteristics of the Representative Concentration Pathways (RCPs), a set of four new pathways developed for the climate modeling community as a basis for long-term and near-term modeling experiments. The four RCPs together span the range of year 2100 radiative forcing values found in the open literature, i.e. from 2.6 to 8.5 W/m2. The RCPs are the product of an innovative collaboration between integrated assessment modelers, climate modelers, terrestrial ecosystem modelers and emission inventory experts. The resulting product forms a comprehensive data set with high spatial and sectoral resolutions for the period extending to 2100. Land use and emissions of air pollutants and greenhouse gases are reported mostly at a 0.5</w:instrText>
            </w:r>
            <w:r w:rsidR="005C4101">
              <w:rPr>
                <w:rFonts w:ascii="Arial" w:hAnsi="Arial" w:cs="Arial"/>
              </w:rPr>
              <w:instrText> </w:instrText>
            </w:r>
            <w:r w:rsidR="005C4101">
              <w:rPr>
                <w:rFonts w:ascii="Aptos" w:hAnsi="Aptos" w:cs="Aptos"/>
              </w:rPr>
              <w:instrText>×</w:instrText>
            </w:r>
            <w:r w:rsidR="005C4101">
              <w:rPr>
                <w:rFonts w:ascii="Arial" w:hAnsi="Arial" w:cs="Arial"/>
              </w:rPr>
              <w:instrText> </w:instrText>
            </w:r>
            <w:r w:rsidR="005C4101">
              <w:instrText xml:space="preserve">0.5 degree spatial resolution, with air pollutants also provided per sector (for well-mixed gases, a coarser resolution is used). The underlying integrated assessment model outputs for land use, atmospheric emissions and concentration data were harmonized across models and scenarios to ensure consistency with historical observations while preserving individual scenario trends. For most variables, the RCPs cover a wide range of the existing literature. The RCPs are supplemented with extensions (Extended Concentration Pathways, ECPs), which allow climate modeling experiments through the year 2300. The RCPs are an important development in climate research and provide a potential foundation for further research and assessment, including emissions mitigation and impact analysis.","container-title":"Climatic Change","DOI":"10.1007/s10584-011-0148-z","ISSN":"1573-1480","issue":"1","journalAbbreviation":"Climatic Change","language":"en","page":"5","source":"Springer Link","title":"The representative concentration pathways: an overview","title-short":"The representative concentration pathways","volume":"109","author":[{"family":"Vuuren","given":"Detlef P.","non-dropping-particle":"van"},{"family":"Edmonds","given":"Jae"},{"family":"Kainuma","given":"Mikiko"},{"family":"Riahi","given":"Keywan"},{"family":"Thomson","given":"Allison"},{"family":"Hibbard","given":"Kathy"},{"family":"Hurtt","given":"George C."},{"family":"Kram","given":"Tom"},{"family":"Krey","given":"Volker"},{"family":"Lamarque","given":"Jean-Francois"},{"family":"Masui","given":"Toshihiko"},{"family":"Meinshausen","given":"Malte"},{"family":"Nakicenovic","given":"Nebojsa"},{"family":"Smith","given":"Steven J."},{"family":"Rose","given":"Steven K."}],"issued":{"date-parts":[["2011",8,5]]}}}],"schema":"https://github.com/citation-style-language/schema/raw/master/csl-citation.json"} </w:instrText>
            </w:r>
            <w:r w:rsidR="005C4101">
              <w:fldChar w:fldCharType="separate"/>
            </w:r>
            <w:r w:rsidR="005C4101" w:rsidRPr="005C4101">
              <w:rPr>
                <w:rFonts w:ascii="Aptos" w:hAnsi="Aptos"/>
              </w:rPr>
              <w:t>(van Vuuren et al., 2011)</w:t>
            </w:r>
            <w:r w:rsidR="005C4101">
              <w:fldChar w:fldCharType="end"/>
            </w:r>
          </w:p>
        </w:tc>
      </w:tr>
      <w:tr w:rsidR="006C43B8" w:rsidRPr="00102847" w14:paraId="6581A50B" w14:textId="77777777" w:rsidTr="58546FE3">
        <w:tc>
          <w:tcPr>
            <w:tcW w:w="1666" w:type="dxa"/>
          </w:tcPr>
          <w:p w14:paraId="2473C1C8" w14:textId="77777777" w:rsidR="006C43B8" w:rsidRDefault="006C43B8" w:rsidP="00662F5C">
            <w:r>
              <w:t>SSP</w:t>
            </w:r>
          </w:p>
        </w:tc>
        <w:tc>
          <w:tcPr>
            <w:tcW w:w="3770" w:type="dxa"/>
          </w:tcPr>
          <w:p w14:paraId="07DDD367" w14:textId="77777777" w:rsidR="006C43B8" w:rsidRDefault="006C43B8" w:rsidP="00662F5C">
            <w:r>
              <w:t>Shared Socio-economic Pathway</w:t>
            </w:r>
          </w:p>
        </w:tc>
        <w:tc>
          <w:tcPr>
            <w:tcW w:w="3914" w:type="dxa"/>
          </w:tcPr>
          <w:p w14:paraId="7E823D96" w14:textId="20622FD5" w:rsidR="006C43B8" w:rsidRPr="00010D4E" w:rsidRDefault="006C43B8" w:rsidP="006E5FAC">
            <w:pPr>
              <w:rPr>
                <w:lang w:val="en-US"/>
              </w:rPr>
            </w:pPr>
            <w:r>
              <w:t xml:space="preserve">Scenarios describing </w:t>
            </w:r>
            <w:r w:rsidRPr="00363F28">
              <w:t>soci</w:t>
            </w:r>
            <w:r>
              <w:t xml:space="preserve">al, </w:t>
            </w:r>
            <w:r w:rsidRPr="00363F28">
              <w:t xml:space="preserve">economic </w:t>
            </w:r>
            <w:r>
              <w:t xml:space="preserve">and technological </w:t>
            </w:r>
            <w:r w:rsidRPr="00363F28">
              <w:t xml:space="preserve">global changes </w:t>
            </w:r>
            <w:r>
              <w:t>until 2100,</w:t>
            </w:r>
            <w:r w:rsidRPr="00363F28">
              <w:t xml:space="preserve"> defined in IPCC</w:t>
            </w:r>
            <w:r>
              <w:t>’s</w:t>
            </w:r>
            <w:r w:rsidRPr="00363F28">
              <w:t xml:space="preserve"> Sixth </w:t>
            </w:r>
            <w:r w:rsidRPr="00363F28">
              <w:lastRenderedPageBreak/>
              <w:t>Assessment Report</w:t>
            </w:r>
            <w:r w:rsidR="006E5FAC" w:rsidRPr="00010D4E">
              <w:rPr>
                <w:lang w:val="en-US"/>
              </w:rPr>
              <w:t xml:space="preserve"> </w:t>
            </w:r>
            <w:r w:rsidR="00DF0089">
              <w:fldChar w:fldCharType="begin"/>
            </w:r>
            <w:r w:rsidR="008528AE" w:rsidRPr="00010D4E">
              <w:rPr>
                <w:lang w:val="en-US"/>
              </w:rPr>
              <w:instrText xml:space="preserve"> ADDIN ZOTERO_ITEM CSL_CITATION {"citationID":"b2p6ddqE","properties":{"formattedCitation":"(Chen et al., 2021; Riahi et al., 2017)","plainCitation":"(Chen et al., 2021; Riahi et al., 2017)","noteIndex":0},"citationItems":[{"id":241,"uris":["http://zotero.org/users/11614317/items/V6S94HKE"],"itemData":{"id":241,"type":"chapter","container-title":"Contribution of Working Group I to the Sixth Assessment Report of the Intergovernmental Panel on Climate Change (IPCC AR6): The Phycial Science Basis.","event-place":"Cambridge","note":"Editors: Masson-Delmotte, V., P. Zhai, A. Pirani, S.L. Connors, C. Péan, S. Berger, N. Caud, Y. Chen, L. Goldfarb, M.I. Gomis, M. Huang, K. Leitzell, E. Lonnoy, J.B.R. Matthews, T.K. Maycock, T. Waterfield, O. Yelekçi, R. Yu, and B. Zhou","publisher":"Cambridge University Press","publisher-place":"Cambridge","title":"Chapter 1.6: Dimensions of Integration: Scenarios, Global Warming Levels and Cumulative Carbon Emissions","title-short":"IPCC AR6 (The Physical Science BAsis) Chapter 1.6","author":[{"family":"Chen","given":"D."},{"family":"Rojas","given":"M."},{"family":"Samset","given":"B.H."},{"family":"Cobb","given":"K."},{"family":"Diongue Niang","given":"A."},{"family":"Edwards","given":"P."},{"family":"Emori","given":"S."},{"family":"Faria","given":"S.H."},{"famil</w:instrText>
            </w:r>
            <w:r w:rsidR="008528AE">
              <w:rPr>
                <w:lang w:val="fi-FI"/>
              </w:rPr>
              <w:instrText>y":"Hawkins","given":"E."},{"family":"Hope","given":"P."},{"family":"Huybrechts","given":"P."},{"family":"Meinshausen","given":"M."},{"family":"Mustafa","given":"S.K."},{"family":"Plattner","given":"G.-K."},{"family":"Tréguier","given":"A.-M."}],"issued":{"date-parts":[["2021"]]}}},{"id":377,"uris":["http://zotero.org/users/11614317/items/NNER7SVG"],"itemData":{"id":377,"type":"article-journal","abstract":"This paper presents the overview of the Shared Socioeconomic Pathways (SSPs) and their energy, land use, and emissions implications. The SSPs are part of a new scenario framework, established by the climate change research community in order to facilitate the integrated analysis of future climate impacts, vulnerabilities, adaptation, and mitigation. The pathways were developed over the last years as a joint community effort and describe plausible major global developments that together would lead in the future to different challenges for mitigation and adaptation to climate change. The SSPs are based on five narratives describing alternative socio-economic developments, including sustainable development, regional rivalry, inequality, fossil-fueled development, and middle-of-the-road development. The long-term demographic and economic projections of the SSPs depict a wide uncertainty range consistent with the scenario literature. A multi-model approach was used for the elaboration of the energy, land-use and the emissions trajectories of SSP-based scenarios. The baseline scenarios lead to global energy consumption of 400–1200 EJ in 2100, and feature vastly different land-use dynamics, ranging from a possible reduction in cropland area up to a massive expansion by more than 700 million hectares by 2100. The associated annual CO2 emissions of the baseline scenarios range from about 25 GtCO2 to more than 120 GtCO2 per year by 2100. With respect to mitigation, we find that associated costs strongly depend on three factors: (1) the policy assumptions, (2) the socio-economic narrative, and (3) the stringency of the target. The carbon price for reaching the target of 2.6 W/m2 that is consistent with a temperature change limit of 2 °C, differs in our analysis thus by about a factor of three across the SSP marker scenarios. Moreover, many models could not reach this target from the SSPs with high mitigation challenges. While the SSPs were designed to represent different mitigation and adaptation challenges, the resulting narratives and quantifications span a wide range of different futures broadly representative of the current literature. This allows their subsequent use and development in new assessments and research projects. Critical next steps for the community scenario process will, among others, involve regional and sectoral extensions, further elaboration of the adaptation and impacts dimension, as well as employing the SSP scenarios with the new generation of earth system models as part of the 6th climate model intercomparison project (CMIP6).","container-title":"Global Environmental Change","DOI":"10.1016/J.GLOENVCHA.2016.05.009","ISSN":"0959-3780","note":"publisher: Pergamon","page":"153-168","title":"The Shared Socioeconomic Pathways and their energy, land use, and greenhouse gas emissions implications: An overview","volume":"42","author":[{"family":"Riahi","given":"Keywan"},{"family":"Vuuren","given":"Detlef P.","non-dropping-particle":"van"},{"family":"Kriegler","given":"Elmar"},{"family":"Edmonds","given":"Jae"},{"family":"O'Neill","given":"Brian C."},{"family":"Fujimori","given":"Shinichiro"},{"family":"Bauer","given":"Nico"},{"family":"Calvin","given":"Katherine"},{"family":"Dellink","given":"Rob"},{"family":"Fricko","given":"Oliver"},{"family":"Lutz","give</w:instrText>
            </w:r>
            <w:r w:rsidR="008528AE" w:rsidRPr="00010D4E">
              <w:rPr>
                <w:lang w:val="en-US"/>
              </w:rPr>
              <w:instrText xml:space="preserve">n":"Wolfgang"},{"family":"Popp","given":"Alexander"},{"family":"Cuaresma","given":"Jesus Crespo"},{"family":"KC","given":"Samir"},{"family":"Leimbach","given":"Marian"},{"family":"Jiang","given":"Leiwen"},{"family":"Kram","given":"Tom"},{"family":"Rao","given":"Shilpa"},{"family":"Emmerling","given":"Johannes"},{"family":"Ebi","given":"Kristie"},{"family":"Hasegawa","given":"Tomoko"},{"family":"Havlik","given":"Petr"},{"family":"Humpenöder","given":"Florian"},{"family":"Da Silva","given":"Lara Aleluia"},{"family":"Smith","given":"Steve"},{"family":"Stehfest","given":"Elke"},{"family":"Bosetti","given":"Valentina"},{"family":"Eom","given":"Jiyong"},{"family":"Gernaat","given":"David"},{"family":"Masui","given":"Toshihiko"},{"family":"Rogelj","given":"Joeri"},{"family":"Strefler","given":"Jessica"},{"family":"Drouet","given":"Laurent"},{"family":"Krey","given":"Volker"},{"family":"Luderer","given":"Gunnar"},{"family":"Harmsen","given":"Mathijs"},{"family":"Takahashi","given":"Kiyoshi"},{"family":"Baumstark","given":"Lavinia"},{"family":"Doelman","given":"Jonathan C."},{"family":"Kainuma","given":"Mikiko"},{"family":"Klimont","given":"Zbigniew"},{"family":"Marangoni","given":"Giacomo"},{"family":"Lotze-Campen","given":"Hermann"},{"family":"Obersteiner","given":"Michael"},{"family":"Tabeau","given":"Andrzej"},{"family":"Tavoni","given":"Massimo"}],"issued":{"date-parts":[["2017",1,1]]}}}],"schema":"https://github.com/citation-style-language/schema/raw/master/csl-citation.json"} </w:instrText>
            </w:r>
            <w:r w:rsidR="00DF0089">
              <w:fldChar w:fldCharType="separate"/>
            </w:r>
            <w:r w:rsidR="008528AE" w:rsidRPr="008528AE">
              <w:rPr>
                <w:rFonts w:ascii="Aptos" w:hAnsi="Aptos"/>
              </w:rPr>
              <w:t>(Chen et al., 2021; Riahi et al., 2017)</w:t>
            </w:r>
            <w:r w:rsidR="00DF0089">
              <w:fldChar w:fldCharType="end"/>
            </w:r>
          </w:p>
        </w:tc>
      </w:tr>
      <w:tr w:rsidR="006C43B8" w:rsidRPr="00301D69" w14:paraId="21E305DD" w14:textId="77777777" w:rsidTr="58546FE3">
        <w:tc>
          <w:tcPr>
            <w:tcW w:w="1666" w:type="dxa"/>
          </w:tcPr>
          <w:p w14:paraId="39A57315" w14:textId="77777777" w:rsidR="006C43B8" w:rsidRDefault="006C43B8" w:rsidP="00662F5C">
            <w:r>
              <w:t>SSP2</w:t>
            </w:r>
          </w:p>
        </w:tc>
        <w:tc>
          <w:tcPr>
            <w:tcW w:w="3770" w:type="dxa"/>
          </w:tcPr>
          <w:p w14:paraId="1B3CCF89" w14:textId="77777777" w:rsidR="006C43B8" w:rsidRDefault="006C43B8" w:rsidP="00662F5C">
            <w:r>
              <w:t>Shared Socio-economic Pathway 2</w:t>
            </w:r>
          </w:p>
        </w:tc>
        <w:tc>
          <w:tcPr>
            <w:tcW w:w="3914" w:type="dxa"/>
          </w:tcPr>
          <w:p w14:paraId="06F28B9F" w14:textId="7BECD1DA" w:rsidR="006C43B8" w:rsidRDefault="006C43B8" w:rsidP="00662F5C">
            <w:r>
              <w:t xml:space="preserve">Scenario with many socio-economic dimensions that describe a “Middle of the Road” or “Business as Usual” story of the future </w:t>
            </w:r>
            <w:r w:rsidR="00DF0089">
              <w:fldChar w:fldCharType="begin"/>
            </w:r>
            <w:r w:rsidR="00CC33DA">
              <w:instrText xml:space="preserve"> ADDIN ZOTERO_ITEM CSL_CITATION {"citationID":"kEjm6Md3","properties":{"formattedCitation":"(Riahi et al., 2017)","plainCitation":"(Riahi et al., 2017)","noteIndex":0},"citationItems":[{"id":377,"uris":["http://zotero.org/users/11614317/items/NNER7SVG"],"itemData":{"id":377,"type":"article-journal","abstract":"This paper presents the overview of the Shared Socioeconomic Pathways (SSPs) and their energy, land use, and emissions implications. The SSPs are part of a new scenario framework, established by the climate change research community in order to facilitate the integrated analysis of future climate impacts, vulnerabilities, adaptation, and mitigation. The pathways were developed over the last years as a joint community effort and describe plausible major global developments that together would lead in the future to different challenges for mitigation and adaptation to climate change. The SSPs are based on five narratives describing alternative socio-economic developments, including sustainable development, regional rivalry, inequality, fossil-fueled development, and middle-of-the-road development. The long-term demographic and economic projections of the SSPs depict a wide uncertainty range consistent with the scenario literature. A multi-model approach was used for the elaboration of the energy, land-use and the emissions trajectories of SSP-based scenarios. The baseline scenarios lead to global energy consumption of 400–1200 EJ in 2100, and feature vastly different land-use dynamics, ranging from a possible reduction in cropland area up to a massive expansion by more than 700 million hectares by 2100. The associated annual CO2 emissions of the baseline scenarios range from about 25 GtCO2 to more than 120 GtCO2 per year by 2100. With respect to mitigation, we find that associated costs strongly depend on three factors: (1) the policy assumptions, (2) the socio-economic narrative, and (3) the stringency of the target. The carbon price for reaching the target of 2.6 W/m2 that is consistent with a temperature change limit of 2 °C, differs in our analysis thus by about a factor of three across the SSP marker scenarios. Moreover, many models could not reach this target from the SSPs with high mitigation challenges. While the SSPs were designed to represent different mitigation and adaptation challenges, the resulting narratives and quantifications span a wide range of different futures broadly representative of the current literature. This allows their subsequent use and development in new assessments and research projects. Critical next steps for the community scenario process will, among others, involve regional and sectoral extensions, further elaboration of the adaptation and impacts dimension, as well as employing the SSP scenarios with the new generation of earth system models as part of the 6th climate model intercomparison project (CMIP6).","container-title":"Global Environmental Change","DOI":"10.1016/J.GLOENVCHA.2016.05.009","ISSN":"0959-3780","note":"publisher: Pergamon","page":"153-168","title":"The Shared Socioeconomic Pathways and their energy, land use, and greenhouse gas emissions implications: An overview","volume":"42","author":[{"family":"Riahi","given":"Keywan"},{"family":"Vuuren","given":"Detlef P.","non-dropping-particle":"van"},{"family":"Kriegler","given":"Elmar"},{"family":"Edmonds","given":"Jae"},{"family":"O'Neill","given":"Brian C."},{"family":"Fujimori","given":"Shinichiro"},{"family":"Bauer","given":"Nico"},{"family":"Calvin","given":"Katherine"},{"family":"Dellink","given":"Rob"},{"family":"Fricko","given":"Oliver"},{"family":"Lutz","given":"Wolfgang"},{"family":"Popp","given":"Alexander"},{"family":"Cuaresma","given":"Jesus Crespo"},{"family":"KC","given":"Samir"},{"family":"Leimbach","given":"Marian"},{"family":"Jiang","given":"Leiwen"},{"family":"Kram","given":"Tom"},{"family":"Rao","given":"Shilpa"},{"family":"Emmerling","given":"Johannes"},{"family":"Ebi","given":"Kristie"},{"family":"Hasegawa","given":"Tomoko"},{"family":"Havlik","given":"Petr"},{"family":"Humpenöder","given":"Florian"},{"family":"Da Silva","given":"Lara Aleluia"},{"family":"Smith","given":"Steve"},{"family":"Stehfest","given":"Elke"},{"family":"Bosetti","given":"Valentina"},{"family":"Eom","given":"Jiyong"},{"family":"Gernaat","given":"David"},{"family":"Masui","given":"Toshihiko"},{"family":"Rogelj","given":"Joeri"},{"family":"Strefler","given":"Jessica"},{"family":"Drouet","given":"Laurent"},{"family":"Krey","given":"Volker"},{"family":"Luderer","given":"Gunnar"},{"family":"Harmsen","given":"Mathijs"},{"family":"Takahashi","given":"Kiyoshi"},{"family":"Baumstark","given":"Lavinia"},{"family":"Doelman","given":"Jonathan C."},{"family":"Kainuma","given":"Mikiko"},{"family":"Klimont","given":"Zbigniew"},{"family":"Marangoni","given":"Giacomo"},{"family":"Lotze-Campen","given":"Hermann"},{"family":"Obersteiner","given":"Michael"},{"family":"Tabeau","given":"Andrzej"},{"family":"Tavoni","given":"Massimo"}],"issued":{"date-parts":[["2017",1,1]]}}}],"schema":"https://github.com/citation-style-language/schema/raw/master/csl-citation.json"} </w:instrText>
            </w:r>
            <w:r w:rsidR="00DF0089">
              <w:fldChar w:fldCharType="separate"/>
            </w:r>
            <w:r w:rsidR="00CC33DA" w:rsidRPr="00CC33DA">
              <w:rPr>
                <w:rFonts w:ascii="Aptos" w:hAnsi="Aptos"/>
              </w:rPr>
              <w:t>(Riahi et al., 2017)</w:t>
            </w:r>
            <w:r w:rsidR="00DF0089">
              <w:fldChar w:fldCharType="end"/>
            </w:r>
            <w:r w:rsidR="2CB3EB91">
              <w:t>.</w:t>
            </w:r>
          </w:p>
        </w:tc>
      </w:tr>
      <w:tr w:rsidR="006C43B8" w:rsidRPr="00301D69" w14:paraId="1F2ABCA8" w14:textId="77777777" w:rsidTr="58546FE3">
        <w:tc>
          <w:tcPr>
            <w:tcW w:w="1666" w:type="dxa"/>
          </w:tcPr>
          <w:p w14:paraId="1D64C47B" w14:textId="77777777" w:rsidR="006C43B8" w:rsidRDefault="006C43B8" w:rsidP="00662F5C">
            <w:r>
              <w:t>SSP1</w:t>
            </w:r>
          </w:p>
        </w:tc>
        <w:tc>
          <w:tcPr>
            <w:tcW w:w="3770" w:type="dxa"/>
          </w:tcPr>
          <w:p w14:paraId="3DD26A51" w14:textId="77777777" w:rsidR="006C43B8" w:rsidRDefault="006C43B8" w:rsidP="00662F5C">
            <w:r>
              <w:t>Shared Socio-economic Pathway 1</w:t>
            </w:r>
          </w:p>
        </w:tc>
        <w:tc>
          <w:tcPr>
            <w:tcW w:w="3914" w:type="dxa"/>
          </w:tcPr>
          <w:p w14:paraId="4C4571C7" w14:textId="2A5D07AC" w:rsidR="006C43B8" w:rsidRDefault="006C43B8" w:rsidP="00662F5C">
            <w:r>
              <w:t xml:space="preserve">Scenario with many socio-economic dimensions that describe a “Green Road” or “Sustainability-oriented” story of the future </w:t>
            </w:r>
            <w:r w:rsidR="00DF0089">
              <w:fldChar w:fldCharType="begin"/>
            </w:r>
            <w:r w:rsidR="00CC33DA">
              <w:instrText xml:space="preserve"> ADDIN ZOTERO_ITEM CSL_CITATION {"citationID":"aUu6aD0i","properties":{"formattedCitation":"(Riahi et al., 2017)","plainCitation":"(Riahi et al., 2017)","noteIndex":0},"citationItems":[{"id":377,"uris":["http://zotero.org/users/11614317/items/NNER7SVG"],"itemData":{"id":377,"type":"article-journal","abstract":"This paper presents the overview of the Shared Socioeconomic Pathways (SSPs) and their energy, land use, and emissions implications. The SSPs are part of a new scenario framework, established by the climate change research community in order to facilitate the integrated analysis of future climate impacts, vulnerabilities, adaptation, and mitigation. The pathways were developed over the last years as a joint community effort and describe plausible major global developments that together would lead in the future to different challenges for mitigation and adaptation to climate change. The SSPs are based on five narratives describing alternative socio-economic developments, including sustainable development, regional rivalry, inequality, fossil-fueled development, and middle-of-the-road development. The long-term demographic and economic projections of the SSPs depict a wide uncertainty range consistent with the scenario literature. A multi-model approach was used for the elaboration of the energy, land-use and the emissions trajectories of SSP-based scenarios. The baseline scenarios lead to global energy consumption of 400–1200 EJ in 2100, and feature vastly different land-use dynamics, ranging from a possible reduction in cropland area up to a massive expansion by more than 700 million hectares by 2100. The associated annual CO2 emissions of the baseline scenarios range from about 25 GtCO2 to more than 120 GtCO2 per year by 2100. With respect to mitigation, we find that associated costs strongly depend on three factors: (1) the policy assumptions, (2) the socio-economic narrative, and (3) the stringency of the target. The carbon price for reaching the target of 2.6 W/m2 that is consistent with a temperature change limit of 2 °C, differs in our analysis thus by about a factor of three across the SSP marker scenarios. Moreover, many models could not reach this target from the SSPs with high mitigation challenges. While the SSPs were designed to represent different mitigation and adaptation challenges, the resulting narratives and quantifications span a wide range of different futures broadly representative of the current literature. This allows their subsequent use and development in new assessments and research projects. Critical next steps for the community scenario process will, among others, involve regional and sectoral extensions, further elaboration of the adaptation and impacts dimension, as well as employing the SSP scenarios with the new generation of earth system models as part of the 6th climate model intercomparison project (CMIP6).","container-title":"Global Environmental Change","DOI":"10.1016/J.GLOENVCHA.2016.05.009","ISSN":"0959-3780","note":"publisher: Pergamon","page":"153-168","title":"The Shared Socioeconomic Pathways and their energy, land use, and greenhouse gas emissions implications: An overview","volume":"42","author":[{"family":"Riahi","given":"Keywan"},{"family":"Vuuren","given":"Detlef P.","non-dropping-particle":"van"},{"family":"Kriegler","given":"Elmar"},{"family":"Edmonds","given":"Jae"},{"family":"O'Neill","given":"Brian C."},{"family":"Fujimori","given":"Shinichiro"},{"family":"Bauer","given":"Nico"},{"family":"Calvin","given":"Katherine"},{"family":"Dellink","given":"Rob"},{"family":"Fricko","given":"Oliver"},{"family":"Lutz","given":"Wolfgang"},{"family":"Popp","given":"Alexander"},{"family":"Cuaresma","given":"Jesus Crespo"},{"family":"KC","given":"Samir"},{"family":"Leimbach","given":"Marian"},{"family":"Jiang","given":"Leiwen"},{"family":"Kram","given":"Tom"},{"family":"Rao","given":"Shilpa"},{"family":"Emmerling","given":"Johannes"},{"family":"Ebi","given":"Kristie"},{"family":"Hasegawa","given":"Tomoko"},{"family":"Havlik","given":"Petr"},{"family":"Humpenöder","given":"Florian"},{"family":"Da Silva","given":"Lara Aleluia"},{"family":"Smith","given":"Steve"},{"family":"Stehfest","given":"Elke"},{"family":"Bosetti","given":"Valentina"},{"family":"Eom","given":"Jiyong"},{"family":"Gernaat","given":"David"},{"family":"Masui","given":"Toshihiko"},{"family":"Rogelj","given":"Joeri"},{"family":"Strefler","given":"Jessica"},{"family":"Drouet","given":"Laurent"},{"family":"Krey","given":"Volker"},{"family":"Luderer","given":"Gunnar"},{"family":"Harmsen","given":"Mathijs"},{"family":"Takahashi","given":"Kiyoshi"},{"family":"Baumstark","given":"Lavinia"},{"family":"Doelman","given":"Jonathan C."},{"family":"Kainuma","given":"Mikiko"},{"family":"Klimont","given":"Zbigniew"},{"family":"Marangoni","given":"Giacomo"},{"family":"Lotze-Campen","given":"Hermann"},{"family":"Obersteiner","given":"Michael"},{"family":"Tabeau","given":"Andrzej"},{"family":"Tavoni","given":"Massimo"}],"issued":{"date-parts":[["2017",1,1]]}}}],"schema":"https://github.com/citation-style-language/schema/raw/master/csl-citation.json"} </w:instrText>
            </w:r>
            <w:r w:rsidR="00DF0089">
              <w:fldChar w:fldCharType="separate"/>
            </w:r>
            <w:r w:rsidR="00CC33DA" w:rsidRPr="00CC33DA">
              <w:rPr>
                <w:rFonts w:ascii="Aptos" w:hAnsi="Aptos"/>
              </w:rPr>
              <w:t>(Riahi et al., 2017)</w:t>
            </w:r>
            <w:r w:rsidR="00DF0089">
              <w:fldChar w:fldCharType="end"/>
            </w:r>
            <w:r w:rsidR="2D0E7124">
              <w:t>.</w:t>
            </w:r>
          </w:p>
        </w:tc>
      </w:tr>
      <w:tr w:rsidR="006C43B8" w14:paraId="5F79ABCC" w14:textId="77777777" w:rsidTr="58546FE3">
        <w:tc>
          <w:tcPr>
            <w:tcW w:w="1666" w:type="dxa"/>
          </w:tcPr>
          <w:p w14:paraId="459438F2" w14:textId="77777777" w:rsidR="006C43B8" w:rsidRDefault="006C43B8" w:rsidP="00662F5C">
            <w:r>
              <w:t>SuCCESs</w:t>
            </w:r>
          </w:p>
        </w:tc>
        <w:tc>
          <w:tcPr>
            <w:tcW w:w="3770" w:type="dxa"/>
          </w:tcPr>
          <w:p w14:paraId="6259736E" w14:textId="77777777" w:rsidR="006C43B8" w:rsidRDefault="006C43B8" w:rsidP="00662F5C">
            <w:r w:rsidRPr="00FF7F69">
              <w:t xml:space="preserve">Sustainable Climate Change </w:t>
            </w:r>
            <w:r>
              <w:t>m</w:t>
            </w:r>
            <w:r w:rsidRPr="00FF7F69">
              <w:t xml:space="preserve">itigation </w:t>
            </w:r>
            <w:r>
              <w:t>s</w:t>
            </w:r>
            <w:r w:rsidRPr="00FF7F69">
              <w:t>trategies in Energy-</w:t>
            </w:r>
            <w:r>
              <w:t>l</w:t>
            </w:r>
            <w:r w:rsidRPr="00FF7F69">
              <w:t>and-</w:t>
            </w:r>
            <w:r>
              <w:t>m</w:t>
            </w:r>
            <w:r w:rsidRPr="00FF7F69">
              <w:t>aterial Systems</w:t>
            </w:r>
          </w:p>
        </w:tc>
        <w:tc>
          <w:tcPr>
            <w:tcW w:w="3914" w:type="dxa"/>
          </w:tcPr>
          <w:p w14:paraId="1CAE22CC" w14:textId="15364B8D" w:rsidR="006C43B8" w:rsidRDefault="006C43B8" w:rsidP="00662F5C">
            <w:r>
              <w:t xml:space="preserve">Integrated assessment model used in this study </w:t>
            </w:r>
            <w:r w:rsidR="00DF0089">
              <w:fldChar w:fldCharType="begin"/>
            </w:r>
            <w:r w:rsidR="00CC33DA">
              <w:instrText xml:space="preserve"> ADDIN ZOTERO_ITEM CSL_CITATION {"citationID":"fUSPCFyF","properties":{"formattedCitation":"(Ekholm et al., 2024a)","plainCitation":"(Ekholm et al., 2024a)","noteIndex":0},"citationItems":[{"id":1138,"uris":["http://zotero.org/users/11614317/items/IGFIZAAG"],"itemData":{"id":1138,"type":"article-journal","abstract":"&lt;p&gt;&lt;strong class=\"journal-contentHeaderColor\"&gt;Abstract.&lt;/strong&gt; SuCCESs is a bottom-up Integrated Assessment Model (IAM) that represents energy production and use, materials production, land-use and climate globally. The primary use-case for SuCCESs is to calculate long-term scenarios until 2100 that consider the interactions between these systems, for example the greenhouse gas emissions from energy, materials and land-use and their impact on climate change. The four systems are hard-linked in SuCCESs and scenarios are solved through intertemporal optimization by minimizing discounted system costs to satisfy projected demand and other constraints, e.g. climate targets. This yields a long-term equilibrium solution between the modelled systems. This article introduces the model logic and structure, describes the overall representation of each system, and provides an evaluation by comparing the scenarios produced by SuCCESs with different end-of-century radiative forcing targets to those from other IAMs. Towards this end, and to demonstrate the capability of SuCCESs for large-scale scenario exploration, we also conduct a sensitivity analysis employing Monte Carlo sampling with a 1000-member scenario ensemble for each radiative forcing target. Last, we discuss some practical aspects and different ways of using the model in long-term scenario analyses.&lt;/p&gt;","container-title":"Geoscientific Model Development Discussions","DOI":"10.5194/gmd-2024-196","language":"English","note":"publisher: Copernicus GmbH","page":"1-26","source":"gmd.copernicus.org","title":"SuCCESs &amp;ndash; a global IAM for exploring the interactions between energy, materials, land-use and climate systems in long-term scenarios (model version 2024-10-23)","author":[{"family":"Ekholm","given":"Tommi"},{"family":"Freistetter","given":"Nadine-Cyra"},{"family":"Mattlar","given":"Tuukka"},{"family":"Schaber","given":"Theresa"},{"family":"Rautiainen","given":"Aapo"}],"issued":{"date-parts":[["2024",10,29]]}}}],"schema":"https://github.com/citation-style-language/schema/raw/master/csl-citation.json"} </w:instrText>
            </w:r>
            <w:r w:rsidR="00DF0089">
              <w:fldChar w:fldCharType="separate"/>
            </w:r>
            <w:r w:rsidR="00CC33DA" w:rsidRPr="00CC33DA">
              <w:rPr>
                <w:rFonts w:ascii="Aptos" w:hAnsi="Aptos"/>
              </w:rPr>
              <w:t>(Ekholm et al., 2024a)</w:t>
            </w:r>
            <w:r w:rsidR="00DF0089">
              <w:fldChar w:fldCharType="end"/>
            </w:r>
            <w:r w:rsidR="08D2F49A">
              <w:t>.</w:t>
            </w:r>
          </w:p>
        </w:tc>
      </w:tr>
    </w:tbl>
    <w:p w14:paraId="3937749F" w14:textId="77777777" w:rsidR="006C43B8" w:rsidRDefault="006C43B8" w:rsidP="006C43B8"/>
    <w:p w14:paraId="1AF30004" w14:textId="77777777" w:rsidR="006C43B8" w:rsidRDefault="006C43B8" w:rsidP="008422B6"/>
    <w:p w14:paraId="11BDEB29" w14:textId="77777777" w:rsidR="002D301F" w:rsidRDefault="002D301F" w:rsidP="008422B6"/>
    <w:p w14:paraId="38B99100" w14:textId="41FC8305" w:rsidR="002D301F" w:rsidRDefault="002D301F">
      <w:r>
        <w:br w:type="page"/>
      </w:r>
    </w:p>
    <w:p w14:paraId="7C948C1A" w14:textId="19B12F32" w:rsidR="00A37CE4" w:rsidRDefault="00A37CE4" w:rsidP="002D301F">
      <w:pPr>
        <w:pStyle w:val="Heading1"/>
        <w:numPr>
          <w:ilvl w:val="0"/>
          <w:numId w:val="0"/>
        </w:numPr>
      </w:pPr>
      <w:bookmarkStart w:id="20" w:name="_Toc197023395"/>
      <w:r>
        <w:lastRenderedPageBreak/>
        <w:t>References in this document</w:t>
      </w:r>
      <w:bookmarkEnd w:id="20"/>
    </w:p>
    <w:p w14:paraId="04A4A851" w14:textId="77777777" w:rsidR="008500A2" w:rsidRPr="008500A2" w:rsidRDefault="00A37CE4" w:rsidP="008500A2">
      <w:pPr>
        <w:pStyle w:val="Bibliography"/>
        <w:rPr>
          <w:rFonts w:ascii="Aptos" w:hAnsi="Aptos"/>
        </w:rPr>
      </w:pPr>
      <w:r>
        <w:fldChar w:fldCharType="begin"/>
      </w:r>
      <w:r w:rsidR="008500A2">
        <w:instrText xml:space="preserve"> ADDIN ZOTERO_BIBL {"uncited":[],"omitted":[],"custom":[]} CSL_BIBLIOGRAPHY </w:instrText>
      </w:r>
      <w:r>
        <w:fldChar w:fldCharType="separate"/>
      </w:r>
      <w:r w:rsidR="008500A2" w:rsidRPr="008500A2">
        <w:rPr>
          <w:rFonts w:ascii="Aptos" w:hAnsi="Aptos"/>
        </w:rPr>
        <w:t>Andela, N., Morton, D.C., Giglio, L., Chen, Y., van der Werf, G.R., Kasibhatla, P.S., DeFries, R.S., Collatz, G.J., Hantson, S., Kloster, S., Bachelet, D., Forrest, M., Lasslop, G., Li, F., Mangeon, S., Melton, J.R., Yue, C., Randerson, J.T., 2017. A human-driven decline in global burned area. Science 356, 1356–1362. https://doi.org/10.1126/science.aal4108</w:t>
      </w:r>
    </w:p>
    <w:p w14:paraId="3BD9E7E5" w14:textId="77777777" w:rsidR="008500A2" w:rsidRPr="008500A2" w:rsidRDefault="008500A2" w:rsidP="008500A2">
      <w:pPr>
        <w:pStyle w:val="Bibliography"/>
        <w:rPr>
          <w:rFonts w:ascii="Aptos" w:hAnsi="Aptos"/>
        </w:rPr>
      </w:pPr>
      <w:r w:rsidRPr="008500A2">
        <w:rPr>
          <w:rFonts w:ascii="Aptos" w:hAnsi="Aptos"/>
        </w:rPr>
        <w:t>Chen, D., Rojas, M., Samset, B.H., Cobb, K., Diongue Niang, A., Edwards, P., Emori, S., Faria, S.H., Hawkins, E., Hope, P., Huybrechts, P., Meinshausen, M., Mustafa, S.K., Plattner, G.-K., Tréguier, A.-M., 2021. Chapter 1.6: Dimensions of Integration: Scenarios, Global Warming Levels and Cumulative Carbon Emissions, in: Contribution of Working Group I to the Sixth Assessment Report of the Intergovernmental Panel on Climate Change (IPCC AR6): The Phycial Science Basis. Cambridge University Press, Cambridge.</w:t>
      </w:r>
    </w:p>
    <w:p w14:paraId="31A20612" w14:textId="77777777" w:rsidR="008500A2" w:rsidRPr="008500A2" w:rsidRDefault="008500A2" w:rsidP="008500A2">
      <w:pPr>
        <w:pStyle w:val="Bibliography"/>
        <w:rPr>
          <w:rFonts w:ascii="Aptos" w:hAnsi="Aptos"/>
        </w:rPr>
      </w:pPr>
      <w:r w:rsidRPr="008500A2">
        <w:rPr>
          <w:rFonts w:ascii="Aptos" w:hAnsi="Aptos"/>
        </w:rPr>
        <w:t>Díaz, S., Zafra-Calvo, N., Purvis, A., Verburg, P.H., Obura, D., Leadley, P., Chaplin-Kramer, R., De Meester, L., Dulloo, E., Martín-López, B., Shaw, M.R., Visconti, P., Broadgate, W., Bruford, M.W., Burgess, N.D., Cavender-Bares, J., DeClerck, F., Fernández-Palacios, J.M., Garibaldi, L.A., Hill, S.L.L., Isbell, F., Khoury, C.K., Krug, C.B., Liu, J., Maron, M., McGowan, P.J.K., Pereira, H.M., Reyes-García, V., Rocha, J., Rondinini, C., Shannon, L., Shin, Y.-J., Snelgrove, P.V.R., Spehn, E.M., Strassburg, B., Subramanian, S.M., Tewksbury, J.J., Watson, J.E.M., Zanne, A.E., 2020. Set ambitious goals for biodiversity and sustainability. Science 370, 411–413. https://doi.org/10.1126/science.abe1530</w:t>
      </w:r>
    </w:p>
    <w:p w14:paraId="2FCFBE20" w14:textId="77777777" w:rsidR="008500A2" w:rsidRPr="008500A2" w:rsidRDefault="008500A2" w:rsidP="008500A2">
      <w:pPr>
        <w:pStyle w:val="Bibliography"/>
        <w:rPr>
          <w:rFonts w:ascii="Aptos" w:hAnsi="Aptos"/>
        </w:rPr>
      </w:pPr>
      <w:r w:rsidRPr="008500A2">
        <w:rPr>
          <w:rFonts w:ascii="Aptos" w:hAnsi="Aptos"/>
        </w:rPr>
        <w:t>Dietrich, J.P., 2019. MAgPIE 4.0 paper - evaluation documents. https://doi.org/10.5281/zenodo.2572581</w:t>
      </w:r>
    </w:p>
    <w:p w14:paraId="4FBDA671" w14:textId="77777777" w:rsidR="008500A2" w:rsidRPr="008500A2" w:rsidRDefault="008500A2" w:rsidP="008500A2">
      <w:pPr>
        <w:pStyle w:val="Bibliography"/>
        <w:rPr>
          <w:rFonts w:ascii="Aptos" w:hAnsi="Aptos"/>
        </w:rPr>
      </w:pPr>
      <w:r w:rsidRPr="008500A2">
        <w:rPr>
          <w:rFonts w:ascii="Aptos" w:hAnsi="Aptos"/>
        </w:rPr>
        <w:t>Dietrich, J.P., Bodirsky, B.L., Humpenöder, F., Weindl, I., Stevanović, M., Karstens, K., Kreidenweis, U., Wang, X., Mishra, A., Klein, D., Ambrósio, G., Araujo, E., Yalew, A.W., Baumstark, L., Wirth, S., Giannousakis, A., Beier, F., Meng-Chuen Chen, D., Lotze-Campen, H., Popp, A., 2019. MAgPIE 4-a modular open-source framework for modeling global land systems - Supplemental Material: Evaluation Documents (SSP2). Geoscientific Model Development 12, 1299–1317. https://doi.org/10.5194/GMD-12-1299-2019</w:t>
      </w:r>
    </w:p>
    <w:p w14:paraId="39A72E91" w14:textId="77777777" w:rsidR="008500A2" w:rsidRPr="008500A2" w:rsidRDefault="008500A2" w:rsidP="008500A2">
      <w:pPr>
        <w:pStyle w:val="Bibliography"/>
        <w:rPr>
          <w:rFonts w:ascii="Aptos" w:hAnsi="Aptos"/>
        </w:rPr>
      </w:pPr>
      <w:r w:rsidRPr="008500A2">
        <w:rPr>
          <w:rFonts w:ascii="Aptos" w:hAnsi="Aptos"/>
        </w:rPr>
        <w:t>Economist Impact &amp; Corteva Agriscience, 2022. Global Food Security Index.</w:t>
      </w:r>
    </w:p>
    <w:p w14:paraId="5DB251A2" w14:textId="77777777" w:rsidR="008500A2" w:rsidRPr="008500A2" w:rsidRDefault="008500A2" w:rsidP="008500A2">
      <w:pPr>
        <w:pStyle w:val="Bibliography"/>
        <w:rPr>
          <w:rFonts w:ascii="Aptos" w:hAnsi="Aptos"/>
        </w:rPr>
      </w:pPr>
      <w:r w:rsidRPr="008500A2">
        <w:rPr>
          <w:rFonts w:ascii="Aptos" w:hAnsi="Aptos"/>
        </w:rPr>
        <w:t>Ekholm, T., Freistetter, N.-C., Mattlar, T., Schaber, T., Rautiainen, A., 2024a. SuCCESs &amp;ndash; a global IAM for exploring the interactions between energy, materials, land-use and climate systems in long-term scenarios (model version 2024-10-23). Geoscientific Model Development Discussions 1–26. https://doi.org/10.5194/gmd-2024-196</w:t>
      </w:r>
    </w:p>
    <w:p w14:paraId="1CF28F57" w14:textId="77777777" w:rsidR="008500A2" w:rsidRPr="008500A2" w:rsidRDefault="008500A2" w:rsidP="008500A2">
      <w:pPr>
        <w:pStyle w:val="Bibliography"/>
        <w:rPr>
          <w:rFonts w:ascii="Aptos" w:hAnsi="Aptos"/>
        </w:rPr>
      </w:pPr>
      <w:r w:rsidRPr="008500A2">
        <w:rPr>
          <w:rFonts w:ascii="Aptos" w:hAnsi="Aptos"/>
        </w:rPr>
        <w:t>Ekholm, T., Freistetter, N.-C., Rautiainen, A., Thölix, L., 2024b. CLASH – Climate-responsive Land Allocation model with carbon Storage and Harvests. Geoscientific Model Development 17, 3041–3062. https://doi.org/10.5194/gmd-17-3041-2024</w:t>
      </w:r>
    </w:p>
    <w:p w14:paraId="2071CE21" w14:textId="77777777" w:rsidR="008500A2" w:rsidRPr="008500A2" w:rsidRDefault="008500A2" w:rsidP="008500A2">
      <w:pPr>
        <w:pStyle w:val="Bibliography"/>
        <w:rPr>
          <w:rFonts w:ascii="Aptos" w:hAnsi="Aptos"/>
        </w:rPr>
      </w:pPr>
      <w:r w:rsidRPr="008500A2">
        <w:rPr>
          <w:rFonts w:ascii="Aptos" w:hAnsi="Aptos"/>
        </w:rPr>
        <w:t>FAO, 2023a. FAOSTAT: Food Balances, Indicator: Food Supply (kcal/capita/day).</w:t>
      </w:r>
    </w:p>
    <w:p w14:paraId="48FD9371" w14:textId="77777777" w:rsidR="008500A2" w:rsidRPr="008500A2" w:rsidRDefault="008500A2" w:rsidP="008500A2">
      <w:pPr>
        <w:pStyle w:val="Bibliography"/>
        <w:rPr>
          <w:rFonts w:ascii="Aptos" w:hAnsi="Aptos"/>
        </w:rPr>
      </w:pPr>
      <w:r w:rsidRPr="008500A2">
        <w:rPr>
          <w:rFonts w:ascii="Aptos" w:hAnsi="Aptos"/>
        </w:rPr>
        <w:t>FAO, 2023b. FAOSTAT: Crops and livestock products.</w:t>
      </w:r>
    </w:p>
    <w:p w14:paraId="430E2C85" w14:textId="77777777" w:rsidR="008500A2" w:rsidRPr="008500A2" w:rsidRDefault="008500A2" w:rsidP="008500A2">
      <w:pPr>
        <w:pStyle w:val="Bibliography"/>
        <w:rPr>
          <w:rFonts w:ascii="Aptos" w:hAnsi="Aptos"/>
        </w:rPr>
      </w:pPr>
      <w:r w:rsidRPr="008500A2">
        <w:rPr>
          <w:rFonts w:ascii="Aptos" w:hAnsi="Aptos"/>
        </w:rPr>
        <w:t>FAO, 2021. Pulp and Paper Capacities Survey 2020-2025 (No. ISSN 2664-7508). Food and Agricultural Organization of the United Nations, Rome.</w:t>
      </w:r>
    </w:p>
    <w:p w14:paraId="11CEB553" w14:textId="77777777" w:rsidR="008500A2" w:rsidRPr="008500A2" w:rsidRDefault="008500A2" w:rsidP="008500A2">
      <w:pPr>
        <w:pStyle w:val="Bibliography"/>
        <w:rPr>
          <w:rFonts w:ascii="Aptos" w:hAnsi="Aptos"/>
        </w:rPr>
      </w:pPr>
      <w:r w:rsidRPr="008500A2">
        <w:rPr>
          <w:rFonts w:ascii="Aptos" w:hAnsi="Aptos"/>
        </w:rPr>
        <w:t>Gao, J., 2017. Downscaling Global Spatial Population Projections from 1/8-degree to 1-km Grid Cells. https://doi.org/10.5065/D60Z721H</w:t>
      </w:r>
    </w:p>
    <w:p w14:paraId="420EDDCF" w14:textId="77777777" w:rsidR="008500A2" w:rsidRPr="008500A2" w:rsidRDefault="008500A2" w:rsidP="008500A2">
      <w:pPr>
        <w:pStyle w:val="Bibliography"/>
        <w:rPr>
          <w:rFonts w:ascii="Aptos" w:hAnsi="Aptos"/>
        </w:rPr>
      </w:pPr>
      <w:r w:rsidRPr="008500A2">
        <w:rPr>
          <w:rFonts w:ascii="Aptos" w:hAnsi="Aptos"/>
        </w:rPr>
        <w:t xml:space="preserve">Hurtt, G.C., Chini, L., Sahajpal, R., Frolking, S., Bodirsky, B.L., Calvin, K., Doelman, J.C., Fisk, J., Fujimori, S., Klein Goldewijk, K., Hasegawa, T., Havlik, P., Heinimann, A., Humpenöder, F., Jungclaus, J., Kaplan, J.O., Kennedy, J., Krisztin, T., Lawrence, D., Lawrence, P., Ma, L., Mertz, O., Pongratz, J., Popp, A., Poulter, B., Riahi, K., Shevliakova, E., Stehfest, E., Thornton, P., Tubiello, F.N., van Vuuren, D.P., Zhang, X., 2020. Harmonization of global land use change </w:t>
      </w:r>
      <w:r w:rsidRPr="008500A2">
        <w:rPr>
          <w:rFonts w:ascii="Aptos" w:hAnsi="Aptos"/>
        </w:rPr>
        <w:lastRenderedPageBreak/>
        <w:t>and management for the period 850–2100 (LUH2) for CMIP6. Geoscientific Model Development 13, 5425–5464. https://doi.org/10.5194/gmd-13-5425-2020</w:t>
      </w:r>
    </w:p>
    <w:p w14:paraId="4F6031EE" w14:textId="77777777" w:rsidR="008500A2" w:rsidRPr="008500A2" w:rsidRDefault="008500A2" w:rsidP="008500A2">
      <w:pPr>
        <w:pStyle w:val="Bibliography"/>
        <w:rPr>
          <w:rFonts w:ascii="Aptos" w:hAnsi="Aptos"/>
        </w:rPr>
      </w:pPr>
      <w:r w:rsidRPr="008500A2">
        <w:rPr>
          <w:rFonts w:ascii="Aptos" w:hAnsi="Aptos"/>
        </w:rPr>
        <w:t>IIASA, 2024. SSP Scenario Explorer (SSP 3.0, Release March 2024).</w:t>
      </w:r>
    </w:p>
    <w:p w14:paraId="3868483C" w14:textId="77777777" w:rsidR="008500A2" w:rsidRPr="008500A2" w:rsidRDefault="008500A2" w:rsidP="008500A2">
      <w:pPr>
        <w:pStyle w:val="Bibliography"/>
        <w:rPr>
          <w:rFonts w:ascii="Aptos" w:hAnsi="Aptos"/>
        </w:rPr>
      </w:pPr>
      <w:r w:rsidRPr="008500A2">
        <w:rPr>
          <w:rFonts w:ascii="Aptos" w:hAnsi="Aptos"/>
        </w:rPr>
        <w:t>IIASA, 2018. SSP Database.</w:t>
      </w:r>
    </w:p>
    <w:p w14:paraId="13A7F84C" w14:textId="77777777" w:rsidR="008500A2" w:rsidRPr="008500A2" w:rsidRDefault="008500A2" w:rsidP="008500A2">
      <w:pPr>
        <w:pStyle w:val="Bibliography"/>
        <w:rPr>
          <w:rFonts w:ascii="Aptos" w:hAnsi="Aptos"/>
        </w:rPr>
      </w:pPr>
      <w:r w:rsidRPr="008500A2">
        <w:rPr>
          <w:rFonts w:ascii="Aptos" w:hAnsi="Aptos"/>
        </w:rPr>
        <w:t>IPCC (Ed.), 2023. Technical Summary Table 3.2, in: Working Group III Contribution to the Sixth Assessment Report of the Intergovernmental Panel on Climate Change: Climate Change 2022 - Mitigation of Climate Change. Cambridge University Press, pp. 51–148. https://doi.org/10.1017/9781009157926.002</w:t>
      </w:r>
    </w:p>
    <w:p w14:paraId="2DED2E90" w14:textId="77777777" w:rsidR="008500A2" w:rsidRPr="008500A2" w:rsidRDefault="008500A2" w:rsidP="008500A2">
      <w:pPr>
        <w:pStyle w:val="Bibliography"/>
        <w:rPr>
          <w:rFonts w:ascii="Aptos" w:hAnsi="Aptos"/>
        </w:rPr>
      </w:pPr>
      <w:r w:rsidRPr="008500A2">
        <w:rPr>
          <w:rFonts w:ascii="Aptos" w:hAnsi="Aptos"/>
        </w:rPr>
        <w:t>Izraelov, M., Silber, J., 2019. An assessment of the global food security index. Food Sec. 11, 1135–1152. https://doi.org/10.1007/s12571-019-00941-y</w:t>
      </w:r>
    </w:p>
    <w:p w14:paraId="7F201191" w14:textId="77777777" w:rsidR="008500A2" w:rsidRPr="008500A2" w:rsidRDefault="008500A2" w:rsidP="008500A2">
      <w:pPr>
        <w:pStyle w:val="Bibliography"/>
        <w:rPr>
          <w:rFonts w:ascii="Aptos" w:hAnsi="Aptos"/>
        </w:rPr>
      </w:pPr>
      <w:r w:rsidRPr="008500A2">
        <w:rPr>
          <w:rFonts w:ascii="Aptos" w:hAnsi="Aptos"/>
        </w:rPr>
        <w:t>Jäger, F., Schwaab, J., Quilcaille, Y., Windisch, M., Doelman, J., Frank, S., Gusti, M., Havlik, P., Humpenöder, F., Lessa Derci Augustynczik, A., Müller, C., Narayan, K.B., Padrón, R.S., Popp, A., Van Vuuren, D., Wögerer, M., Seneviratne, S.I., 2024. Fire Weather Compromises Forestation-reliant Climate Mitigation Pathways. https://doi.org/10.5194/egusphere-2024-15</w:t>
      </w:r>
    </w:p>
    <w:p w14:paraId="0C4EDDEB" w14:textId="77777777" w:rsidR="008500A2" w:rsidRPr="008500A2" w:rsidRDefault="008500A2" w:rsidP="008500A2">
      <w:pPr>
        <w:pStyle w:val="Bibliography"/>
        <w:rPr>
          <w:rFonts w:ascii="Aptos" w:hAnsi="Aptos"/>
        </w:rPr>
      </w:pPr>
      <w:r w:rsidRPr="008500A2">
        <w:rPr>
          <w:rFonts w:ascii="Aptos" w:hAnsi="Aptos"/>
        </w:rPr>
        <w:t>Jones, B., O’Neill, B.C., 2016. Spatially explicit global population scenarios consistent with the Shared Socioeconomic Pathways. Environ. Res. Lett. 11, 084003. https://doi.org/10.1088/1748-9326/11/8/084003</w:t>
      </w:r>
    </w:p>
    <w:p w14:paraId="48A425C3" w14:textId="77777777" w:rsidR="008500A2" w:rsidRPr="008500A2" w:rsidRDefault="008500A2" w:rsidP="008500A2">
      <w:pPr>
        <w:pStyle w:val="Bibliography"/>
        <w:rPr>
          <w:rFonts w:ascii="Aptos" w:hAnsi="Aptos"/>
        </w:rPr>
      </w:pPr>
      <w:r w:rsidRPr="008500A2">
        <w:rPr>
          <w:rFonts w:ascii="Aptos" w:hAnsi="Aptos"/>
        </w:rPr>
        <w:t>Knorr, W., Kaminski, T., Arneth, A., Weber, U., 2014. Impact of human population density on fire frequency at the global scale. Biogeosciences 11, 1085–1102. https://doi.org/10.5194/bg-11-1085-2014</w:t>
      </w:r>
    </w:p>
    <w:p w14:paraId="5C4975D1" w14:textId="77777777" w:rsidR="008500A2" w:rsidRPr="008500A2" w:rsidRDefault="008500A2" w:rsidP="008500A2">
      <w:pPr>
        <w:pStyle w:val="Bibliography"/>
        <w:rPr>
          <w:rFonts w:ascii="Aptos" w:hAnsi="Aptos"/>
        </w:rPr>
      </w:pPr>
      <w:r w:rsidRPr="008500A2">
        <w:rPr>
          <w:rFonts w:ascii="Aptos" w:hAnsi="Aptos"/>
        </w:rPr>
        <w:t>Leach, N.J., Jenkins, S., Nicholls, Z., Smith, C.J., Lynch, J., Cain, M., Walsh, T., Wu, B., Tsutsui, J., Allen, M.R., 2021. FaIRv2.0.0: a generalized impulse response model for climate uncertainty and future scenario exploration. Geoscientific Model Development 14, 3007–3036. https://doi.org/10.5194/gmd-14-3007-2021</w:t>
      </w:r>
    </w:p>
    <w:p w14:paraId="0939B3D0" w14:textId="77777777" w:rsidR="008500A2" w:rsidRPr="008500A2" w:rsidRDefault="008500A2" w:rsidP="008500A2">
      <w:pPr>
        <w:pStyle w:val="Bibliography"/>
        <w:rPr>
          <w:rFonts w:ascii="Aptos" w:hAnsi="Aptos"/>
        </w:rPr>
      </w:pPr>
      <w:r w:rsidRPr="008500A2">
        <w:rPr>
          <w:rFonts w:ascii="Aptos" w:hAnsi="Aptos"/>
        </w:rPr>
        <w:t>Leclère, D., Obersteiner, M., Barrett, M., Butchart, S.H.M., Chaudhary, A., De Palma, A., DeClerck, F.A.J., Di Marco, M., Doelman, J.C., Dürauer, M., Freeman, R., Harfoot, M., Hasegawa, T., Hellweg, S., Hilbers, J.P., Hill, S.L.L., Humpenöder, F., Jennings, N., Krisztin, T., Mace, G.M., Ohashi, H., Popp, A., Purvis, A., Schipper, A.M., Tabeau, A., Valin, H., van Meijl, H., van Zeist, W.-J., Visconti, P., Alkemade, R., Almond, R., Bunting, G., Burgess, N.D., Cornell, S.E., Di Fulvio, F., Ferrier, S., Fritz, S., Fujimori, S., Grooten, M., Harwood, T., Havlík, P., Herrero, M., Hoskins, A.J., Jung, M., Kram, T., Lotze-Campen, H., Matsui, T., Meyer, C., Nel, D., Newbold, T., Schmidt-Traub, G., Stehfest, E., Strassburg, B.B.N., van Vuuren, D.P., Ware, C., Watson, J.E.M., Wu, W., Young, L., 2020. Bending the curve of terrestrial biodiversity needs an integrated strategy. Nature 585, 551–556. https://doi.org/10.1038/s41586-020-2705-y</w:t>
      </w:r>
    </w:p>
    <w:p w14:paraId="05B3E0B9" w14:textId="77777777" w:rsidR="008500A2" w:rsidRPr="008500A2" w:rsidRDefault="008500A2" w:rsidP="008500A2">
      <w:pPr>
        <w:pStyle w:val="Bibliography"/>
        <w:rPr>
          <w:rFonts w:ascii="Aptos" w:hAnsi="Aptos"/>
        </w:rPr>
      </w:pPr>
      <w:r w:rsidRPr="008500A2">
        <w:rPr>
          <w:rFonts w:ascii="Aptos" w:hAnsi="Aptos"/>
        </w:rPr>
        <w:t>Mishra, A., Humpenöder, F., Churkina, G., Reyer, C.P.O., Beier, F., Bodirsky, B.L., Schellnhuber, H.J., Lotze-Campen, H., Popp, A., 2022. Land use change and carbon emissions of a transformation to timber cities. Nat Commun 13, 4889. https://doi.org/10.1038/s41467-022-32244-w</w:t>
      </w:r>
    </w:p>
    <w:p w14:paraId="60C0C87C" w14:textId="77777777" w:rsidR="008500A2" w:rsidRPr="008500A2" w:rsidRDefault="008500A2" w:rsidP="008500A2">
      <w:pPr>
        <w:pStyle w:val="Bibliography"/>
        <w:rPr>
          <w:rFonts w:ascii="Aptos" w:hAnsi="Aptos"/>
        </w:rPr>
      </w:pPr>
      <w:r w:rsidRPr="008500A2">
        <w:rPr>
          <w:rFonts w:ascii="Aptos" w:hAnsi="Aptos"/>
        </w:rPr>
        <w:t>Rabin, S.S., Melton, J.R., Lasslop, G., Bachelet, D., Forrest, M., Hantson, S., Kaplan, J.O., Li, F., Mangeon, S., Ward, D.S., Yue, C., Arora, V.K., Hickler, T., Kloster, S., Knorr, W., Nieradzik, L., Spessa, A., Folberth, G.A., Sheehan, T., Voulgarakis, A., Kelley, D.I., Prentice, I.C., Sitch, S., Harrison, S., Arneth, A., 2017. The Fire Modeling Intercomparison Project (FireMIP), phase 1: experimental and analytical protocols with detailed model descriptions. Geoscientific Model Development 10, 1175–1197. https://doi.org/10.5194/gmd-10-1175-2017</w:t>
      </w:r>
    </w:p>
    <w:p w14:paraId="5ED82E7D" w14:textId="77777777" w:rsidR="008500A2" w:rsidRPr="008500A2" w:rsidRDefault="008500A2" w:rsidP="008500A2">
      <w:pPr>
        <w:pStyle w:val="Bibliography"/>
        <w:rPr>
          <w:rFonts w:ascii="Aptos" w:hAnsi="Aptos"/>
        </w:rPr>
      </w:pPr>
      <w:r w:rsidRPr="008500A2">
        <w:rPr>
          <w:rFonts w:ascii="Aptos" w:hAnsi="Aptos"/>
        </w:rPr>
        <w:t xml:space="preserve">Riahi, K., van Vuuren, D.P., Kriegler, E., Edmonds, J., O’Neill, B.C., Fujimori, S., Bauer, N., Calvin, K., Dellink, R., Fricko, O., Lutz, W., Popp, A., Cuaresma, J.C., KC, S., Leimbach, M., Jiang, L., Kram, T., Rao, S., Emmerling, J., Ebi, K., Hasegawa, T., Havlik, P., Humpenöder, F., Da Silva, </w:t>
      </w:r>
      <w:r w:rsidRPr="008500A2">
        <w:rPr>
          <w:rFonts w:ascii="Aptos" w:hAnsi="Aptos"/>
        </w:rPr>
        <w:lastRenderedPageBreak/>
        <w:t>L.A., Smith, S., Stehfest, E., Bosetti, V., Eom, J., Gernaat, D., Masui, T., Rogelj, J., Strefler, J., Drouet, L., Krey, V., Luderer, G., Harmsen, M., Takahashi, K., Baumstark, L., Doelman, J.C., Kainuma, M., Klimont, Z., Marangoni, G., Lotze-Campen, H., Obersteiner, M., Tabeau, A., Tavoni, M., 2017. The Shared Socioeconomic Pathways and their energy, land use, and greenhouse gas emissions implications: An overview. Global Environmental Change 42, 153–168. https://doi.org/10.1016/J.GLOENVCHA.2016.05.009</w:t>
      </w:r>
    </w:p>
    <w:p w14:paraId="267C4B67" w14:textId="77777777" w:rsidR="008500A2" w:rsidRPr="008500A2" w:rsidRDefault="008500A2" w:rsidP="008500A2">
      <w:pPr>
        <w:pStyle w:val="Bibliography"/>
        <w:rPr>
          <w:rFonts w:ascii="Aptos" w:hAnsi="Aptos"/>
        </w:rPr>
      </w:pPr>
      <w:r w:rsidRPr="008500A2">
        <w:rPr>
          <w:rFonts w:ascii="Aptos" w:hAnsi="Aptos"/>
        </w:rPr>
        <w:t>Samir, K., Moradhvaj, Potancokova, M., Adhikari, S., Yildiz, D., Mamolo, M., Sobotka, T., Zeman, K., Abel, G., Lutz, W., Goujon, A., 2024. Wittgenstein Center (WIC) Population and Human Capital Projections  - 2023. https://doi.org/10.5281/zenodo.10618931</w:t>
      </w:r>
    </w:p>
    <w:p w14:paraId="096567AB" w14:textId="77777777" w:rsidR="008500A2" w:rsidRPr="008500A2" w:rsidRDefault="008500A2" w:rsidP="008500A2">
      <w:pPr>
        <w:pStyle w:val="Bibliography"/>
        <w:rPr>
          <w:rFonts w:ascii="Aptos" w:hAnsi="Aptos"/>
        </w:rPr>
      </w:pPr>
      <w:r w:rsidRPr="008500A2">
        <w:rPr>
          <w:rFonts w:ascii="Aptos" w:hAnsi="Aptos"/>
        </w:rPr>
        <w:t>Smith, N.W., Fletcher, A.J., Hill, J.P., McNabb, W.C., 2022. Modeling the Contribution of Meat to Global Nutrient Availability. Frontiers in Nutrition 9.</w:t>
      </w:r>
    </w:p>
    <w:p w14:paraId="1246B5E9" w14:textId="77777777" w:rsidR="008500A2" w:rsidRPr="008500A2" w:rsidRDefault="008500A2" w:rsidP="008500A2">
      <w:pPr>
        <w:pStyle w:val="Bibliography"/>
        <w:rPr>
          <w:rFonts w:ascii="Aptos" w:hAnsi="Aptos"/>
        </w:rPr>
      </w:pPr>
      <w:r w:rsidRPr="008500A2">
        <w:rPr>
          <w:rFonts w:ascii="Aptos" w:hAnsi="Aptos"/>
        </w:rPr>
        <w:t>UNEP-WCMC, 2020. Protected Planet Report 2020. United Nations Environment Programme - World Conservation Monitoring Centre.</w:t>
      </w:r>
    </w:p>
    <w:p w14:paraId="3DBD5442" w14:textId="77777777" w:rsidR="008500A2" w:rsidRPr="008500A2" w:rsidRDefault="008500A2" w:rsidP="008500A2">
      <w:pPr>
        <w:pStyle w:val="Bibliography"/>
        <w:rPr>
          <w:rFonts w:ascii="Aptos" w:hAnsi="Aptos"/>
        </w:rPr>
      </w:pPr>
      <w:r w:rsidRPr="008500A2">
        <w:rPr>
          <w:rFonts w:ascii="Aptos" w:hAnsi="Aptos"/>
        </w:rPr>
        <w:t>UNFCCC, 2015. The Paris Agreement.</w:t>
      </w:r>
    </w:p>
    <w:p w14:paraId="23562CB0" w14:textId="77777777" w:rsidR="008500A2" w:rsidRPr="008500A2" w:rsidRDefault="008500A2" w:rsidP="008500A2">
      <w:pPr>
        <w:pStyle w:val="Bibliography"/>
        <w:rPr>
          <w:rFonts w:ascii="Aptos" w:hAnsi="Aptos"/>
        </w:rPr>
      </w:pPr>
      <w:r w:rsidRPr="008500A2">
        <w:rPr>
          <w:rFonts w:ascii="Aptos" w:hAnsi="Aptos"/>
        </w:rPr>
        <w:t>van Dijk, M., Morley, T., Rau, M.L., Saghai, Y., 2021. A meta-analysis of projected global food demand and population at risk of hunger for the period 2010–2050. Nat Food 2, 494–501. https://doi.org/10.1038/s43016-021-00322-9</w:t>
      </w:r>
    </w:p>
    <w:p w14:paraId="3BFD2511" w14:textId="77777777" w:rsidR="008500A2" w:rsidRPr="008500A2" w:rsidRDefault="008500A2" w:rsidP="008500A2">
      <w:pPr>
        <w:pStyle w:val="Bibliography"/>
        <w:rPr>
          <w:rFonts w:ascii="Aptos" w:hAnsi="Aptos"/>
        </w:rPr>
      </w:pPr>
      <w:r w:rsidRPr="008500A2">
        <w:rPr>
          <w:rFonts w:ascii="Aptos" w:hAnsi="Aptos"/>
        </w:rPr>
        <w:t>van Vuuren, D.P., Edmonds, J., Kainuma, M., Riahi, K., Thomson, A., Hibbard, K., Hurtt, G.C., Kram, T., Krey, V., Lamarque, J.-F., Masui, T., Meinshausen, M., Nakicenovic, N., Smith, S.J., Rose, S.K., 2011. The representative concentration pathways: an overview. Climatic Change 109, 5. https://doi.org/10.1007/s10584-011-0148-z</w:t>
      </w:r>
    </w:p>
    <w:p w14:paraId="62CB7C5C" w14:textId="537A7380" w:rsidR="00A37CE4" w:rsidRDefault="00A37CE4" w:rsidP="008422B6">
      <w:r>
        <w:fldChar w:fldCharType="end"/>
      </w:r>
    </w:p>
    <w:sectPr w:rsidR="00A37CE4">
      <w:headerReference w:type="default" r:id="rId43"/>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9306B6" w14:textId="77777777" w:rsidR="00446DDA" w:rsidRDefault="00446DDA" w:rsidP="009D1250">
      <w:pPr>
        <w:spacing w:after="0" w:line="240" w:lineRule="auto"/>
      </w:pPr>
      <w:r>
        <w:separator/>
      </w:r>
    </w:p>
  </w:endnote>
  <w:endnote w:type="continuationSeparator" w:id="0">
    <w:p w14:paraId="39DAC613" w14:textId="77777777" w:rsidR="00446DDA" w:rsidRDefault="00446DDA" w:rsidP="009D1250">
      <w:pPr>
        <w:spacing w:after="0" w:line="240" w:lineRule="auto"/>
      </w:pPr>
      <w:r>
        <w:continuationSeparator/>
      </w:r>
    </w:p>
  </w:endnote>
  <w:endnote w:type="continuationNotice" w:id="1">
    <w:p w14:paraId="6D2B827D" w14:textId="77777777" w:rsidR="00446DDA" w:rsidRDefault="00446DD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Cambria Math">
    <w:panose1 w:val="02040503050406030204"/>
    <w:charset w:val="00"/>
    <w:family w:val="roman"/>
    <w:pitch w:val="variable"/>
    <w:sig w:usb0="E00006FF" w:usb1="420024FF" w:usb2="02000000" w:usb3="00000000" w:csb0="0000019F" w:csb1="00000000"/>
  </w:font>
  <w:font w:name="Aptos Narrow">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099931" w14:textId="77777777" w:rsidR="00446DDA" w:rsidRDefault="00446DDA" w:rsidP="009D1250">
      <w:pPr>
        <w:spacing w:after="0" w:line="240" w:lineRule="auto"/>
      </w:pPr>
      <w:r>
        <w:separator/>
      </w:r>
    </w:p>
  </w:footnote>
  <w:footnote w:type="continuationSeparator" w:id="0">
    <w:p w14:paraId="630FA604" w14:textId="77777777" w:rsidR="00446DDA" w:rsidRDefault="00446DDA" w:rsidP="009D1250">
      <w:pPr>
        <w:spacing w:after="0" w:line="240" w:lineRule="auto"/>
      </w:pPr>
      <w:r>
        <w:continuationSeparator/>
      </w:r>
    </w:p>
  </w:footnote>
  <w:footnote w:type="continuationNotice" w:id="1">
    <w:p w14:paraId="2122BB09" w14:textId="77777777" w:rsidR="00446DDA" w:rsidRDefault="00446DD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18336367"/>
      <w:docPartObj>
        <w:docPartGallery w:val="Page Numbers (Top of Page)"/>
        <w:docPartUnique/>
      </w:docPartObj>
    </w:sdtPr>
    <w:sdtContent>
      <w:p w14:paraId="2800D505" w14:textId="184D8333" w:rsidR="00475CF6" w:rsidRDefault="00475CF6">
        <w:pPr>
          <w:pStyle w:val="Header"/>
          <w:jc w:val="right"/>
        </w:pP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w:t>
        </w:r>
        <w:r w:rsidR="008965C2">
          <w:t>/</w:t>
        </w:r>
        <w:r>
          <w:t xml:space="preserve">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p w14:paraId="0EF2089D" w14:textId="77777777" w:rsidR="00475CF6" w:rsidRDefault="00475CF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5D3E11"/>
    <w:multiLevelType w:val="hybridMultilevel"/>
    <w:tmpl w:val="BCB02EE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7683E11"/>
    <w:multiLevelType w:val="multilevel"/>
    <w:tmpl w:val="9030E8DE"/>
    <w:lvl w:ilvl="0">
      <w:start w:val="1"/>
      <w:numFmt w:val="decimal"/>
      <w:pStyle w:val="Heading1"/>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2" w15:restartNumberingAfterBreak="0">
    <w:nsid w:val="61526271"/>
    <w:multiLevelType w:val="multilevel"/>
    <w:tmpl w:val="9C3639F8"/>
    <w:lvl w:ilvl="0">
      <w:start w:val="1"/>
      <w:numFmt w:val="decimal"/>
      <w:pStyle w:val="Style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434012062">
    <w:abstractNumId w:val="1"/>
  </w:num>
  <w:num w:numId="2" w16cid:durableId="364333858">
    <w:abstractNumId w:val="2"/>
  </w:num>
  <w:num w:numId="3" w16cid:durableId="20468345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342383"/>
    <w:rsid w:val="00001B59"/>
    <w:rsid w:val="000037E6"/>
    <w:rsid w:val="00006644"/>
    <w:rsid w:val="00010D4E"/>
    <w:rsid w:val="00013FB9"/>
    <w:rsid w:val="00017BDA"/>
    <w:rsid w:val="0002109A"/>
    <w:rsid w:val="0002718A"/>
    <w:rsid w:val="00030B90"/>
    <w:rsid w:val="00033036"/>
    <w:rsid w:val="000336CE"/>
    <w:rsid w:val="000424BD"/>
    <w:rsid w:val="00057979"/>
    <w:rsid w:val="0006130F"/>
    <w:rsid w:val="00063E02"/>
    <w:rsid w:val="000668F3"/>
    <w:rsid w:val="00067AB1"/>
    <w:rsid w:val="00070C57"/>
    <w:rsid w:val="00070E82"/>
    <w:rsid w:val="00072452"/>
    <w:rsid w:val="00073B97"/>
    <w:rsid w:val="00077DB5"/>
    <w:rsid w:val="00083FA9"/>
    <w:rsid w:val="00084699"/>
    <w:rsid w:val="00091C32"/>
    <w:rsid w:val="00091F16"/>
    <w:rsid w:val="000A0DD1"/>
    <w:rsid w:val="000B1A1A"/>
    <w:rsid w:val="000B2A33"/>
    <w:rsid w:val="000B396D"/>
    <w:rsid w:val="000B3FB5"/>
    <w:rsid w:val="000B46F3"/>
    <w:rsid w:val="000B53F7"/>
    <w:rsid w:val="000C1BDE"/>
    <w:rsid w:val="000C67B3"/>
    <w:rsid w:val="000D0165"/>
    <w:rsid w:val="000D1350"/>
    <w:rsid w:val="000D59A0"/>
    <w:rsid w:val="000E0346"/>
    <w:rsid w:val="000E1A71"/>
    <w:rsid w:val="000E1AB6"/>
    <w:rsid w:val="000E22A5"/>
    <w:rsid w:val="000E6AA6"/>
    <w:rsid w:val="000E6DE2"/>
    <w:rsid w:val="000F16DA"/>
    <w:rsid w:val="00100291"/>
    <w:rsid w:val="0010272B"/>
    <w:rsid w:val="00102847"/>
    <w:rsid w:val="00102D69"/>
    <w:rsid w:val="0010364E"/>
    <w:rsid w:val="00106A25"/>
    <w:rsid w:val="0011010F"/>
    <w:rsid w:val="0011141E"/>
    <w:rsid w:val="00112B3A"/>
    <w:rsid w:val="00114D66"/>
    <w:rsid w:val="00115028"/>
    <w:rsid w:val="00121C2A"/>
    <w:rsid w:val="00123CA1"/>
    <w:rsid w:val="00124A0F"/>
    <w:rsid w:val="00134E20"/>
    <w:rsid w:val="00140CE2"/>
    <w:rsid w:val="0014142E"/>
    <w:rsid w:val="001443A5"/>
    <w:rsid w:val="00150001"/>
    <w:rsid w:val="00150760"/>
    <w:rsid w:val="0015350A"/>
    <w:rsid w:val="00154023"/>
    <w:rsid w:val="00157A1A"/>
    <w:rsid w:val="001622D9"/>
    <w:rsid w:val="00162C44"/>
    <w:rsid w:val="00165AD3"/>
    <w:rsid w:val="00170730"/>
    <w:rsid w:val="00171B8C"/>
    <w:rsid w:val="00174D1B"/>
    <w:rsid w:val="00176173"/>
    <w:rsid w:val="00177F28"/>
    <w:rsid w:val="00183EA6"/>
    <w:rsid w:val="0018454A"/>
    <w:rsid w:val="001850F6"/>
    <w:rsid w:val="00186A92"/>
    <w:rsid w:val="00187AF2"/>
    <w:rsid w:val="00190E01"/>
    <w:rsid w:val="00194FDD"/>
    <w:rsid w:val="0019665A"/>
    <w:rsid w:val="00197267"/>
    <w:rsid w:val="00197FCD"/>
    <w:rsid w:val="001A1590"/>
    <w:rsid w:val="001A1CEC"/>
    <w:rsid w:val="001A2A5E"/>
    <w:rsid w:val="001A2C02"/>
    <w:rsid w:val="001A2DE5"/>
    <w:rsid w:val="001A5F62"/>
    <w:rsid w:val="001A6342"/>
    <w:rsid w:val="001B1670"/>
    <w:rsid w:val="001B393E"/>
    <w:rsid w:val="001B5A97"/>
    <w:rsid w:val="001B62BA"/>
    <w:rsid w:val="001B6668"/>
    <w:rsid w:val="001B7E0A"/>
    <w:rsid w:val="001C26F4"/>
    <w:rsid w:val="001C2813"/>
    <w:rsid w:val="001C62CA"/>
    <w:rsid w:val="001C7D5D"/>
    <w:rsid w:val="001D0CE6"/>
    <w:rsid w:val="001D2E88"/>
    <w:rsid w:val="001D5740"/>
    <w:rsid w:val="001D6C20"/>
    <w:rsid w:val="001D74C1"/>
    <w:rsid w:val="001E27D2"/>
    <w:rsid w:val="001E5166"/>
    <w:rsid w:val="001E526C"/>
    <w:rsid w:val="001E58FA"/>
    <w:rsid w:val="001E66C5"/>
    <w:rsid w:val="001F22D5"/>
    <w:rsid w:val="001F2FB8"/>
    <w:rsid w:val="001F3FF5"/>
    <w:rsid w:val="001F513F"/>
    <w:rsid w:val="00204B3E"/>
    <w:rsid w:val="00205AC4"/>
    <w:rsid w:val="002076B5"/>
    <w:rsid w:val="00207CFC"/>
    <w:rsid w:val="00210B01"/>
    <w:rsid w:val="00211D0D"/>
    <w:rsid w:val="002238F1"/>
    <w:rsid w:val="0022619D"/>
    <w:rsid w:val="002264D2"/>
    <w:rsid w:val="00227EF7"/>
    <w:rsid w:val="00231EFD"/>
    <w:rsid w:val="00232954"/>
    <w:rsid w:val="00240B3D"/>
    <w:rsid w:val="00241039"/>
    <w:rsid w:val="002454AA"/>
    <w:rsid w:val="002459FA"/>
    <w:rsid w:val="00253CE7"/>
    <w:rsid w:val="00255AA9"/>
    <w:rsid w:val="00257FCC"/>
    <w:rsid w:val="002633AA"/>
    <w:rsid w:val="00264581"/>
    <w:rsid w:val="00266A87"/>
    <w:rsid w:val="00267159"/>
    <w:rsid w:val="002702CA"/>
    <w:rsid w:val="00270C0A"/>
    <w:rsid w:val="002717D4"/>
    <w:rsid w:val="00273166"/>
    <w:rsid w:val="002739D7"/>
    <w:rsid w:val="00274F8C"/>
    <w:rsid w:val="00275B50"/>
    <w:rsid w:val="00280B41"/>
    <w:rsid w:val="00281839"/>
    <w:rsid w:val="00282EE6"/>
    <w:rsid w:val="00283EFC"/>
    <w:rsid w:val="00284AFB"/>
    <w:rsid w:val="00285F4A"/>
    <w:rsid w:val="0029108D"/>
    <w:rsid w:val="002A0B15"/>
    <w:rsid w:val="002A396E"/>
    <w:rsid w:val="002A3CA8"/>
    <w:rsid w:val="002A5496"/>
    <w:rsid w:val="002A6ACF"/>
    <w:rsid w:val="002B106A"/>
    <w:rsid w:val="002B2564"/>
    <w:rsid w:val="002B2847"/>
    <w:rsid w:val="002B3702"/>
    <w:rsid w:val="002B510A"/>
    <w:rsid w:val="002C30D0"/>
    <w:rsid w:val="002C52FA"/>
    <w:rsid w:val="002D1E26"/>
    <w:rsid w:val="002D275E"/>
    <w:rsid w:val="002D301F"/>
    <w:rsid w:val="002D30B0"/>
    <w:rsid w:val="002D417E"/>
    <w:rsid w:val="002D692F"/>
    <w:rsid w:val="002D7C91"/>
    <w:rsid w:val="002E0455"/>
    <w:rsid w:val="002E176B"/>
    <w:rsid w:val="002E1DD8"/>
    <w:rsid w:val="002E1F11"/>
    <w:rsid w:val="002E24E9"/>
    <w:rsid w:val="002E2628"/>
    <w:rsid w:val="002E3631"/>
    <w:rsid w:val="002E3E7C"/>
    <w:rsid w:val="002E4860"/>
    <w:rsid w:val="002E5AEE"/>
    <w:rsid w:val="002F00B9"/>
    <w:rsid w:val="002F116F"/>
    <w:rsid w:val="002F237A"/>
    <w:rsid w:val="002F444E"/>
    <w:rsid w:val="003001C7"/>
    <w:rsid w:val="0030060F"/>
    <w:rsid w:val="00300698"/>
    <w:rsid w:val="003024F7"/>
    <w:rsid w:val="003058FC"/>
    <w:rsid w:val="00310FF7"/>
    <w:rsid w:val="00312877"/>
    <w:rsid w:val="00312C34"/>
    <w:rsid w:val="0031446C"/>
    <w:rsid w:val="003150BD"/>
    <w:rsid w:val="00317907"/>
    <w:rsid w:val="00331609"/>
    <w:rsid w:val="0033345B"/>
    <w:rsid w:val="003377DA"/>
    <w:rsid w:val="003408C6"/>
    <w:rsid w:val="00340A5D"/>
    <w:rsid w:val="00341C0C"/>
    <w:rsid w:val="00341E9B"/>
    <w:rsid w:val="00342383"/>
    <w:rsid w:val="00343C1C"/>
    <w:rsid w:val="00344D27"/>
    <w:rsid w:val="00346638"/>
    <w:rsid w:val="00350331"/>
    <w:rsid w:val="0035150D"/>
    <w:rsid w:val="003517E7"/>
    <w:rsid w:val="003520CD"/>
    <w:rsid w:val="00354B55"/>
    <w:rsid w:val="003552D0"/>
    <w:rsid w:val="00360AAA"/>
    <w:rsid w:val="003625DB"/>
    <w:rsid w:val="00380F42"/>
    <w:rsid w:val="00382DB7"/>
    <w:rsid w:val="00383590"/>
    <w:rsid w:val="003914DC"/>
    <w:rsid w:val="00397149"/>
    <w:rsid w:val="0039792A"/>
    <w:rsid w:val="003A14F5"/>
    <w:rsid w:val="003A3144"/>
    <w:rsid w:val="003A4EE9"/>
    <w:rsid w:val="003A687B"/>
    <w:rsid w:val="003A72A2"/>
    <w:rsid w:val="003B0BB3"/>
    <w:rsid w:val="003B16AE"/>
    <w:rsid w:val="003C0D40"/>
    <w:rsid w:val="003C1008"/>
    <w:rsid w:val="003C1A5E"/>
    <w:rsid w:val="003C420B"/>
    <w:rsid w:val="003C5717"/>
    <w:rsid w:val="003C5D5D"/>
    <w:rsid w:val="003D25B4"/>
    <w:rsid w:val="003D686A"/>
    <w:rsid w:val="003E0597"/>
    <w:rsid w:val="003E58BD"/>
    <w:rsid w:val="003F0796"/>
    <w:rsid w:val="003F2502"/>
    <w:rsid w:val="003F2DBF"/>
    <w:rsid w:val="004002D3"/>
    <w:rsid w:val="00400D48"/>
    <w:rsid w:val="004015A8"/>
    <w:rsid w:val="0040414E"/>
    <w:rsid w:val="00406DC8"/>
    <w:rsid w:val="004101B7"/>
    <w:rsid w:val="004146D1"/>
    <w:rsid w:val="0041623A"/>
    <w:rsid w:val="004176CA"/>
    <w:rsid w:val="004202D1"/>
    <w:rsid w:val="0042057B"/>
    <w:rsid w:val="00421EB1"/>
    <w:rsid w:val="00424C89"/>
    <w:rsid w:val="004262E3"/>
    <w:rsid w:val="004274F7"/>
    <w:rsid w:val="00432CB9"/>
    <w:rsid w:val="00433681"/>
    <w:rsid w:val="00437944"/>
    <w:rsid w:val="00442ADB"/>
    <w:rsid w:val="0044331C"/>
    <w:rsid w:val="0044377D"/>
    <w:rsid w:val="00444DF1"/>
    <w:rsid w:val="00446DDA"/>
    <w:rsid w:val="0045028F"/>
    <w:rsid w:val="00453228"/>
    <w:rsid w:val="0045630F"/>
    <w:rsid w:val="00457260"/>
    <w:rsid w:val="00461BD5"/>
    <w:rsid w:val="0046530A"/>
    <w:rsid w:val="00467830"/>
    <w:rsid w:val="00470678"/>
    <w:rsid w:val="004724AA"/>
    <w:rsid w:val="00472A98"/>
    <w:rsid w:val="00474417"/>
    <w:rsid w:val="00474F23"/>
    <w:rsid w:val="00475622"/>
    <w:rsid w:val="00475CF6"/>
    <w:rsid w:val="00476B95"/>
    <w:rsid w:val="004830E7"/>
    <w:rsid w:val="00483EF9"/>
    <w:rsid w:val="0048425E"/>
    <w:rsid w:val="004905F8"/>
    <w:rsid w:val="004A2F10"/>
    <w:rsid w:val="004A32D8"/>
    <w:rsid w:val="004A3734"/>
    <w:rsid w:val="004A3CF2"/>
    <w:rsid w:val="004A6155"/>
    <w:rsid w:val="004A700D"/>
    <w:rsid w:val="004A709A"/>
    <w:rsid w:val="004A77CD"/>
    <w:rsid w:val="004B1871"/>
    <w:rsid w:val="004B21C3"/>
    <w:rsid w:val="004B2CAD"/>
    <w:rsid w:val="004B2CF1"/>
    <w:rsid w:val="004C04A6"/>
    <w:rsid w:val="004C56F7"/>
    <w:rsid w:val="004C6629"/>
    <w:rsid w:val="004C753B"/>
    <w:rsid w:val="004D76FC"/>
    <w:rsid w:val="004E4054"/>
    <w:rsid w:val="004E42D0"/>
    <w:rsid w:val="004E6E98"/>
    <w:rsid w:val="004E6ED5"/>
    <w:rsid w:val="004F10B6"/>
    <w:rsid w:val="004F402C"/>
    <w:rsid w:val="0050101E"/>
    <w:rsid w:val="005013C2"/>
    <w:rsid w:val="00501A42"/>
    <w:rsid w:val="005056DF"/>
    <w:rsid w:val="00505DFC"/>
    <w:rsid w:val="0050698E"/>
    <w:rsid w:val="00506E50"/>
    <w:rsid w:val="00510E14"/>
    <w:rsid w:val="005128C7"/>
    <w:rsid w:val="00513BEA"/>
    <w:rsid w:val="00522DF6"/>
    <w:rsid w:val="00522EBC"/>
    <w:rsid w:val="005240A8"/>
    <w:rsid w:val="00525950"/>
    <w:rsid w:val="005305DB"/>
    <w:rsid w:val="00532793"/>
    <w:rsid w:val="0053293E"/>
    <w:rsid w:val="00536037"/>
    <w:rsid w:val="00536B55"/>
    <w:rsid w:val="0054063F"/>
    <w:rsid w:val="00540EA5"/>
    <w:rsid w:val="00542155"/>
    <w:rsid w:val="00544B3C"/>
    <w:rsid w:val="005452AB"/>
    <w:rsid w:val="0055776F"/>
    <w:rsid w:val="00562AD4"/>
    <w:rsid w:val="0056328F"/>
    <w:rsid w:val="00564E4F"/>
    <w:rsid w:val="00571C32"/>
    <w:rsid w:val="00573DB4"/>
    <w:rsid w:val="00574103"/>
    <w:rsid w:val="0058068C"/>
    <w:rsid w:val="00580F81"/>
    <w:rsid w:val="00581139"/>
    <w:rsid w:val="00583174"/>
    <w:rsid w:val="0058524D"/>
    <w:rsid w:val="00591BA8"/>
    <w:rsid w:val="005931DC"/>
    <w:rsid w:val="005944F5"/>
    <w:rsid w:val="005953DA"/>
    <w:rsid w:val="005A0D25"/>
    <w:rsid w:val="005A3022"/>
    <w:rsid w:val="005A3265"/>
    <w:rsid w:val="005A4785"/>
    <w:rsid w:val="005A5BDD"/>
    <w:rsid w:val="005A63AD"/>
    <w:rsid w:val="005A7243"/>
    <w:rsid w:val="005A7841"/>
    <w:rsid w:val="005B218A"/>
    <w:rsid w:val="005B3FF5"/>
    <w:rsid w:val="005B41AD"/>
    <w:rsid w:val="005C3893"/>
    <w:rsid w:val="005C4101"/>
    <w:rsid w:val="005C4864"/>
    <w:rsid w:val="005C7950"/>
    <w:rsid w:val="005D105D"/>
    <w:rsid w:val="005D1C0D"/>
    <w:rsid w:val="005D68EC"/>
    <w:rsid w:val="005E0164"/>
    <w:rsid w:val="005E18D5"/>
    <w:rsid w:val="005E2DCE"/>
    <w:rsid w:val="005E48D1"/>
    <w:rsid w:val="005E5230"/>
    <w:rsid w:val="005E53BD"/>
    <w:rsid w:val="005E5B78"/>
    <w:rsid w:val="005E6608"/>
    <w:rsid w:val="005E6DF6"/>
    <w:rsid w:val="005F497A"/>
    <w:rsid w:val="0060006C"/>
    <w:rsid w:val="0060194E"/>
    <w:rsid w:val="0061457E"/>
    <w:rsid w:val="00614F11"/>
    <w:rsid w:val="0062124F"/>
    <w:rsid w:val="00634EB5"/>
    <w:rsid w:val="006406BD"/>
    <w:rsid w:val="00640D82"/>
    <w:rsid w:val="00641175"/>
    <w:rsid w:val="00644560"/>
    <w:rsid w:val="00644F65"/>
    <w:rsid w:val="0064531C"/>
    <w:rsid w:val="00646852"/>
    <w:rsid w:val="00647D71"/>
    <w:rsid w:val="0065140C"/>
    <w:rsid w:val="006516AE"/>
    <w:rsid w:val="0065311D"/>
    <w:rsid w:val="00655538"/>
    <w:rsid w:val="0066118D"/>
    <w:rsid w:val="0066289F"/>
    <w:rsid w:val="00662F5C"/>
    <w:rsid w:val="0066554A"/>
    <w:rsid w:val="00673643"/>
    <w:rsid w:val="00680119"/>
    <w:rsid w:val="006818A6"/>
    <w:rsid w:val="006833F1"/>
    <w:rsid w:val="00694DE3"/>
    <w:rsid w:val="006955CA"/>
    <w:rsid w:val="006A1E02"/>
    <w:rsid w:val="006A2AED"/>
    <w:rsid w:val="006A3218"/>
    <w:rsid w:val="006A524C"/>
    <w:rsid w:val="006A65E5"/>
    <w:rsid w:val="006B257B"/>
    <w:rsid w:val="006B3E6A"/>
    <w:rsid w:val="006B57ED"/>
    <w:rsid w:val="006C0406"/>
    <w:rsid w:val="006C2564"/>
    <w:rsid w:val="006C3E62"/>
    <w:rsid w:val="006C43B8"/>
    <w:rsid w:val="006C6649"/>
    <w:rsid w:val="006C6780"/>
    <w:rsid w:val="006C798A"/>
    <w:rsid w:val="006D089F"/>
    <w:rsid w:val="006D25A2"/>
    <w:rsid w:val="006D76E8"/>
    <w:rsid w:val="006E5FAC"/>
    <w:rsid w:val="006E7693"/>
    <w:rsid w:val="006F07F1"/>
    <w:rsid w:val="006F38DB"/>
    <w:rsid w:val="00700426"/>
    <w:rsid w:val="00702AF2"/>
    <w:rsid w:val="00703EE6"/>
    <w:rsid w:val="00716EEA"/>
    <w:rsid w:val="00717E51"/>
    <w:rsid w:val="00722F2B"/>
    <w:rsid w:val="007244EF"/>
    <w:rsid w:val="0073012D"/>
    <w:rsid w:val="00734EAA"/>
    <w:rsid w:val="007401AE"/>
    <w:rsid w:val="007409E9"/>
    <w:rsid w:val="0074412C"/>
    <w:rsid w:val="00745AC7"/>
    <w:rsid w:val="00754608"/>
    <w:rsid w:val="007563CB"/>
    <w:rsid w:val="007606B4"/>
    <w:rsid w:val="007611C0"/>
    <w:rsid w:val="00761337"/>
    <w:rsid w:val="007622A7"/>
    <w:rsid w:val="0076377B"/>
    <w:rsid w:val="0076429A"/>
    <w:rsid w:val="007715AC"/>
    <w:rsid w:val="00772BE5"/>
    <w:rsid w:val="00772E8D"/>
    <w:rsid w:val="00772EAB"/>
    <w:rsid w:val="0078212B"/>
    <w:rsid w:val="0078259F"/>
    <w:rsid w:val="00785D0A"/>
    <w:rsid w:val="00785EF2"/>
    <w:rsid w:val="0078648B"/>
    <w:rsid w:val="007867B5"/>
    <w:rsid w:val="007878FC"/>
    <w:rsid w:val="007940D9"/>
    <w:rsid w:val="007947AD"/>
    <w:rsid w:val="007A1EA0"/>
    <w:rsid w:val="007A42BF"/>
    <w:rsid w:val="007A58DD"/>
    <w:rsid w:val="007A67CC"/>
    <w:rsid w:val="007A77FC"/>
    <w:rsid w:val="007B1D05"/>
    <w:rsid w:val="007B35AC"/>
    <w:rsid w:val="007B644F"/>
    <w:rsid w:val="007B7678"/>
    <w:rsid w:val="007C37B3"/>
    <w:rsid w:val="007C5078"/>
    <w:rsid w:val="007D0929"/>
    <w:rsid w:val="007D0A0B"/>
    <w:rsid w:val="007D1276"/>
    <w:rsid w:val="007D4029"/>
    <w:rsid w:val="007D4489"/>
    <w:rsid w:val="007D5E88"/>
    <w:rsid w:val="007D74FB"/>
    <w:rsid w:val="007E0BD6"/>
    <w:rsid w:val="007E17CB"/>
    <w:rsid w:val="007E2A7E"/>
    <w:rsid w:val="007E338C"/>
    <w:rsid w:val="007E3BB7"/>
    <w:rsid w:val="007E60E7"/>
    <w:rsid w:val="007E7176"/>
    <w:rsid w:val="007F0F9E"/>
    <w:rsid w:val="007F4072"/>
    <w:rsid w:val="007F4442"/>
    <w:rsid w:val="007F48EC"/>
    <w:rsid w:val="007F6745"/>
    <w:rsid w:val="007F7085"/>
    <w:rsid w:val="00805579"/>
    <w:rsid w:val="00805F60"/>
    <w:rsid w:val="00820199"/>
    <w:rsid w:val="008204A6"/>
    <w:rsid w:val="0082055D"/>
    <w:rsid w:val="00821835"/>
    <w:rsid w:val="00821C2B"/>
    <w:rsid w:val="00822B51"/>
    <w:rsid w:val="00823BC4"/>
    <w:rsid w:val="0082701F"/>
    <w:rsid w:val="00830218"/>
    <w:rsid w:val="008352B4"/>
    <w:rsid w:val="00836464"/>
    <w:rsid w:val="00841F4E"/>
    <w:rsid w:val="008422B6"/>
    <w:rsid w:val="00842D78"/>
    <w:rsid w:val="00847F70"/>
    <w:rsid w:val="008500A2"/>
    <w:rsid w:val="00850CF4"/>
    <w:rsid w:val="008515CD"/>
    <w:rsid w:val="00851C3D"/>
    <w:rsid w:val="008528AE"/>
    <w:rsid w:val="00852E26"/>
    <w:rsid w:val="00852F8C"/>
    <w:rsid w:val="00854572"/>
    <w:rsid w:val="00863D33"/>
    <w:rsid w:val="00866825"/>
    <w:rsid w:val="008738E1"/>
    <w:rsid w:val="008740F2"/>
    <w:rsid w:val="0087431C"/>
    <w:rsid w:val="008751DA"/>
    <w:rsid w:val="00880A99"/>
    <w:rsid w:val="00882647"/>
    <w:rsid w:val="00883219"/>
    <w:rsid w:val="008852ED"/>
    <w:rsid w:val="00886E75"/>
    <w:rsid w:val="008879B0"/>
    <w:rsid w:val="00887DFD"/>
    <w:rsid w:val="00891B9E"/>
    <w:rsid w:val="00893D60"/>
    <w:rsid w:val="008944A4"/>
    <w:rsid w:val="008965C2"/>
    <w:rsid w:val="00897F9F"/>
    <w:rsid w:val="008A2B89"/>
    <w:rsid w:val="008A488E"/>
    <w:rsid w:val="008A60E4"/>
    <w:rsid w:val="008A68E8"/>
    <w:rsid w:val="008B6598"/>
    <w:rsid w:val="008C1664"/>
    <w:rsid w:val="008C26D9"/>
    <w:rsid w:val="008C5A8F"/>
    <w:rsid w:val="008D03B8"/>
    <w:rsid w:val="008D6253"/>
    <w:rsid w:val="008D7EA7"/>
    <w:rsid w:val="008E3765"/>
    <w:rsid w:val="008E49DA"/>
    <w:rsid w:val="008E6776"/>
    <w:rsid w:val="008E78B6"/>
    <w:rsid w:val="008E7ADE"/>
    <w:rsid w:val="008F6FA9"/>
    <w:rsid w:val="00900FC6"/>
    <w:rsid w:val="0090154A"/>
    <w:rsid w:val="009073C9"/>
    <w:rsid w:val="00911F3E"/>
    <w:rsid w:val="00911F5A"/>
    <w:rsid w:val="009133C4"/>
    <w:rsid w:val="0091446B"/>
    <w:rsid w:val="00914E9E"/>
    <w:rsid w:val="00915150"/>
    <w:rsid w:val="009152AD"/>
    <w:rsid w:val="00916311"/>
    <w:rsid w:val="00917871"/>
    <w:rsid w:val="00917E90"/>
    <w:rsid w:val="00924654"/>
    <w:rsid w:val="009251B9"/>
    <w:rsid w:val="009273DE"/>
    <w:rsid w:val="009376AE"/>
    <w:rsid w:val="00941935"/>
    <w:rsid w:val="00944C0D"/>
    <w:rsid w:val="00950187"/>
    <w:rsid w:val="00951941"/>
    <w:rsid w:val="009520C1"/>
    <w:rsid w:val="00952222"/>
    <w:rsid w:val="00952A11"/>
    <w:rsid w:val="00956455"/>
    <w:rsid w:val="00957476"/>
    <w:rsid w:val="00957992"/>
    <w:rsid w:val="00965A1B"/>
    <w:rsid w:val="0097142B"/>
    <w:rsid w:val="00973A3D"/>
    <w:rsid w:val="0097481D"/>
    <w:rsid w:val="00974910"/>
    <w:rsid w:val="009755CC"/>
    <w:rsid w:val="009768B0"/>
    <w:rsid w:val="00977F88"/>
    <w:rsid w:val="00977FE0"/>
    <w:rsid w:val="00980EFD"/>
    <w:rsid w:val="0098448C"/>
    <w:rsid w:val="009848B6"/>
    <w:rsid w:val="009849F1"/>
    <w:rsid w:val="009865A2"/>
    <w:rsid w:val="009869AB"/>
    <w:rsid w:val="00986C62"/>
    <w:rsid w:val="0098783F"/>
    <w:rsid w:val="00990C8F"/>
    <w:rsid w:val="00991E58"/>
    <w:rsid w:val="00994EF4"/>
    <w:rsid w:val="00996D98"/>
    <w:rsid w:val="00997161"/>
    <w:rsid w:val="009A1D5E"/>
    <w:rsid w:val="009A2503"/>
    <w:rsid w:val="009A3BB3"/>
    <w:rsid w:val="009A427E"/>
    <w:rsid w:val="009B4938"/>
    <w:rsid w:val="009B6ECF"/>
    <w:rsid w:val="009C03EA"/>
    <w:rsid w:val="009C0B75"/>
    <w:rsid w:val="009C2EBC"/>
    <w:rsid w:val="009D09C0"/>
    <w:rsid w:val="009D1250"/>
    <w:rsid w:val="009D1A6A"/>
    <w:rsid w:val="009E1859"/>
    <w:rsid w:val="009E1A45"/>
    <w:rsid w:val="009E6F38"/>
    <w:rsid w:val="009F037C"/>
    <w:rsid w:val="009F3929"/>
    <w:rsid w:val="009F45A0"/>
    <w:rsid w:val="009F4A23"/>
    <w:rsid w:val="00A014CE"/>
    <w:rsid w:val="00A06B9C"/>
    <w:rsid w:val="00A10EEB"/>
    <w:rsid w:val="00A1587F"/>
    <w:rsid w:val="00A17EC5"/>
    <w:rsid w:val="00A2058C"/>
    <w:rsid w:val="00A27BE9"/>
    <w:rsid w:val="00A309B0"/>
    <w:rsid w:val="00A30DBC"/>
    <w:rsid w:val="00A3282E"/>
    <w:rsid w:val="00A33A42"/>
    <w:rsid w:val="00A33BE7"/>
    <w:rsid w:val="00A3544E"/>
    <w:rsid w:val="00A359BF"/>
    <w:rsid w:val="00A3636C"/>
    <w:rsid w:val="00A370F6"/>
    <w:rsid w:val="00A376B9"/>
    <w:rsid w:val="00A37CE4"/>
    <w:rsid w:val="00A42D8C"/>
    <w:rsid w:val="00A45173"/>
    <w:rsid w:val="00A563E6"/>
    <w:rsid w:val="00A5651B"/>
    <w:rsid w:val="00A60EDD"/>
    <w:rsid w:val="00A60EEE"/>
    <w:rsid w:val="00A61478"/>
    <w:rsid w:val="00A61F28"/>
    <w:rsid w:val="00A72463"/>
    <w:rsid w:val="00A800D7"/>
    <w:rsid w:val="00A80748"/>
    <w:rsid w:val="00A84040"/>
    <w:rsid w:val="00A849FA"/>
    <w:rsid w:val="00A8666C"/>
    <w:rsid w:val="00A8783E"/>
    <w:rsid w:val="00A91A7E"/>
    <w:rsid w:val="00A9249A"/>
    <w:rsid w:val="00A93CC4"/>
    <w:rsid w:val="00AA0E66"/>
    <w:rsid w:val="00AA241A"/>
    <w:rsid w:val="00AA3018"/>
    <w:rsid w:val="00AA5225"/>
    <w:rsid w:val="00AA70BA"/>
    <w:rsid w:val="00AB3958"/>
    <w:rsid w:val="00AB421F"/>
    <w:rsid w:val="00AB674E"/>
    <w:rsid w:val="00AB68E5"/>
    <w:rsid w:val="00AC1718"/>
    <w:rsid w:val="00AC2C25"/>
    <w:rsid w:val="00AC3361"/>
    <w:rsid w:val="00AC3697"/>
    <w:rsid w:val="00AC391C"/>
    <w:rsid w:val="00AC407A"/>
    <w:rsid w:val="00AC44F9"/>
    <w:rsid w:val="00AC72B1"/>
    <w:rsid w:val="00AC7D60"/>
    <w:rsid w:val="00AD0898"/>
    <w:rsid w:val="00AD16A5"/>
    <w:rsid w:val="00AD2167"/>
    <w:rsid w:val="00AD3775"/>
    <w:rsid w:val="00AD3CDB"/>
    <w:rsid w:val="00AD7C04"/>
    <w:rsid w:val="00AE3102"/>
    <w:rsid w:val="00AE37BD"/>
    <w:rsid w:val="00AE4307"/>
    <w:rsid w:val="00AE4E30"/>
    <w:rsid w:val="00AE5C81"/>
    <w:rsid w:val="00AE5F1F"/>
    <w:rsid w:val="00AF03CF"/>
    <w:rsid w:val="00AF1660"/>
    <w:rsid w:val="00AF3E8F"/>
    <w:rsid w:val="00AF46D9"/>
    <w:rsid w:val="00AF4C04"/>
    <w:rsid w:val="00B0097C"/>
    <w:rsid w:val="00B046B1"/>
    <w:rsid w:val="00B0489B"/>
    <w:rsid w:val="00B0560A"/>
    <w:rsid w:val="00B061BE"/>
    <w:rsid w:val="00B0734E"/>
    <w:rsid w:val="00B07682"/>
    <w:rsid w:val="00B07AFE"/>
    <w:rsid w:val="00B101BA"/>
    <w:rsid w:val="00B11A3B"/>
    <w:rsid w:val="00B139CF"/>
    <w:rsid w:val="00B14E6C"/>
    <w:rsid w:val="00B15B1B"/>
    <w:rsid w:val="00B173E0"/>
    <w:rsid w:val="00B20433"/>
    <w:rsid w:val="00B279AE"/>
    <w:rsid w:val="00B35901"/>
    <w:rsid w:val="00B42645"/>
    <w:rsid w:val="00B4354F"/>
    <w:rsid w:val="00B44651"/>
    <w:rsid w:val="00B4566D"/>
    <w:rsid w:val="00B459A4"/>
    <w:rsid w:val="00B50828"/>
    <w:rsid w:val="00B52E74"/>
    <w:rsid w:val="00B52E81"/>
    <w:rsid w:val="00B61E05"/>
    <w:rsid w:val="00B624E1"/>
    <w:rsid w:val="00B650B4"/>
    <w:rsid w:val="00B6588C"/>
    <w:rsid w:val="00B71050"/>
    <w:rsid w:val="00B729D7"/>
    <w:rsid w:val="00B747DF"/>
    <w:rsid w:val="00B76B58"/>
    <w:rsid w:val="00B82066"/>
    <w:rsid w:val="00B82827"/>
    <w:rsid w:val="00B83460"/>
    <w:rsid w:val="00B84D52"/>
    <w:rsid w:val="00B87DBB"/>
    <w:rsid w:val="00B93545"/>
    <w:rsid w:val="00B95E77"/>
    <w:rsid w:val="00B96BCB"/>
    <w:rsid w:val="00BA06EC"/>
    <w:rsid w:val="00BA36E3"/>
    <w:rsid w:val="00BA45B1"/>
    <w:rsid w:val="00BA4EF7"/>
    <w:rsid w:val="00BB4274"/>
    <w:rsid w:val="00BB77E3"/>
    <w:rsid w:val="00BC3FA8"/>
    <w:rsid w:val="00BC5A18"/>
    <w:rsid w:val="00BC6367"/>
    <w:rsid w:val="00BD0E83"/>
    <w:rsid w:val="00BD1CAE"/>
    <w:rsid w:val="00BD5E1B"/>
    <w:rsid w:val="00BE0967"/>
    <w:rsid w:val="00BE14EF"/>
    <w:rsid w:val="00BE1D24"/>
    <w:rsid w:val="00BE1EBA"/>
    <w:rsid w:val="00BE28A2"/>
    <w:rsid w:val="00BE34E8"/>
    <w:rsid w:val="00BE73E6"/>
    <w:rsid w:val="00BF0F59"/>
    <w:rsid w:val="00BF2DA0"/>
    <w:rsid w:val="00BF2EBD"/>
    <w:rsid w:val="00BF6B6D"/>
    <w:rsid w:val="00BF6E92"/>
    <w:rsid w:val="00BF7BC5"/>
    <w:rsid w:val="00BF7C97"/>
    <w:rsid w:val="00C018B2"/>
    <w:rsid w:val="00C0399D"/>
    <w:rsid w:val="00C04986"/>
    <w:rsid w:val="00C0593A"/>
    <w:rsid w:val="00C07146"/>
    <w:rsid w:val="00C13E0E"/>
    <w:rsid w:val="00C14B7E"/>
    <w:rsid w:val="00C15196"/>
    <w:rsid w:val="00C159FA"/>
    <w:rsid w:val="00C15C23"/>
    <w:rsid w:val="00C16A4D"/>
    <w:rsid w:val="00C16ADB"/>
    <w:rsid w:val="00C20545"/>
    <w:rsid w:val="00C20B29"/>
    <w:rsid w:val="00C239FB"/>
    <w:rsid w:val="00C2489D"/>
    <w:rsid w:val="00C31777"/>
    <w:rsid w:val="00C319A2"/>
    <w:rsid w:val="00C339D8"/>
    <w:rsid w:val="00C33A79"/>
    <w:rsid w:val="00C34886"/>
    <w:rsid w:val="00C40D30"/>
    <w:rsid w:val="00C418AF"/>
    <w:rsid w:val="00C438D6"/>
    <w:rsid w:val="00C5071E"/>
    <w:rsid w:val="00C51233"/>
    <w:rsid w:val="00C516E9"/>
    <w:rsid w:val="00C542C8"/>
    <w:rsid w:val="00C56A98"/>
    <w:rsid w:val="00C57B6C"/>
    <w:rsid w:val="00C641FA"/>
    <w:rsid w:val="00C675DC"/>
    <w:rsid w:val="00C67BE2"/>
    <w:rsid w:val="00C71129"/>
    <w:rsid w:val="00C713D5"/>
    <w:rsid w:val="00C7362D"/>
    <w:rsid w:val="00C745C9"/>
    <w:rsid w:val="00C86CE7"/>
    <w:rsid w:val="00C91C58"/>
    <w:rsid w:val="00C934E9"/>
    <w:rsid w:val="00C936DF"/>
    <w:rsid w:val="00CA2723"/>
    <w:rsid w:val="00CA6C52"/>
    <w:rsid w:val="00CB15EE"/>
    <w:rsid w:val="00CB216A"/>
    <w:rsid w:val="00CB3F84"/>
    <w:rsid w:val="00CB6BDE"/>
    <w:rsid w:val="00CB7A7E"/>
    <w:rsid w:val="00CC1C07"/>
    <w:rsid w:val="00CC2E74"/>
    <w:rsid w:val="00CC33DA"/>
    <w:rsid w:val="00CC3E27"/>
    <w:rsid w:val="00CC3EF2"/>
    <w:rsid w:val="00CC6F3E"/>
    <w:rsid w:val="00CD0D0A"/>
    <w:rsid w:val="00CD3654"/>
    <w:rsid w:val="00CD3D54"/>
    <w:rsid w:val="00CD707C"/>
    <w:rsid w:val="00CD79BD"/>
    <w:rsid w:val="00CE0EC0"/>
    <w:rsid w:val="00CE14BF"/>
    <w:rsid w:val="00CE186B"/>
    <w:rsid w:val="00CE1F8D"/>
    <w:rsid w:val="00CE3F90"/>
    <w:rsid w:val="00CE5F68"/>
    <w:rsid w:val="00CE6175"/>
    <w:rsid w:val="00CE7DAF"/>
    <w:rsid w:val="00CF24CA"/>
    <w:rsid w:val="00CF3703"/>
    <w:rsid w:val="00D02AC1"/>
    <w:rsid w:val="00D04809"/>
    <w:rsid w:val="00D05DCF"/>
    <w:rsid w:val="00D10B0A"/>
    <w:rsid w:val="00D127CF"/>
    <w:rsid w:val="00D13E60"/>
    <w:rsid w:val="00D15366"/>
    <w:rsid w:val="00D2220B"/>
    <w:rsid w:val="00D31B33"/>
    <w:rsid w:val="00D33630"/>
    <w:rsid w:val="00D3736E"/>
    <w:rsid w:val="00D42202"/>
    <w:rsid w:val="00D43B1C"/>
    <w:rsid w:val="00D441E2"/>
    <w:rsid w:val="00D472EF"/>
    <w:rsid w:val="00D47F1F"/>
    <w:rsid w:val="00D520AE"/>
    <w:rsid w:val="00D524F5"/>
    <w:rsid w:val="00D60A11"/>
    <w:rsid w:val="00D62DC7"/>
    <w:rsid w:val="00D62FCD"/>
    <w:rsid w:val="00D63D4F"/>
    <w:rsid w:val="00D64BD7"/>
    <w:rsid w:val="00D73625"/>
    <w:rsid w:val="00D8280A"/>
    <w:rsid w:val="00D87D29"/>
    <w:rsid w:val="00D9020A"/>
    <w:rsid w:val="00D90C91"/>
    <w:rsid w:val="00D90CC0"/>
    <w:rsid w:val="00D93900"/>
    <w:rsid w:val="00D956A1"/>
    <w:rsid w:val="00D9781C"/>
    <w:rsid w:val="00D979FB"/>
    <w:rsid w:val="00DA3105"/>
    <w:rsid w:val="00DA4637"/>
    <w:rsid w:val="00DA624D"/>
    <w:rsid w:val="00DB0910"/>
    <w:rsid w:val="00DB3338"/>
    <w:rsid w:val="00DB449D"/>
    <w:rsid w:val="00DC0377"/>
    <w:rsid w:val="00DC099F"/>
    <w:rsid w:val="00DC0F75"/>
    <w:rsid w:val="00DC313C"/>
    <w:rsid w:val="00DD0059"/>
    <w:rsid w:val="00DD2CFC"/>
    <w:rsid w:val="00DD3769"/>
    <w:rsid w:val="00DD6A89"/>
    <w:rsid w:val="00DD6AC8"/>
    <w:rsid w:val="00DE0D8F"/>
    <w:rsid w:val="00DE1E72"/>
    <w:rsid w:val="00DE6A33"/>
    <w:rsid w:val="00DF0089"/>
    <w:rsid w:val="00DF2EFD"/>
    <w:rsid w:val="00DF475C"/>
    <w:rsid w:val="00DF5D05"/>
    <w:rsid w:val="00DF6CC5"/>
    <w:rsid w:val="00E02477"/>
    <w:rsid w:val="00E047FD"/>
    <w:rsid w:val="00E06623"/>
    <w:rsid w:val="00E07A26"/>
    <w:rsid w:val="00E07D1F"/>
    <w:rsid w:val="00E112DA"/>
    <w:rsid w:val="00E1131D"/>
    <w:rsid w:val="00E12FE1"/>
    <w:rsid w:val="00E133CE"/>
    <w:rsid w:val="00E15447"/>
    <w:rsid w:val="00E16B68"/>
    <w:rsid w:val="00E201BD"/>
    <w:rsid w:val="00E22CAE"/>
    <w:rsid w:val="00E249BD"/>
    <w:rsid w:val="00E24FEA"/>
    <w:rsid w:val="00E262BF"/>
    <w:rsid w:val="00E3017E"/>
    <w:rsid w:val="00E339BF"/>
    <w:rsid w:val="00E35C43"/>
    <w:rsid w:val="00E37C48"/>
    <w:rsid w:val="00E41608"/>
    <w:rsid w:val="00E4353F"/>
    <w:rsid w:val="00E435DB"/>
    <w:rsid w:val="00E455F1"/>
    <w:rsid w:val="00E46177"/>
    <w:rsid w:val="00E46391"/>
    <w:rsid w:val="00E47D77"/>
    <w:rsid w:val="00E50566"/>
    <w:rsid w:val="00E508F7"/>
    <w:rsid w:val="00E54A2A"/>
    <w:rsid w:val="00E65286"/>
    <w:rsid w:val="00E702ED"/>
    <w:rsid w:val="00E74D66"/>
    <w:rsid w:val="00E75FE6"/>
    <w:rsid w:val="00E76FA0"/>
    <w:rsid w:val="00E7715E"/>
    <w:rsid w:val="00E82996"/>
    <w:rsid w:val="00E82BE4"/>
    <w:rsid w:val="00E869B3"/>
    <w:rsid w:val="00E923C0"/>
    <w:rsid w:val="00E93E91"/>
    <w:rsid w:val="00E965E4"/>
    <w:rsid w:val="00E97671"/>
    <w:rsid w:val="00EA4A2D"/>
    <w:rsid w:val="00EA591D"/>
    <w:rsid w:val="00EA6210"/>
    <w:rsid w:val="00EA6D5D"/>
    <w:rsid w:val="00EB1A1F"/>
    <w:rsid w:val="00EB7003"/>
    <w:rsid w:val="00EC0200"/>
    <w:rsid w:val="00EC3A8C"/>
    <w:rsid w:val="00EC4895"/>
    <w:rsid w:val="00EC7E95"/>
    <w:rsid w:val="00ED0932"/>
    <w:rsid w:val="00EE6273"/>
    <w:rsid w:val="00EF0195"/>
    <w:rsid w:val="00EF5F5B"/>
    <w:rsid w:val="00EF6462"/>
    <w:rsid w:val="00F00E96"/>
    <w:rsid w:val="00F0215F"/>
    <w:rsid w:val="00F0304B"/>
    <w:rsid w:val="00F03E8B"/>
    <w:rsid w:val="00F10093"/>
    <w:rsid w:val="00F173E5"/>
    <w:rsid w:val="00F23623"/>
    <w:rsid w:val="00F34C70"/>
    <w:rsid w:val="00F34C89"/>
    <w:rsid w:val="00F365CE"/>
    <w:rsid w:val="00F37D76"/>
    <w:rsid w:val="00F4000D"/>
    <w:rsid w:val="00F5001C"/>
    <w:rsid w:val="00F52026"/>
    <w:rsid w:val="00F52384"/>
    <w:rsid w:val="00F539C5"/>
    <w:rsid w:val="00F5488D"/>
    <w:rsid w:val="00F56A5B"/>
    <w:rsid w:val="00F56F98"/>
    <w:rsid w:val="00F62B07"/>
    <w:rsid w:val="00F63A8F"/>
    <w:rsid w:val="00F70AE7"/>
    <w:rsid w:val="00F7184F"/>
    <w:rsid w:val="00F7491F"/>
    <w:rsid w:val="00F750B9"/>
    <w:rsid w:val="00F75C6C"/>
    <w:rsid w:val="00F8420A"/>
    <w:rsid w:val="00F84DFC"/>
    <w:rsid w:val="00F855B7"/>
    <w:rsid w:val="00F90E8E"/>
    <w:rsid w:val="00FA31FF"/>
    <w:rsid w:val="00FA3E1C"/>
    <w:rsid w:val="00FA7F57"/>
    <w:rsid w:val="00FB1564"/>
    <w:rsid w:val="00FB599A"/>
    <w:rsid w:val="00FC1F4D"/>
    <w:rsid w:val="00FC78B3"/>
    <w:rsid w:val="00FD013E"/>
    <w:rsid w:val="00FD31E7"/>
    <w:rsid w:val="00FD43A8"/>
    <w:rsid w:val="00FE2D4F"/>
    <w:rsid w:val="00FE44F6"/>
    <w:rsid w:val="00FE52AF"/>
    <w:rsid w:val="00FF050D"/>
    <w:rsid w:val="00FF1C3B"/>
    <w:rsid w:val="00FF1EEE"/>
    <w:rsid w:val="00FF455C"/>
    <w:rsid w:val="00FF499D"/>
    <w:rsid w:val="00FF5333"/>
    <w:rsid w:val="00FF6105"/>
    <w:rsid w:val="0188A76C"/>
    <w:rsid w:val="028FD356"/>
    <w:rsid w:val="030C0EA6"/>
    <w:rsid w:val="03D9AF8F"/>
    <w:rsid w:val="04AE89A9"/>
    <w:rsid w:val="04FEAD72"/>
    <w:rsid w:val="06557EF5"/>
    <w:rsid w:val="068754E6"/>
    <w:rsid w:val="074BDC15"/>
    <w:rsid w:val="07E5F46C"/>
    <w:rsid w:val="081A5D34"/>
    <w:rsid w:val="0863708A"/>
    <w:rsid w:val="08D2F49A"/>
    <w:rsid w:val="09BCE591"/>
    <w:rsid w:val="09F132AF"/>
    <w:rsid w:val="0A02121E"/>
    <w:rsid w:val="0A0F7912"/>
    <w:rsid w:val="0A308CB1"/>
    <w:rsid w:val="0A5EDFE2"/>
    <w:rsid w:val="0B1EA43F"/>
    <w:rsid w:val="0B302E3F"/>
    <w:rsid w:val="0B586CDF"/>
    <w:rsid w:val="0BBA67A0"/>
    <w:rsid w:val="0C52751F"/>
    <w:rsid w:val="0E569DCB"/>
    <w:rsid w:val="0E8C5298"/>
    <w:rsid w:val="0F2E6A29"/>
    <w:rsid w:val="103E2E5F"/>
    <w:rsid w:val="106DBA27"/>
    <w:rsid w:val="10E5AD4E"/>
    <w:rsid w:val="11D4E5DB"/>
    <w:rsid w:val="121DA66B"/>
    <w:rsid w:val="1269AE0A"/>
    <w:rsid w:val="134B60EF"/>
    <w:rsid w:val="139C85CF"/>
    <w:rsid w:val="1491C8F4"/>
    <w:rsid w:val="15CBC0D6"/>
    <w:rsid w:val="16604DD4"/>
    <w:rsid w:val="184DCF00"/>
    <w:rsid w:val="197E6529"/>
    <w:rsid w:val="19CABAC5"/>
    <w:rsid w:val="1B69F3D8"/>
    <w:rsid w:val="1B90580C"/>
    <w:rsid w:val="1CF700D8"/>
    <w:rsid w:val="1E15EE46"/>
    <w:rsid w:val="1EF86868"/>
    <w:rsid w:val="20DA1E95"/>
    <w:rsid w:val="21A95C26"/>
    <w:rsid w:val="25396C05"/>
    <w:rsid w:val="26C40049"/>
    <w:rsid w:val="272A463B"/>
    <w:rsid w:val="2AF5DE42"/>
    <w:rsid w:val="2B2ADD46"/>
    <w:rsid w:val="2BA8FE80"/>
    <w:rsid w:val="2C325524"/>
    <w:rsid w:val="2CB3EB91"/>
    <w:rsid w:val="2D0E7124"/>
    <w:rsid w:val="2D7FAA20"/>
    <w:rsid w:val="2E842B35"/>
    <w:rsid w:val="2E8A2158"/>
    <w:rsid w:val="303BD0A5"/>
    <w:rsid w:val="303C01A3"/>
    <w:rsid w:val="3075F2DC"/>
    <w:rsid w:val="30DA5486"/>
    <w:rsid w:val="3228B367"/>
    <w:rsid w:val="33015907"/>
    <w:rsid w:val="33231353"/>
    <w:rsid w:val="33D1DF33"/>
    <w:rsid w:val="34BD370C"/>
    <w:rsid w:val="34F0EDBB"/>
    <w:rsid w:val="378FD0BE"/>
    <w:rsid w:val="38C5F637"/>
    <w:rsid w:val="392B823A"/>
    <w:rsid w:val="3A0C6D1D"/>
    <w:rsid w:val="3C777A80"/>
    <w:rsid w:val="3CF71DFA"/>
    <w:rsid w:val="3D191EC6"/>
    <w:rsid w:val="3DC96AD8"/>
    <w:rsid w:val="3DF275D5"/>
    <w:rsid w:val="3E31FE78"/>
    <w:rsid w:val="3F59D56C"/>
    <w:rsid w:val="3F8134E7"/>
    <w:rsid w:val="3FCC2D19"/>
    <w:rsid w:val="40B15E2B"/>
    <w:rsid w:val="40B4F7E1"/>
    <w:rsid w:val="40C4F52A"/>
    <w:rsid w:val="4208080A"/>
    <w:rsid w:val="433E23A6"/>
    <w:rsid w:val="444D26F0"/>
    <w:rsid w:val="44E86F9C"/>
    <w:rsid w:val="459BBB10"/>
    <w:rsid w:val="461E4F14"/>
    <w:rsid w:val="472C72F5"/>
    <w:rsid w:val="47D29AD1"/>
    <w:rsid w:val="4AFEA40A"/>
    <w:rsid w:val="4B932221"/>
    <w:rsid w:val="4C1AD957"/>
    <w:rsid w:val="4DCF73FB"/>
    <w:rsid w:val="4EC258BC"/>
    <w:rsid w:val="4F3D93B4"/>
    <w:rsid w:val="4F66A08C"/>
    <w:rsid w:val="513BE32F"/>
    <w:rsid w:val="516BBB79"/>
    <w:rsid w:val="5248DA9A"/>
    <w:rsid w:val="527DE652"/>
    <w:rsid w:val="528EFEED"/>
    <w:rsid w:val="52A63373"/>
    <w:rsid w:val="539624E6"/>
    <w:rsid w:val="53CF68D8"/>
    <w:rsid w:val="55BD2271"/>
    <w:rsid w:val="58546FE3"/>
    <w:rsid w:val="59B39018"/>
    <w:rsid w:val="5A5C7DC1"/>
    <w:rsid w:val="5B5E5466"/>
    <w:rsid w:val="5C21698F"/>
    <w:rsid w:val="5D086AA3"/>
    <w:rsid w:val="5D0FE0A1"/>
    <w:rsid w:val="5D9F7825"/>
    <w:rsid w:val="5EF07062"/>
    <w:rsid w:val="5EF2957B"/>
    <w:rsid w:val="5FC0C4B4"/>
    <w:rsid w:val="60FB87A4"/>
    <w:rsid w:val="61850A42"/>
    <w:rsid w:val="6226D186"/>
    <w:rsid w:val="623BC565"/>
    <w:rsid w:val="625B1E5C"/>
    <w:rsid w:val="62C5A518"/>
    <w:rsid w:val="62E6475E"/>
    <w:rsid w:val="664CE3FA"/>
    <w:rsid w:val="665A7990"/>
    <w:rsid w:val="678C1F19"/>
    <w:rsid w:val="68BFACEB"/>
    <w:rsid w:val="6950764B"/>
    <w:rsid w:val="6B74414A"/>
    <w:rsid w:val="6B8E59C7"/>
    <w:rsid w:val="6FCFAA40"/>
    <w:rsid w:val="70E83DCA"/>
    <w:rsid w:val="71157F60"/>
    <w:rsid w:val="713D4B22"/>
    <w:rsid w:val="71FF7E70"/>
    <w:rsid w:val="72221DC8"/>
    <w:rsid w:val="733141AD"/>
    <w:rsid w:val="73D3FFB1"/>
    <w:rsid w:val="74FC16A7"/>
    <w:rsid w:val="761BDE97"/>
    <w:rsid w:val="77286C12"/>
    <w:rsid w:val="7856CC58"/>
    <w:rsid w:val="7A9B8935"/>
    <w:rsid w:val="7AF61329"/>
    <w:rsid w:val="7B403BF7"/>
    <w:rsid w:val="7BAF4336"/>
    <w:rsid w:val="7BD8C7DC"/>
    <w:rsid w:val="7C112E4C"/>
    <w:rsid w:val="7D1C409E"/>
    <w:rsid w:val="7D81D9F3"/>
    <w:rsid w:val="7D92B3DB"/>
    <w:rsid w:val="7F9E4669"/>
    <w:rsid w:val="7FDE5AB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78084A"/>
  <w15:chartTrackingRefBased/>
  <w15:docId w15:val="{9A1D25E3-4EE8-42B8-956C-F4F82378A2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DE1E72"/>
    <w:pPr>
      <w:keepNext/>
      <w:keepLines/>
      <w:numPr>
        <w:numId w:val="1"/>
      </w:numPr>
      <w:spacing w:before="240" w:after="0"/>
      <w:outlineLvl w:val="0"/>
    </w:pPr>
    <w:rPr>
      <w:rFonts w:asciiTheme="majorHAnsi" w:eastAsiaTheme="majorEastAsia" w:hAnsiTheme="majorHAnsi" w:cstheme="majorBidi"/>
      <w:color w:val="0F4761" w:themeColor="accent1" w:themeShade="BF"/>
      <w:sz w:val="32"/>
      <w:szCs w:val="32"/>
    </w:rPr>
  </w:style>
  <w:style w:type="paragraph" w:styleId="Heading2">
    <w:name w:val="heading 2"/>
    <w:basedOn w:val="Normal"/>
    <w:next w:val="Normal"/>
    <w:link w:val="Heading2Char"/>
    <w:uiPriority w:val="9"/>
    <w:unhideWhenUsed/>
    <w:qFormat/>
    <w:rsid w:val="0034238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34238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34238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4238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4238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4238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4238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4238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Heading1"/>
    <w:link w:val="Style1Char"/>
    <w:autoRedefine/>
    <w:qFormat/>
    <w:rsid w:val="00DE1E72"/>
    <w:pPr>
      <w:keepNext w:val="0"/>
      <w:keepLines w:val="0"/>
      <w:numPr>
        <w:numId w:val="2"/>
      </w:numPr>
      <w:spacing w:before="100" w:beforeAutospacing="1" w:after="100" w:afterAutospacing="1" w:line="240" w:lineRule="auto"/>
    </w:pPr>
    <w:rPr>
      <w:rFonts w:ascii="Times New Roman" w:eastAsiaTheme="minorEastAsia" w:hAnsi="Times New Roman" w:cs="Times New Roman"/>
      <w:b/>
      <w:bCs/>
      <w:color w:val="auto"/>
      <w:kern w:val="36"/>
      <w:sz w:val="48"/>
      <w:szCs w:val="48"/>
    </w:rPr>
  </w:style>
  <w:style w:type="character" w:customStyle="1" w:styleId="Style1Char">
    <w:name w:val="Style1 Char"/>
    <w:basedOn w:val="Heading1Char"/>
    <w:link w:val="Style1"/>
    <w:rsid w:val="00DE1E72"/>
    <w:rPr>
      <w:rFonts w:ascii="Times New Roman" w:eastAsiaTheme="minorEastAsia" w:hAnsi="Times New Roman" w:cs="Times New Roman"/>
      <w:b/>
      <w:bCs/>
      <w:color w:val="0F4761" w:themeColor="accent1" w:themeShade="BF"/>
      <w:kern w:val="36"/>
      <w:sz w:val="48"/>
      <w:szCs w:val="48"/>
    </w:rPr>
  </w:style>
  <w:style w:type="character" w:customStyle="1" w:styleId="Heading1Char">
    <w:name w:val="Heading 1 Char"/>
    <w:basedOn w:val="DefaultParagraphFont"/>
    <w:link w:val="Heading1"/>
    <w:uiPriority w:val="9"/>
    <w:rsid w:val="00DE1E72"/>
    <w:rPr>
      <w:rFonts w:asciiTheme="majorHAnsi" w:eastAsiaTheme="majorEastAsia" w:hAnsiTheme="majorHAnsi" w:cstheme="majorBidi"/>
      <w:color w:val="0F4761" w:themeColor="accent1" w:themeShade="BF"/>
      <w:sz w:val="32"/>
      <w:szCs w:val="32"/>
    </w:rPr>
  </w:style>
  <w:style w:type="character" w:customStyle="1" w:styleId="Heading2Char">
    <w:name w:val="Heading 2 Char"/>
    <w:basedOn w:val="DefaultParagraphFont"/>
    <w:link w:val="Heading2"/>
    <w:uiPriority w:val="9"/>
    <w:rsid w:val="00342383"/>
    <w:rPr>
      <w:rFonts w:asciiTheme="majorHAnsi" w:eastAsiaTheme="majorEastAsia" w:hAnsiTheme="majorHAnsi" w:cstheme="majorBidi"/>
      <w:color w:val="0F4761" w:themeColor="accent1" w:themeShade="BF"/>
      <w:sz w:val="32"/>
      <w:szCs w:val="32"/>
      <w:lang w:val="en-GB"/>
    </w:rPr>
  </w:style>
  <w:style w:type="character" w:customStyle="1" w:styleId="Heading3Char">
    <w:name w:val="Heading 3 Char"/>
    <w:basedOn w:val="DefaultParagraphFont"/>
    <w:link w:val="Heading3"/>
    <w:uiPriority w:val="9"/>
    <w:rsid w:val="00342383"/>
    <w:rPr>
      <w:rFonts w:eastAsiaTheme="majorEastAsia" w:cstheme="majorBidi"/>
      <w:color w:val="0F4761" w:themeColor="accent1" w:themeShade="BF"/>
      <w:sz w:val="28"/>
      <w:szCs w:val="28"/>
      <w:lang w:val="en-GB"/>
    </w:rPr>
  </w:style>
  <w:style w:type="character" w:customStyle="1" w:styleId="Heading4Char">
    <w:name w:val="Heading 4 Char"/>
    <w:basedOn w:val="DefaultParagraphFont"/>
    <w:link w:val="Heading4"/>
    <w:uiPriority w:val="9"/>
    <w:rsid w:val="00342383"/>
    <w:rPr>
      <w:rFonts w:eastAsiaTheme="majorEastAsia" w:cstheme="majorBidi"/>
      <w:i/>
      <w:iCs/>
      <w:color w:val="0F4761" w:themeColor="accent1" w:themeShade="BF"/>
      <w:lang w:val="en-GB"/>
    </w:rPr>
  </w:style>
  <w:style w:type="character" w:customStyle="1" w:styleId="Heading5Char">
    <w:name w:val="Heading 5 Char"/>
    <w:basedOn w:val="DefaultParagraphFont"/>
    <w:link w:val="Heading5"/>
    <w:uiPriority w:val="9"/>
    <w:semiHidden/>
    <w:rsid w:val="00342383"/>
    <w:rPr>
      <w:rFonts w:eastAsiaTheme="majorEastAsia" w:cstheme="majorBidi"/>
      <w:color w:val="0F4761" w:themeColor="accent1" w:themeShade="BF"/>
      <w:lang w:val="en-GB"/>
    </w:rPr>
  </w:style>
  <w:style w:type="character" w:customStyle="1" w:styleId="Heading6Char">
    <w:name w:val="Heading 6 Char"/>
    <w:basedOn w:val="DefaultParagraphFont"/>
    <w:link w:val="Heading6"/>
    <w:uiPriority w:val="9"/>
    <w:semiHidden/>
    <w:rsid w:val="00342383"/>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semiHidden/>
    <w:rsid w:val="00342383"/>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semiHidden/>
    <w:rsid w:val="00342383"/>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semiHidden/>
    <w:rsid w:val="00342383"/>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34238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42383"/>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34238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42383"/>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342383"/>
    <w:pPr>
      <w:spacing w:before="160"/>
      <w:jc w:val="center"/>
    </w:pPr>
    <w:rPr>
      <w:i/>
      <w:iCs/>
      <w:color w:val="404040" w:themeColor="text1" w:themeTint="BF"/>
    </w:rPr>
  </w:style>
  <w:style w:type="character" w:customStyle="1" w:styleId="QuoteChar">
    <w:name w:val="Quote Char"/>
    <w:basedOn w:val="DefaultParagraphFont"/>
    <w:link w:val="Quote"/>
    <w:uiPriority w:val="29"/>
    <w:rsid w:val="00342383"/>
    <w:rPr>
      <w:i/>
      <w:iCs/>
      <w:color w:val="404040" w:themeColor="text1" w:themeTint="BF"/>
      <w:lang w:val="en-GB"/>
    </w:rPr>
  </w:style>
  <w:style w:type="paragraph" w:styleId="ListParagraph">
    <w:name w:val="List Paragraph"/>
    <w:basedOn w:val="Normal"/>
    <w:uiPriority w:val="34"/>
    <w:qFormat/>
    <w:rsid w:val="00342383"/>
    <w:pPr>
      <w:ind w:left="720"/>
      <w:contextualSpacing/>
    </w:pPr>
  </w:style>
  <w:style w:type="character" w:styleId="IntenseEmphasis">
    <w:name w:val="Intense Emphasis"/>
    <w:basedOn w:val="DefaultParagraphFont"/>
    <w:uiPriority w:val="21"/>
    <w:qFormat/>
    <w:rsid w:val="00342383"/>
    <w:rPr>
      <w:i/>
      <w:iCs/>
      <w:color w:val="0F4761" w:themeColor="accent1" w:themeShade="BF"/>
    </w:rPr>
  </w:style>
  <w:style w:type="paragraph" w:styleId="IntenseQuote">
    <w:name w:val="Intense Quote"/>
    <w:basedOn w:val="Normal"/>
    <w:next w:val="Normal"/>
    <w:link w:val="IntenseQuoteChar"/>
    <w:uiPriority w:val="30"/>
    <w:qFormat/>
    <w:rsid w:val="0034238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42383"/>
    <w:rPr>
      <w:i/>
      <w:iCs/>
      <w:color w:val="0F4761" w:themeColor="accent1" w:themeShade="BF"/>
      <w:lang w:val="en-GB"/>
    </w:rPr>
  </w:style>
  <w:style w:type="character" w:styleId="IntenseReference">
    <w:name w:val="Intense Reference"/>
    <w:basedOn w:val="DefaultParagraphFont"/>
    <w:uiPriority w:val="32"/>
    <w:qFormat/>
    <w:rsid w:val="00342383"/>
    <w:rPr>
      <w:b/>
      <w:bCs/>
      <w:smallCaps/>
      <w:color w:val="0F4761" w:themeColor="accent1" w:themeShade="BF"/>
      <w:spacing w:val="5"/>
    </w:rPr>
  </w:style>
  <w:style w:type="table" w:styleId="PlainTable3">
    <w:name w:val="Plain Table 3"/>
    <w:basedOn w:val="TableNormal"/>
    <w:uiPriority w:val="43"/>
    <w:rsid w:val="002238F1"/>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Caption">
    <w:name w:val="caption"/>
    <w:basedOn w:val="Normal"/>
    <w:next w:val="Normal"/>
    <w:uiPriority w:val="35"/>
    <w:unhideWhenUsed/>
    <w:qFormat/>
    <w:rsid w:val="00D524F5"/>
    <w:pPr>
      <w:spacing w:after="200" w:line="240" w:lineRule="auto"/>
    </w:pPr>
    <w:rPr>
      <w:i/>
      <w:iCs/>
      <w:color w:val="0E2841" w:themeColor="text2"/>
      <w:sz w:val="18"/>
      <w:szCs w:val="18"/>
    </w:rPr>
  </w:style>
  <w:style w:type="paragraph" w:styleId="CommentText">
    <w:name w:val="annotation text"/>
    <w:basedOn w:val="Normal"/>
    <w:link w:val="CommentTextChar"/>
    <w:uiPriority w:val="99"/>
    <w:unhideWhenUsed/>
    <w:rsid w:val="00AB68E5"/>
    <w:pPr>
      <w:spacing w:line="240" w:lineRule="auto"/>
    </w:pPr>
    <w:rPr>
      <w:sz w:val="20"/>
      <w:szCs w:val="20"/>
    </w:rPr>
  </w:style>
  <w:style w:type="character" w:customStyle="1" w:styleId="CommentTextChar">
    <w:name w:val="Comment Text Char"/>
    <w:basedOn w:val="DefaultParagraphFont"/>
    <w:link w:val="CommentText"/>
    <w:uiPriority w:val="99"/>
    <w:rsid w:val="00AB68E5"/>
    <w:rPr>
      <w:sz w:val="20"/>
      <w:szCs w:val="20"/>
      <w:lang w:val="en-GB"/>
    </w:rPr>
  </w:style>
  <w:style w:type="character" w:styleId="CommentReference">
    <w:name w:val="annotation reference"/>
    <w:basedOn w:val="DefaultParagraphFont"/>
    <w:uiPriority w:val="99"/>
    <w:semiHidden/>
    <w:unhideWhenUsed/>
    <w:rsid w:val="00AB68E5"/>
    <w:rPr>
      <w:sz w:val="16"/>
      <w:szCs w:val="16"/>
    </w:rPr>
  </w:style>
  <w:style w:type="paragraph" w:styleId="CommentSubject">
    <w:name w:val="annotation subject"/>
    <w:basedOn w:val="CommentText"/>
    <w:next w:val="CommentText"/>
    <w:link w:val="CommentSubjectChar"/>
    <w:uiPriority w:val="99"/>
    <w:semiHidden/>
    <w:unhideWhenUsed/>
    <w:rsid w:val="00D04809"/>
    <w:rPr>
      <w:b/>
      <w:bCs/>
    </w:rPr>
  </w:style>
  <w:style w:type="character" w:customStyle="1" w:styleId="CommentSubjectChar">
    <w:name w:val="Comment Subject Char"/>
    <w:basedOn w:val="CommentTextChar"/>
    <w:link w:val="CommentSubject"/>
    <w:uiPriority w:val="99"/>
    <w:semiHidden/>
    <w:rsid w:val="00D04809"/>
    <w:rPr>
      <w:b/>
      <w:bCs/>
      <w:sz w:val="20"/>
      <w:szCs w:val="20"/>
      <w:lang w:val="en-GB"/>
    </w:rPr>
  </w:style>
  <w:style w:type="paragraph" w:styleId="Revision">
    <w:name w:val="Revision"/>
    <w:hidden/>
    <w:uiPriority w:val="99"/>
    <w:semiHidden/>
    <w:rsid w:val="000B3FB5"/>
    <w:pPr>
      <w:spacing w:after="0" w:line="240" w:lineRule="auto"/>
    </w:pPr>
    <w:rPr>
      <w:lang w:val="en-GB"/>
    </w:rPr>
  </w:style>
  <w:style w:type="table" w:styleId="PlainTable5">
    <w:name w:val="Plain Table 5"/>
    <w:basedOn w:val="TableNormal"/>
    <w:uiPriority w:val="45"/>
    <w:rsid w:val="007947AD"/>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Header">
    <w:name w:val="header"/>
    <w:basedOn w:val="Normal"/>
    <w:link w:val="HeaderChar"/>
    <w:uiPriority w:val="99"/>
    <w:unhideWhenUsed/>
    <w:rsid w:val="009D1250"/>
    <w:pPr>
      <w:tabs>
        <w:tab w:val="center" w:pos="4819"/>
        <w:tab w:val="right" w:pos="9638"/>
      </w:tabs>
      <w:spacing w:after="0" w:line="240" w:lineRule="auto"/>
    </w:pPr>
  </w:style>
  <w:style w:type="character" w:customStyle="1" w:styleId="HeaderChar">
    <w:name w:val="Header Char"/>
    <w:basedOn w:val="DefaultParagraphFont"/>
    <w:link w:val="Header"/>
    <w:uiPriority w:val="99"/>
    <w:rsid w:val="009D1250"/>
    <w:rPr>
      <w:lang w:val="en-GB"/>
    </w:rPr>
  </w:style>
  <w:style w:type="paragraph" w:styleId="Footer">
    <w:name w:val="footer"/>
    <w:basedOn w:val="Normal"/>
    <w:link w:val="FooterChar"/>
    <w:uiPriority w:val="99"/>
    <w:unhideWhenUsed/>
    <w:rsid w:val="009D1250"/>
    <w:pPr>
      <w:tabs>
        <w:tab w:val="center" w:pos="4819"/>
        <w:tab w:val="right" w:pos="9638"/>
      </w:tabs>
      <w:spacing w:after="0" w:line="240" w:lineRule="auto"/>
    </w:pPr>
  </w:style>
  <w:style w:type="character" w:customStyle="1" w:styleId="FooterChar">
    <w:name w:val="Footer Char"/>
    <w:basedOn w:val="DefaultParagraphFont"/>
    <w:link w:val="Footer"/>
    <w:uiPriority w:val="99"/>
    <w:rsid w:val="009D1250"/>
    <w:rPr>
      <w:lang w:val="en-GB"/>
    </w:rPr>
  </w:style>
  <w:style w:type="character" w:styleId="Mention">
    <w:name w:val="Mention"/>
    <w:basedOn w:val="DefaultParagraphFont"/>
    <w:uiPriority w:val="99"/>
    <w:unhideWhenUsed/>
    <w:rsid w:val="00267159"/>
    <w:rPr>
      <w:color w:val="2B579A"/>
      <w:shd w:val="clear" w:color="auto" w:fill="E1DFDD"/>
    </w:rPr>
  </w:style>
  <w:style w:type="table" w:styleId="TableGrid">
    <w:name w:val="Table Grid"/>
    <w:basedOn w:val="TableNormal"/>
    <w:uiPriority w:val="39"/>
    <w:rsid w:val="006C43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A6ACF"/>
    <w:rPr>
      <w:color w:val="0000FF"/>
      <w:u w:val="single"/>
    </w:rPr>
  </w:style>
  <w:style w:type="paragraph" w:styleId="TableofFigures">
    <w:name w:val="table of figures"/>
    <w:basedOn w:val="Normal"/>
    <w:next w:val="Normal"/>
    <w:uiPriority w:val="99"/>
    <w:semiHidden/>
    <w:unhideWhenUsed/>
    <w:rsid w:val="002A6ACF"/>
    <w:pPr>
      <w:spacing w:after="0"/>
    </w:pPr>
  </w:style>
  <w:style w:type="paragraph" w:styleId="TOCHeading">
    <w:name w:val="TOC Heading"/>
    <w:basedOn w:val="Heading1"/>
    <w:next w:val="Normal"/>
    <w:uiPriority w:val="39"/>
    <w:unhideWhenUsed/>
    <w:qFormat/>
    <w:rsid w:val="002454AA"/>
    <w:pPr>
      <w:numPr>
        <w:numId w:val="0"/>
      </w:numPr>
      <w:outlineLvl w:val="9"/>
    </w:pPr>
    <w:rPr>
      <w:kern w:val="0"/>
      <w:lang w:val="en-US"/>
    </w:rPr>
  </w:style>
  <w:style w:type="paragraph" w:styleId="TOC2">
    <w:name w:val="toc 2"/>
    <w:basedOn w:val="Normal"/>
    <w:next w:val="Normal"/>
    <w:autoRedefine/>
    <w:uiPriority w:val="39"/>
    <w:unhideWhenUsed/>
    <w:rsid w:val="002454AA"/>
    <w:pPr>
      <w:spacing w:after="100"/>
      <w:ind w:left="220"/>
    </w:pPr>
  </w:style>
  <w:style w:type="paragraph" w:styleId="TOC1">
    <w:name w:val="toc 1"/>
    <w:basedOn w:val="Normal"/>
    <w:next w:val="Normal"/>
    <w:autoRedefine/>
    <w:uiPriority w:val="39"/>
    <w:unhideWhenUsed/>
    <w:rsid w:val="002454AA"/>
    <w:pPr>
      <w:spacing w:after="100"/>
    </w:pPr>
  </w:style>
  <w:style w:type="paragraph" w:styleId="TOC3">
    <w:name w:val="toc 3"/>
    <w:basedOn w:val="Normal"/>
    <w:next w:val="Normal"/>
    <w:autoRedefine/>
    <w:uiPriority w:val="39"/>
    <w:unhideWhenUsed/>
    <w:rsid w:val="002454AA"/>
    <w:pPr>
      <w:spacing w:after="100"/>
      <w:ind w:left="440"/>
    </w:pPr>
  </w:style>
  <w:style w:type="paragraph" w:styleId="NormalWeb">
    <w:name w:val="Normal (Web)"/>
    <w:basedOn w:val="Normal"/>
    <w:uiPriority w:val="99"/>
    <w:semiHidden/>
    <w:unhideWhenUsed/>
    <w:rsid w:val="00D9781C"/>
    <w:rPr>
      <w:rFonts w:ascii="Times New Roman" w:hAnsi="Times New Roman" w:cs="Times New Roman"/>
      <w:sz w:val="24"/>
      <w:szCs w:val="24"/>
    </w:rPr>
  </w:style>
  <w:style w:type="paragraph" w:styleId="FootnoteText">
    <w:name w:val="footnote text"/>
    <w:basedOn w:val="Normal"/>
    <w:link w:val="FootnoteTextChar"/>
    <w:uiPriority w:val="99"/>
    <w:semiHidden/>
    <w:unhideWhenUsed/>
    <w:rsid w:val="00A5651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5651B"/>
    <w:rPr>
      <w:sz w:val="20"/>
      <w:szCs w:val="20"/>
      <w:lang w:val="en-GB"/>
    </w:rPr>
  </w:style>
  <w:style w:type="character" w:styleId="FootnoteReference">
    <w:name w:val="footnote reference"/>
    <w:basedOn w:val="DefaultParagraphFont"/>
    <w:uiPriority w:val="99"/>
    <w:semiHidden/>
    <w:unhideWhenUsed/>
    <w:rsid w:val="00A5651B"/>
    <w:rPr>
      <w:vertAlign w:val="superscript"/>
    </w:rPr>
  </w:style>
  <w:style w:type="paragraph" w:styleId="Bibliography">
    <w:name w:val="Bibliography"/>
    <w:basedOn w:val="Normal"/>
    <w:next w:val="Normal"/>
    <w:uiPriority w:val="37"/>
    <w:unhideWhenUsed/>
    <w:rsid w:val="00A37CE4"/>
    <w:pPr>
      <w:spacing w:after="0" w:line="240" w:lineRule="auto"/>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454068">
      <w:bodyDiv w:val="1"/>
      <w:marLeft w:val="0"/>
      <w:marRight w:val="0"/>
      <w:marTop w:val="0"/>
      <w:marBottom w:val="0"/>
      <w:divBdr>
        <w:top w:val="none" w:sz="0" w:space="0" w:color="auto"/>
        <w:left w:val="none" w:sz="0" w:space="0" w:color="auto"/>
        <w:bottom w:val="none" w:sz="0" w:space="0" w:color="auto"/>
        <w:right w:val="none" w:sz="0" w:space="0" w:color="auto"/>
      </w:divBdr>
      <w:divsChild>
        <w:div w:id="884949097">
          <w:marLeft w:val="0"/>
          <w:marRight w:val="0"/>
          <w:marTop w:val="0"/>
          <w:marBottom w:val="0"/>
          <w:divBdr>
            <w:top w:val="none" w:sz="0" w:space="0" w:color="auto"/>
            <w:left w:val="none" w:sz="0" w:space="0" w:color="auto"/>
            <w:bottom w:val="none" w:sz="0" w:space="0" w:color="auto"/>
            <w:right w:val="none" w:sz="0" w:space="0" w:color="auto"/>
          </w:divBdr>
          <w:divsChild>
            <w:div w:id="1614365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5692351">
      <w:bodyDiv w:val="1"/>
      <w:marLeft w:val="0"/>
      <w:marRight w:val="0"/>
      <w:marTop w:val="0"/>
      <w:marBottom w:val="0"/>
      <w:divBdr>
        <w:top w:val="none" w:sz="0" w:space="0" w:color="auto"/>
        <w:left w:val="none" w:sz="0" w:space="0" w:color="auto"/>
        <w:bottom w:val="none" w:sz="0" w:space="0" w:color="auto"/>
        <w:right w:val="none" w:sz="0" w:space="0" w:color="auto"/>
      </w:divBdr>
    </w:div>
    <w:div w:id="497814129">
      <w:bodyDiv w:val="1"/>
      <w:marLeft w:val="0"/>
      <w:marRight w:val="0"/>
      <w:marTop w:val="0"/>
      <w:marBottom w:val="0"/>
      <w:divBdr>
        <w:top w:val="none" w:sz="0" w:space="0" w:color="auto"/>
        <w:left w:val="none" w:sz="0" w:space="0" w:color="auto"/>
        <w:bottom w:val="none" w:sz="0" w:space="0" w:color="auto"/>
        <w:right w:val="none" w:sz="0" w:space="0" w:color="auto"/>
      </w:divBdr>
    </w:div>
    <w:div w:id="528834493">
      <w:bodyDiv w:val="1"/>
      <w:marLeft w:val="0"/>
      <w:marRight w:val="0"/>
      <w:marTop w:val="0"/>
      <w:marBottom w:val="0"/>
      <w:divBdr>
        <w:top w:val="none" w:sz="0" w:space="0" w:color="auto"/>
        <w:left w:val="none" w:sz="0" w:space="0" w:color="auto"/>
        <w:bottom w:val="none" w:sz="0" w:space="0" w:color="auto"/>
        <w:right w:val="none" w:sz="0" w:space="0" w:color="auto"/>
      </w:divBdr>
    </w:div>
    <w:div w:id="728264637">
      <w:bodyDiv w:val="1"/>
      <w:marLeft w:val="0"/>
      <w:marRight w:val="0"/>
      <w:marTop w:val="0"/>
      <w:marBottom w:val="0"/>
      <w:divBdr>
        <w:top w:val="none" w:sz="0" w:space="0" w:color="auto"/>
        <w:left w:val="none" w:sz="0" w:space="0" w:color="auto"/>
        <w:bottom w:val="none" w:sz="0" w:space="0" w:color="auto"/>
        <w:right w:val="none" w:sz="0" w:space="0" w:color="auto"/>
      </w:divBdr>
    </w:div>
    <w:div w:id="1071925864">
      <w:bodyDiv w:val="1"/>
      <w:marLeft w:val="0"/>
      <w:marRight w:val="0"/>
      <w:marTop w:val="0"/>
      <w:marBottom w:val="0"/>
      <w:divBdr>
        <w:top w:val="none" w:sz="0" w:space="0" w:color="auto"/>
        <w:left w:val="none" w:sz="0" w:space="0" w:color="auto"/>
        <w:bottom w:val="none" w:sz="0" w:space="0" w:color="auto"/>
        <w:right w:val="none" w:sz="0" w:space="0" w:color="auto"/>
      </w:divBdr>
    </w:div>
    <w:div w:id="1135373424">
      <w:bodyDiv w:val="1"/>
      <w:marLeft w:val="0"/>
      <w:marRight w:val="0"/>
      <w:marTop w:val="0"/>
      <w:marBottom w:val="0"/>
      <w:divBdr>
        <w:top w:val="none" w:sz="0" w:space="0" w:color="auto"/>
        <w:left w:val="none" w:sz="0" w:space="0" w:color="auto"/>
        <w:bottom w:val="none" w:sz="0" w:space="0" w:color="auto"/>
        <w:right w:val="none" w:sz="0" w:space="0" w:color="auto"/>
      </w:divBdr>
    </w:div>
    <w:div w:id="1166284086">
      <w:bodyDiv w:val="1"/>
      <w:marLeft w:val="0"/>
      <w:marRight w:val="0"/>
      <w:marTop w:val="0"/>
      <w:marBottom w:val="0"/>
      <w:divBdr>
        <w:top w:val="none" w:sz="0" w:space="0" w:color="auto"/>
        <w:left w:val="none" w:sz="0" w:space="0" w:color="auto"/>
        <w:bottom w:val="none" w:sz="0" w:space="0" w:color="auto"/>
        <w:right w:val="none" w:sz="0" w:space="0" w:color="auto"/>
      </w:divBdr>
    </w:div>
    <w:div w:id="1199077178">
      <w:bodyDiv w:val="1"/>
      <w:marLeft w:val="0"/>
      <w:marRight w:val="0"/>
      <w:marTop w:val="0"/>
      <w:marBottom w:val="0"/>
      <w:divBdr>
        <w:top w:val="none" w:sz="0" w:space="0" w:color="auto"/>
        <w:left w:val="none" w:sz="0" w:space="0" w:color="auto"/>
        <w:bottom w:val="none" w:sz="0" w:space="0" w:color="auto"/>
        <w:right w:val="none" w:sz="0" w:space="0" w:color="auto"/>
      </w:divBdr>
      <w:divsChild>
        <w:div w:id="1720518391">
          <w:marLeft w:val="0"/>
          <w:marRight w:val="0"/>
          <w:marTop w:val="0"/>
          <w:marBottom w:val="0"/>
          <w:divBdr>
            <w:top w:val="none" w:sz="0" w:space="0" w:color="auto"/>
            <w:left w:val="none" w:sz="0" w:space="0" w:color="auto"/>
            <w:bottom w:val="none" w:sz="0" w:space="0" w:color="auto"/>
            <w:right w:val="none" w:sz="0" w:space="0" w:color="auto"/>
          </w:divBdr>
          <w:divsChild>
            <w:div w:id="164135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256256">
      <w:bodyDiv w:val="1"/>
      <w:marLeft w:val="0"/>
      <w:marRight w:val="0"/>
      <w:marTop w:val="0"/>
      <w:marBottom w:val="0"/>
      <w:divBdr>
        <w:top w:val="none" w:sz="0" w:space="0" w:color="auto"/>
        <w:left w:val="none" w:sz="0" w:space="0" w:color="auto"/>
        <w:bottom w:val="none" w:sz="0" w:space="0" w:color="auto"/>
        <w:right w:val="none" w:sz="0" w:space="0" w:color="auto"/>
      </w:divBdr>
    </w:div>
    <w:div w:id="1234660689">
      <w:bodyDiv w:val="1"/>
      <w:marLeft w:val="0"/>
      <w:marRight w:val="0"/>
      <w:marTop w:val="0"/>
      <w:marBottom w:val="0"/>
      <w:divBdr>
        <w:top w:val="none" w:sz="0" w:space="0" w:color="auto"/>
        <w:left w:val="none" w:sz="0" w:space="0" w:color="auto"/>
        <w:bottom w:val="none" w:sz="0" w:space="0" w:color="auto"/>
        <w:right w:val="none" w:sz="0" w:space="0" w:color="auto"/>
      </w:divBdr>
    </w:div>
    <w:div w:id="1275862076">
      <w:bodyDiv w:val="1"/>
      <w:marLeft w:val="0"/>
      <w:marRight w:val="0"/>
      <w:marTop w:val="0"/>
      <w:marBottom w:val="0"/>
      <w:divBdr>
        <w:top w:val="none" w:sz="0" w:space="0" w:color="auto"/>
        <w:left w:val="none" w:sz="0" w:space="0" w:color="auto"/>
        <w:bottom w:val="none" w:sz="0" w:space="0" w:color="auto"/>
        <w:right w:val="none" w:sz="0" w:space="0" w:color="auto"/>
      </w:divBdr>
      <w:divsChild>
        <w:div w:id="368458825">
          <w:marLeft w:val="0"/>
          <w:marRight w:val="0"/>
          <w:marTop w:val="0"/>
          <w:marBottom w:val="0"/>
          <w:divBdr>
            <w:top w:val="none" w:sz="0" w:space="0" w:color="auto"/>
            <w:left w:val="none" w:sz="0" w:space="0" w:color="auto"/>
            <w:bottom w:val="none" w:sz="0" w:space="0" w:color="auto"/>
            <w:right w:val="none" w:sz="0" w:space="0" w:color="auto"/>
          </w:divBdr>
          <w:divsChild>
            <w:div w:id="62995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108601">
      <w:bodyDiv w:val="1"/>
      <w:marLeft w:val="0"/>
      <w:marRight w:val="0"/>
      <w:marTop w:val="0"/>
      <w:marBottom w:val="0"/>
      <w:divBdr>
        <w:top w:val="none" w:sz="0" w:space="0" w:color="auto"/>
        <w:left w:val="none" w:sz="0" w:space="0" w:color="auto"/>
        <w:bottom w:val="none" w:sz="0" w:space="0" w:color="auto"/>
        <w:right w:val="none" w:sz="0" w:space="0" w:color="auto"/>
      </w:divBdr>
    </w:div>
    <w:div w:id="1725567785">
      <w:bodyDiv w:val="1"/>
      <w:marLeft w:val="0"/>
      <w:marRight w:val="0"/>
      <w:marTop w:val="0"/>
      <w:marBottom w:val="0"/>
      <w:divBdr>
        <w:top w:val="none" w:sz="0" w:space="0" w:color="auto"/>
        <w:left w:val="none" w:sz="0" w:space="0" w:color="auto"/>
        <w:bottom w:val="none" w:sz="0" w:space="0" w:color="auto"/>
        <w:right w:val="none" w:sz="0" w:space="0" w:color="auto"/>
      </w:divBdr>
      <w:divsChild>
        <w:div w:id="2038970801">
          <w:marLeft w:val="0"/>
          <w:marRight w:val="0"/>
          <w:marTop w:val="0"/>
          <w:marBottom w:val="0"/>
          <w:divBdr>
            <w:top w:val="none" w:sz="0" w:space="0" w:color="auto"/>
            <w:left w:val="none" w:sz="0" w:space="0" w:color="auto"/>
            <w:bottom w:val="none" w:sz="0" w:space="0" w:color="auto"/>
            <w:right w:val="none" w:sz="0" w:space="0" w:color="auto"/>
          </w:divBdr>
          <w:divsChild>
            <w:div w:id="1478841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102125">
      <w:bodyDiv w:val="1"/>
      <w:marLeft w:val="0"/>
      <w:marRight w:val="0"/>
      <w:marTop w:val="0"/>
      <w:marBottom w:val="0"/>
      <w:divBdr>
        <w:top w:val="none" w:sz="0" w:space="0" w:color="auto"/>
        <w:left w:val="none" w:sz="0" w:space="0" w:color="auto"/>
        <w:bottom w:val="none" w:sz="0" w:space="0" w:color="auto"/>
        <w:right w:val="none" w:sz="0" w:space="0" w:color="auto"/>
      </w:divBdr>
    </w:div>
    <w:div w:id="1872261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31.png"/><Relationship Id="rId3" Type="http://schemas.openxmlformats.org/officeDocument/2006/relationships/styles" Target="styles.xml"/><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image" Target="media/image34.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41" Type="http://schemas.openxmlformats.org/officeDocument/2006/relationships/image" Target="media/image3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10" Type="http://schemas.microsoft.com/office/2007/relationships/hdphoto" Target="media/hdphoto1.wdp"/><Relationship Id="rId19" Type="http://schemas.openxmlformats.org/officeDocument/2006/relationships/image" Target="media/image11.png"/><Relationship Id="rId31" Type="http://schemas.openxmlformats.org/officeDocument/2006/relationships/image" Target="media/image23.png"/><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4776C4-3478-4B4C-B9F3-52AA9745D0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26</Pages>
  <Words>16889</Words>
  <Characters>106234</Characters>
  <Application>Microsoft Office Word</Application>
  <DocSecurity>0</DocSecurity>
  <Lines>1634</Lines>
  <Paragraphs>426</Paragraphs>
  <ScaleCrop>false</ScaleCrop>
  <Company/>
  <LinksUpToDate>false</LinksUpToDate>
  <CharactersWithSpaces>122697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Freistetter Nadine (FMI)</dc:creator>
  <cp:keywords/>
  <dc:description/>
  <cp:lastModifiedBy>Freistetter Nadine (FMI)</cp:lastModifiedBy>
  <cp:revision>16</cp:revision>
  <dcterms:created xsi:type="dcterms:W3CDTF">2025-05-01T17:24:00Z</dcterms:created>
  <dcterms:modified xsi:type="dcterms:W3CDTF">2025-05-01T17:47:00Z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id="TNLtRz4n"/&gt;&lt;style id="http://www.zotero.org/styles/elsevier-harvard" hasBibliography="1" bibliographyStyleHasBeenSet="1"/&gt;&lt;prefs&gt;&lt;pref name="fieldType" value="Field"/&gt;&lt;/prefs&gt;&lt;/data&gt;</vt:lpwstr>
  </property>
</Properties>
</file>