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45B9F" w14:textId="77777777" w:rsidR="00C349D7" w:rsidRDefault="00C349D7" w:rsidP="00C349D7">
      <w:pPr>
        <w:spacing w:before="120" w:after="240" w:line="480" w:lineRule="auto"/>
        <w:rPr>
          <w:rFonts w:ascii="Times New Roman" w:eastAsia="Times New Roman" w:hAnsi="Times New Roman" w:cs="Times New Roman"/>
          <w:b/>
          <w:i/>
          <w:sz w:val="20"/>
        </w:rPr>
      </w:pPr>
      <w:r>
        <w:rPr>
          <w:rFonts w:ascii="Times New Roman" w:eastAsia="Times New Roman" w:hAnsi="Times New Roman" w:cs="Times New Roman"/>
          <w:b/>
          <w:i/>
          <w:sz w:val="20"/>
        </w:rPr>
        <w:t>NGS and Analysis</w:t>
      </w:r>
    </w:p>
    <w:p w14:paraId="291BB6E8" w14:textId="77777777" w:rsidR="00C349D7" w:rsidRDefault="00C349D7" w:rsidP="00C349D7">
      <w:pPr>
        <w:spacing w:before="120" w:after="240" w:line="480" w:lineRule="auto"/>
        <w:rPr>
          <w:rFonts w:ascii="Times New Roman" w:eastAsia="Times New Roman" w:hAnsi="Times New Roman" w:cs="Times New Roman"/>
          <w:sz w:val="20"/>
        </w:rPr>
      </w:pPr>
      <w:bookmarkStart w:id="0" w:name="OLE_LINK7"/>
      <w:r>
        <w:rPr>
          <w:rFonts w:ascii="Times New Roman" w:eastAsia="Times New Roman" w:hAnsi="Times New Roman" w:cs="Times New Roman"/>
          <w:sz w:val="20"/>
        </w:rPr>
        <w:t>Exome Sequencing and Functional Variant Prediction</w:t>
      </w:r>
    </w:p>
    <w:p w14:paraId="2744BB73" w14:textId="793FC001" w:rsidR="00C349D7" w:rsidRDefault="00C349D7" w:rsidP="00C349D7">
      <w:pPr>
        <w:spacing w:before="120" w:after="240" w:line="480" w:lineRule="auto"/>
        <w:rPr>
          <w:rFonts w:ascii="Times New Roman" w:eastAsia="Times New Roman" w:hAnsi="Times New Roman" w:cs="Times New Roman"/>
          <w:sz w:val="20"/>
        </w:rPr>
      </w:pPr>
      <w:r>
        <w:rPr>
          <w:rFonts w:ascii="Times New Roman" w:eastAsia="Times New Roman" w:hAnsi="Times New Roman" w:cs="Times New Roman"/>
          <w:sz w:val="20"/>
        </w:rPr>
        <w:t xml:space="preserve">Peripheral blood (2 mL) was collected from the patients and their parents using ethylenediaminetetraacetic acid anticoagulant tubes and sent to the laboratory for clinical exome sequencing (CES) or whole-exome sequencing (WES), as previously </w:t>
      </w:r>
      <w:r w:rsidRPr="00177428">
        <w:rPr>
          <w:rFonts w:ascii="Times New Roman" w:eastAsia="Times New Roman" w:hAnsi="Times New Roman" w:cs="Times New Roman"/>
          <w:sz w:val="20"/>
        </w:rPr>
        <w:t>described [</w:t>
      </w:r>
      <w:r w:rsidRPr="007D50E1">
        <w:rPr>
          <w:rFonts w:ascii="Times New Roman" w:eastAsia="Times New Roman" w:hAnsi="Times New Roman" w:cs="Times New Roman"/>
          <w:sz w:val="20"/>
        </w:rPr>
        <w:t>1,</w:t>
      </w:r>
      <w:r>
        <w:rPr>
          <w:rFonts w:ascii="Times New Roman" w:eastAsia="Times New Roman" w:hAnsi="Times New Roman" w:cs="Times New Roman"/>
          <w:sz w:val="20"/>
        </w:rPr>
        <w:t xml:space="preserve"> </w:t>
      </w:r>
      <w:r w:rsidR="00D12BA1">
        <w:rPr>
          <w:rFonts w:ascii="Times New Roman" w:hAnsi="Times New Roman" w:cs="Times New Roman" w:hint="eastAsia"/>
          <w:sz w:val="20"/>
        </w:rPr>
        <w:t>2</w:t>
      </w:r>
      <w:r w:rsidRPr="007D50E1">
        <w:rPr>
          <w:rFonts w:ascii="Times New Roman" w:eastAsia="Times New Roman" w:hAnsi="Times New Roman" w:cs="Times New Roman"/>
          <w:sz w:val="20"/>
        </w:rPr>
        <w:t>]</w:t>
      </w:r>
      <w:r w:rsidRPr="00177428">
        <w:rPr>
          <w:rFonts w:ascii="Times New Roman" w:eastAsia="Times New Roman" w:hAnsi="Times New Roman" w:cs="Times New Roman"/>
          <w:sz w:val="20"/>
        </w:rPr>
        <w:t>.</w:t>
      </w:r>
      <w:r>
        <w:rPr>
          <w:rFonts w:ascii="Times New Roman" w:eastAsia="Times New Roman" w:hAnsi="Times New Roman" w:cs="Times New Roman"/>
          <w:sz w:val="20"/>
        </w:rPr>
        <w:t xml:space="preserve"> Genomic DNA was extracted from leukocytes, followed by library preparation, hybridization capture, and paired-end sequencing (150 bp reads) with an average depth of 100× and 99% coverage. Raw sequencing data underwent quality control using </w:t>
      </w:r>
      <w:proofErr w:type="spellStart"/>
      <w:r>
        <w:rPr>
          <w:rFonts w:ascii="Times New Roman" w:eastAsia="Times New Roman" w:hAnsi="Times New Roman" w:cs="Times New Roman"/>
          <w:sz w:val="20"/>
        </w:rPr>
        <w:t>FastQC</w:t>
      </w:r>
      <w:proofErr w:type="spellEnd"/>
      <w:r>
        <w:rPr>
          <w:rFonts w:ascii="Times New Roman" w:eastAsia="Times New Roman" w:hAnsi="Times New Roman" w:cs="Times New Roman"/>
          <w:sz w:val="20"/>
        </w:rPr>
        <w:t xml:space="preserve"> to remove low-quality reads. Clean reads were aligned to the human reference genome (GRCh37/hg19) using BWA-MEM, and variants were called using the Genome Analysis Toolkit (GATK v4.2). Identified variants were annotated using ANNOVAR, following the Human Genome Variation Society nomenclature guidelines. Annotation details included chromosomal coordinates, reference and alternate alleles, gene function, population allele frequencies from the 1000 Genomes Project, Exome Aggregation Consortium, and Genome Aggregation Database (</w:t>
      </w:r>
      <w:proofErr w:type="spellStart"/>
      <w:r>
        <w:rPr>
          <w:rFonts w:ascii="Times New Roman" w:eastAsia="Times New Roman" w:hAnsi="Times New Roman" w:cs="Times New Roman"/>
          <w:sz w:val="20"/>
        </w:rPr>
        <w:t>gnomAD</w:t>
      </w:r>
      <w:proofErr w:type="spellEnd"/>
      <w:r>
        <w:rPr>
          <w:rFonts w:ascii="Times New Roman" w:eastAsia="Times New Roman" w:hAnsi="Times New Roman" w:cs="Times New Roman"/>
          <w:sz w:val="20"/>
        </w:rPr>
        <w:t xml:space="preserve">). In silico pathogenicity predictions were generated using Rare Exome Variant Ensemble Learner (REVEL), </w:t>
      </w:r>
      <w:proofErr w:type="spellStart"/>
      <w:r>
        <w:rPr>
          <w:rFonts w:ascii="Times New Roman" w:eastAsia="Times New Roman" w:hAnsi="Times New Roman" w:cs="Times New Roman"/>
          <w:sz w:val="20"/>
        </w:rPr>
        <w:t>ClinPred</w:t>
      </w:r>
      <w:proofErr w:type="spellEnd"/>
      <w:r>
        <w:rPr>
          <w:rFonts w:ascii="Times New Roman" w:eastAsia="Times New Roman" w:hAnsi="Times New Roman" w:cs="Times New Roman"/>
          <w:sz w:val="20"/>
        </w:rPr>
        <w:t xml:space="preserve">, Sorting Intolerant from Tolerant (SIFT), Protein Variation Effect Analyzer (PROVEAN), </w:t>
      </w:r>
      <w:proofErr w:type="spellStart"/>
      <w:r>
        <w:rPr>
          <w:rFonts w:ascii="Times New Roman" w:eastAsia="Times New Roman" w:hAnsi="Times New Roman" w:cs="Times New Roman"/>
          <w:sz w:val="20"/>
        </w:rPr>
        <w:t>MutationTaster</w:t>
      </w:r>
      <w:proofErr w:type="spellEnd"/>
      <w:r>
        <w:rPr>
          <w:rFonts w:ascii="Times New Roman" w:eastAsia="Times New Roman" w:hAnsi="Times New Roman" w:cs="Times New Roman"/>
          <w:sz w:val="20"/>
        </w:rPr>
        <w:t xml:space="preserve">, Combined Annotation Dependent Depletion, Polymorphism Phenotyping v2 (PolyPhen-2), and the database of splice-altering SNVs (dbscSNV11, version 1.1). The pathogenicity of candidate variants was classified in accordance with the ACMG guidelines </w:t>
      </w:r>
      <w:r w:rsidRPr="00252C97">
        <w:rPr>
          <w:rFonts w:ascii="Times New Roman" w:eastAsia="Times New Roman" w:hAnsi="Times New Roman" w:cs="Times New Roman"/>
          <w:sz w:val="20"/>
        </w:rPr>
        <w:t>[</w:t>
      </w:r>
      <w:r w:rsidR="00D12BA1">
        <w:rPr>
          <w:rFonts w:ascii="Times New Roman" w:hAnsi="Times New Roman" w:cs="Times New Roman" w:hint="eastAsia"/>
          <w:sz w:val="20"/>
        </w:rPr>
        <w:t>3</w:t>
      </w:r>
      <w:r w:rsidRPr="007D50E1">
        <w:rPr>
          <w:rFonts w:ascii="Times New Roman" w:eastAsia="Times New Roman" w:hAnsi="Times New Roman" w:cs="Times New Roman"/>
          <w:sz w:val="20"/>
        </w:rPr>
        <w:t>]</w:t>
      </w:r>
      <w:r>
        <w:rPr>
          <w:rFonts w:ascii="Times New Roman" w:eastAsia="Times New Roman" w:hAnsi="Times New Roman" w:cs="Times New Roman"/>
          <w:sz w:val="20"/>
        </w:rPr>
        <w:t>.</w:t>
      </w:r>
    </w:p>
    <w:p w14:paraId="12D7E41A" w14:textId="77777777" w:rsidR="00C349D7" w:rsidRDefault="00C349D7" w:rsidP="00C349D7">
      <w:pPr>
        <w:spacing w:before="120" w:after="240" w:line="480" w:lineRule="auto"/>
        <w:rPr>
          <w:rFonts w:ascii="Times New Roman" w:eastAsia="Times New Roman" w:hAnsi="Times New Roman" w:cs="Times New Roman"/>
          <w:sz w:val="20"/>
        </w:rPr>
      </w:pPr>
      <w:bookmarkStart w:id="1" w:name="OLE_LINK8"/>
      <w:r>
        <w:rPr>
          <w:rFonts w:ascii="Times New Roman" w:eastAsia="Times New Roman" w:hAnsi="Times New Roman" w:cs="Times New Roman"/>
          <w:sz w:val="20"/>
        </w:rPr>
        <w:t>Sanger Sequencing</w:t>
      </w:r>
    </w:p>
    <w:bookmarkEnd w:id="1"/>
    <w:p w14:paraId="7F566B32" w14:textId="32394BEF" w:rsidR="00C349D7" w:rsidRDefault="00C349D7" w:rsidP="00C349D7">
      <w:pPr>
        <w:spacing w:before="120" w:after="240" w:line="480" w:lineRule="auto"/>
        <w:rPr>
          <w:rFonts w:ascii="Times New Roman" w:eastAsia="Times New Roman" w:hAnsi="Times New Roman" w:cs="Times New Roman"/>
          <w:sz w:val="20"/>
        </w:rPr>
      </w:pPr>
      <w:r>
        <w:rPr>
          <w:rFonts w:ascii="Times New Roman" w:eastAsia="Times New Roman" w:hAnsi="Times New Roman" w:cs="Times New Roman"/>
          <w:sz w:val="20"/>
        </w:rPr>
        <w:t xml:space="preserve">Candidate variants in the probands and parents were validated through polymerase chain reaction (PCR) </w:t>
      </w:r>
      <w:r>
        <w:rPr>
          <w:rFonts w:ascii="Times New Roman" w:eastAsia="Times New Roman" w:hAnsi="Times New Roman" w:cs="Times New Roman"/>
          <w:sz w:val="20"/>
        </w:rPr>
        <w:lastRenderedPageBreak/>
        <w:t xml:space="preserve">with primers designed using Primer3 (https://primer3.org/) and optimized using </w:t>
      </w:r>
      <w:proofErr w:type="spellStart"/>
      <w:r>
        <w:rPr>
          <w:rFonts w:ascii="Times New Roman" w:eastAsia="Times New Roman" w:hAnsi="Times New Roman" w:cs="Times New Roman"/>
          <w:sz w:val="20"/>
        </w:rPr>
        <w:t>MFEprimer</w:t>
      </w:r>
      <w:proofErr w:type="spellEnd"/>
      <w:r>
        <w:rPr>
          <w:rFonts w:ascii="Times New Roman" w:eastAsia="Times New Roman" w:hAnsi="Times New Roman" w:cs="Times New Roman"/>
          <w:sz w:val="20"/>
        </w:rPr>
        <w:t xml:space="preserve"> (https://www.mfeprimer.com/). Purified PCR products were sequenced on an ABI 3730xl analyzer and analyzed using Chromas (https://technelysium.com.au/wp/chromas/). </w:t>
      </w:r>
      <w:bookmarkStart w:id="2" w:name="OLE_LINK9"/>
    </w:p>
    <w:bookmarkEnd w:id="0"/>
    <w:bookmarkEnd w:id="2"/>
    <w:p w14:paraId="05ED4908" w14:textId="34890D13" w:rsidR="00D12BA1" w:rsidRDefault="00D12BA1" w:rsidP="00D12BA1">
      <w:pPr>
        <w:pStyle w:val="EndNoteBibliography"/>
        <w:ind w:left="720" w:hanging="720"/>
        <w:rPr>
          <w:rFonts w:hint="eastAsia"/>
        </w:rPr>
      </w:pPr>
      <w:r w:rsidRPr="007D50E1">
        <w:rPr>
          <w:rFonts w:hint="eastAsia"/>
          <w:lang w:val="en-GB"/>
        </w:rPr>
        <w:t>[1]</w:t>
      </w:r>
      <w:r w:rsidRPr="007D50E1">
        <w:rPr>
          <w:rFonts w:hint="eastAsia"/>
          <w:lang w:val="en-GB"/>
        </w:rPr>
        <w:tab/>
        <w:t xml:space="preserve">Huang Z, Xiao F, Xiao H, Lu Y, Yang L, Zhuang D, et al (2023) </w:t>
      </w:r>
      <w:r w:rsidRPr="00876C5D">
        <w:t xml:space="preserve">Comparison of genetic profiles of neonates in intensive care units conceived with or without assisted reproductive technology. </w:t>
      </w:r>
      <w:r w:rsidRPr="007D50E1">
        <w:rPr>
          <w:rFonts w:hint="eastAsia"/>
        </w:rPr>
        <w:t xml:space="preserve">JAMA </w:t>
      </w:r>
      <w:proofErr w:type="spellStart"/>
      <w:r w:rsidRPr="007D50E1">
        <w:rPr>
          <w:rFonts w:hint="eastAsia"/>
        </w:rPr>
        <w:t>Netw</w:t>
      </w:r>
      <w:proofErr w:type="spellEnd"/>
      <w:r w:rsidRPr="007D50E1">
        <w:rPr>
          <w:rFonts w:hint="eastAsia"/>
        </w:rPr>
        <w:t xml:space="preserve"> Open</w:t>
      </w:r>
      <w:r w:rsidRPr="00876C5D">
        <w:t xml:space="preserve"> </w:t>
      </w:r>
      <w:proofErr w:type="gramStart"/>
      <w:r w:rsidRPr="007D50E1">
        <w:rPr>
          <w:rFonts w:hint="eastAsia"/>
        </w:rPr>
        <w:t>6</w:t>
      </w:r>
      <w:r>
        <w:t>:</w:t>
      </w:r>
      <w:r w:rsidRPr="00876C5D">
        <w:t>e</w:t>
      </w:r>
      <w:proofErr w:type="gramEnd"/>
      <w:r w:rsidRPr="00876C5D">
        <w:t>236537.</w:t>
      </w:r>
      <w:r w:rsidRPr="0060655A">
        <w:t xml:space="preserve"> </w:t>
      </w:r>
    </w:p>
    <w:p w14:paraId="7B176C34" w14:textId="77777777" w:rsidR="00D12BA1" w:rsidRPr="00876C5D" w:rsidRDefault="00D12BA1" w:rsidP="00D12BA1">
      <w:pPr>
        <w:pStyle w:val="EndNoteBibliography"/>
        <w:ind w:left="720"/>
        <w:rPr>
          <w:rFonts w:hint="eastAsia"/>
        </w:rPr>
      </w:pPr>
      <w:r w:rsidRPr="0060655A">
        <w:t>https://doi.org/10.1001/jamanetworkopen.2023.6537</w:t>
      </w:r>
    </w:p>
    <w:p w14:paraId="61B8E876" w14:textId="4ADB832D" w:rsidR="00D12BA1" w:rsidRPr="00876C5D" w:rsidRDefault="00D12BA1" w:rsidP="00D12BA1">
      <w:pPr>
        <w:pStyle w:val="EndNoteBibliography"/>
        <w:ind w:left="720" w:hanging="720"/>
        <w:rPr>
          <w:rFonts w:hint="eastAsia"/>
        </w:rPr>
      </w:pPr>
      <w:r w:rsidRPr="007D50E1">
        <w:rPr>
          <w:rFonts w:hint="eastAsia"/>
          <w:lang w:val="de-CH"/>
        </w:rPr>
        <w:t>[</w:t>
      </w:r>
      <w:r>
        <w:rPr>
          <w:rFonts w:hint="eastAsia"/>
          <w:lang w:val="de-CH"/>
        </w:rPr>
        <w:t>2</w:t>
      </w:r>
      <w:r w:rsidRPr="007D50E1">
        <w:rPr>
          <w:rFonts w:hint="eastAsia"/>
          <w:lang w:val="de-CH"/>
        </w:rPr>
        <w:t>]</w:t>
      </w:r>
      <w:r w:rsidRPr="007D50E1">
        <w:rPr>
          <w:rFonts w:hint="eastAsia"/>
          <w:lang w:val="de-CH"/>
        </w:rPr>
        <w:tab/>
        <w:t>Yang H, Liu Z, Chen D, Lin W, Wang L, Chen T, et al</w:t>
      </w:r>
      <w:r>
        <w:rPr>
          <w:lang w:val="de-CH"/>
        </w:rPr>
        <w:t xml:space="preserve"> </w:t>
      </w:r>
      <w:r w:rsidRPr="007D50E1">
        <w:rPr>
          <w:rFonts w:hint="eastAsia"/>
          <w:lang w:val="de-CH"/>
        </w:rPr>
        <w:t xml:space="preserve">(2022). </w:t>
      </w:r>
      <w:r w:rsidRPr="00876C5D">
        <w:t xml:space="preserve">Detection of a novel SETBP1 variant in a Chinese neonate with Schinzel-Giedion syndrome. </w:t>
      </w:r>
      <w:r w:rsidRPr="007D50E1">
        <w:rPr>
          <w:rFonts w:hint="eastAsia"/>
        </w:rPr>
        <w:t xml:space="preserve">Front </w:t>
      </w:r>
      <w:proofErr w:type="spellStart"/>
      <w:r w:rsidRPr="007D50E1">
        <w:rPr>
          <w:rFonts w:hint="eastAsia"/>
        </w:rPr>
        <w:t>Pediatr</w:t>
      </w:r>
      <w:proofErr w:type="spellEnd"/>
      <w:r w:rsidRPr="00876C5D">
        <w:t xml:space="preserve"> </w:t>
      </w:r>
      <w:r w:rsidRPr="007D50E1">
        <w:rPr>
          <w:rFonts w:hint="eastAsia"/>
        </w:rPr>
        <w:t>10</w:t>
      </w:r>
      <w:r>
        <w:t>:</w:t>
      </w:r>
      <w:r w:rsidRPr="00876C5D">
        <w:t>920741.</w:t>
      </w:r>
      <w:r w:rsidRPr="00057637">
        <w:t xml:space="preserve"> https://doi.org/10.3389/fped.2022.920741</w:t>
      </w:r>
    </w:p>
    <w:p w14:paraId="0DBADA00" w14:textId="7CF0EECB" w:rsidR="00D12BA1" w:rsidRPr="007D50E1" w:rsidRDefault="00D12BA1" w:rsidP="00D12BA1">
      <w:pPr>
        <w:spacing w:before="120" w:after="240"/>
        <w:ind w:left="720" w:hanging="720"/>
        <w:rPr>
          <w:rFonts w:ascii="宋体" w:eastAsia="宋体" w:hAnsi="宋体" w:cs="宋体" w:hint="eastAsia"/>
          <w:sz w:val="20"/>
        </w:rPr>
      </w:pPr>
      <w:r w:rsidRPr="00876C5D">
        <w:t>[</w:t>
      </w:r>
      <w:r>
        <w:rPr>
          <w:rFonts w:hint="eastAsia"/>
        </w:rPr>
        <w:t>3</w:t>
      </w:r>
      <w:r w:rsidRPr="00876C5D">
        <w:t>]</w:t>
      </w:r>
      <w:r w:rsidRPr="00876C5D">
        <w:tab/>
        <w:t>Brandt T, Sack LM, Arjona D, Tan D, Mei H, Cui H,</w:t>
      </w:r>
      <w:r w:rsidRPr="007D50E1">
        <w:rPr>
          <w:rFonts w:hint="eastAsia"/>
        </w:rPr>
        <w:t xml:space="preserve"> et al</w:t>
      </w:r>
      <w:r>
        <w:t xml:space="preserve"> (2020)</w:t>
      </w:r>
      <w:r w:rsidRPr="00876C5D">
        <w:t xml:space="preserve"> Adapting ACMG/AMP sequence variant classification guidelines for single-gene copy number variants. </w:t>
      </w:r>
      <w:r w:rsidRPr="007D50E1">
        <w:rPr>
          <w:rFonts w:hint="eastAsia"/>
        </w:rPr>
        <w:t>Genet Med</w:t>
      </w:r>
      <w:r w:rsidRPr="00876C5D">
        <w:t xml:space="preserve"> </w:t>
      </w:r>
      <w:r w:rsidRPr="007D50E1">
        <w:rPr>
          <w:rFonts w:hint="eastAsia"/>
        </w:rPr>
        <w:t>22</w:t>
      </w:r>
      <w:r>
        <w:t>:</w:t>
      </w:r>
      <w:r w:rsidRPr="00876C5D">
        <w:t>336</w:t>
      </w:r>
      <w:r>
        <w:t>–</w:t>
      </w:r>
      <w:r w:rsidRPr="00876C5D">
        <w:t>344.</w:t>
      </w:r>
      <w:r w:rsidRPr="00914C6E">
        <w:t xml:space="preserve"> https://doi.org/10.1038/s41436-019-0655-2</w:t>
      </w:r>
    </w:p>
    <w:p w14:paraId="602D93C7" w14:textId="77777777" w:rsidR="00EF57BC" w:rsidRPr="00D12BA1" w:rsidRDefault="00EF57BC">
      <w:pPr>
        <w:rPr>
          <w:rFonts w:hint="eastAsia"/>
        </w:rPr>
      </w:pPr>
    </w:p>
    <w:sectPr w:rsidR="00EF57BC" w:rsidRPr="00D12B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80E17" w14:textId="77777777" w:rsidR="00D70824" w:rsidRDefault="00D70824" w:rsidP="00C349D7">
      <w:pPr>
        <w:rPr>
          <w:rFonts w:hint="eastAsia"/>
        </w:rPr>
      </w:pPr>
      <w:r>
        <w:separator/>
      </w:r>
    </w:p>
  </w:endnote>
  <w:endnote w:type="continuationSeparator" w:id="0">
    <w:p w14:paraId="240CF641" w14:textId="77777777" w:rsidR="00D70824" w:rsidRDefault="00D70824" w:rsidP="00C349D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F59C2" w14:textId="77777777" w:rsidR="00D70824" w:rsidRDefault="00D70824" w:rsidP="00C349D7">
      <w:pPr>
        <w:rPr>
          <w:rFonts w:hint="eastAsia"/>
        </w:rPr>
      </w:pPr>
      <w:r>
        <w:separator/>
      </w:r>
    </w:p>
  </w:footnote>
  <w:footnote w:type="continuationSeparator" w:id="0">
    <w:p w14:paraId="552E613E" w14:textId="77777777" w:rsidR="00D70824" w:rsidRDefault="00D70824" w:rsidP="00C349D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A29AA"/>
    <w:rsid w:val="00276876"/>
    <w:rsid w:val="0035738F"/>
    <w:rsid w:val="0037123A"/>
    <w:rsid w:val="00477EE8"/>
    <w:rsid w:val="008A29AA"/>
    <w:rsid w:val="008B1CE1"/>
    <w:rsid w:val="00B12B68"/>
    <w:rsid w:val="00B97C3F"/>
    <w:rsid w:val="00BE0FB7"/>
    <w:rsid w:val="00C349D7"/>
    <w:rsid w:val="00D12BA1"/>
    <w:rsid w:val="00D70824"/>
    <w:rsid w:val="00E313FF"/>
    <w:rsid w:val="00EF57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EEC3A"/>
  <w15:chartTrackingRefBased/>
  <w15:docId w15:val="{606AC558-3802-4627-8551-24121A6B4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9D7"/>
    <w:pPr>
      <w:widowControl w:val="0"/>
      <w:jc w:val="both"/>
    </w:pPr>
  </w:style>
  <w:style w:type="paragraph" w:styleId="1">
    <w:name w:val="heading 1"/>
    <w:basedOn w:val="a"/>
    <w:next w:val="a"/>
    <w:link w:val="10"/>
    <w:uiPriority w:val="9"/>
    <w:qFormat/>
    <w:rsid w:val="008A29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29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29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29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29AA"/>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8A29AA"/>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29A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29A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A29A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29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29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29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29AA"/>
    <w:rPr>
      <w:rFonts w:cstheme="majorBidi"/>
      <w:color w:val="2F5496" w:themeColor="accent1" w:themeShade="BF"/>
      <w:sz w:val="28"/>
      <w:szCs w:val="28"/>
    </w:rPr>
  </w:style>
  <w:style w:type="character" w:customStyle="1" w:styleId="50">
    <w:name w:val="标题 5 字符"/>
    <w:basedOn w:val="a0"/>
    <w:link w:val="5"/>
    <w:uiPriority w:val="9"/>
    <w:semiHidden/>
    <w:rsid w:val="008A29AA"/>
    <w:rPr>
      <w:rFonts w:cstheme="majorBidi"/>
      <w:color w:val="2F5496" w:themeColor="accent1" w:themeShade="BF"/>
      <w:sz w:val="24"/>
      <w:szCs w:val="24"/>
    </w:rPr>
  </w:style>
  <w:style w:type="character" w:customStyle="1" w:styleId="60">
    <w:name w:val="标题 6 字符"/>
    <w:basedOn w:val="a0"/>
    <w:link w:val="6"/>
    <w:uiPriority w:val="9"/>
    <w:semiHidden/>
    <w:rsid w:val="008A29AA"/>
    <w:rPr>
      <w:rFonts w:cstheme="majorBidi"/>
      <w:b/>
      <w:bCs/>
      <w:color w:val="2F5496" w:themeColor="accent1" w:themeShade="BF"/>
    </w:rPr>
  </w:style>
  <w:style w:type="character" w:customStyle="1" w:styleId="70">
    <w:name w:val="标题 7 字符"/>
    <w:basedOn w:val="a0"/>
    <w:link w:val="7"/>
    <w:uiPriority w:val="9"/>
    <w:semiHidden/>
    <w:rsid w:val="008A29AA"/>
    <w:rPr>
      <w:rFonts w:cstheme="majorBidi"/>
      <w:b/>
      <w:bCs/>
      <w:color w:val="595959" w:themeColor="text1" w:themeTint="A6"/>
    </w:rPr>
  </w:style>
  <w:style w:type="character" w:customStyle="1" w:styleId="80">
    <w:name w:val="标题 8 字符"/>
    <w:basedOn w:val="a0"/>
    <w:link w:val="8"/>
    <w:uiPriority w:val="9"/>
    <w:semiHidden/>
    <w:rsid w:val="008A29AA"/>
    <w:rPr>
      <w:rFonts w:cstheme="majorBidi"/>
      <w:color w:val="595959" w:themeColor="text1" w:themeTint="A6"/>
    </w:rPr>
  </w:style>
  <w:style w:type="character" w:customStyle="1" w:styleId="90">
    <w:name w:val="标题 9 字符"/>
    <w:basedOn w:val="a0"/>
    <w:link w:val="9"/>
    <w:uiPriority w:val="9"/>
    <w:semiHidden/>
    <w:rsid w:val="008A29AA"/>
    <w:rPr>
      <w:rFonts w:eastAsiaTheme="majorEastAsia" w:cstheme="majorBidi"/>
      <w:color w:val="595959" w:themeColor="text1" w:themeTint="A6"/>
    </w:rPr>
  </w:style>
  <w:style w:type="paragraph" w:styleId="a3">
    <w:name w:val="Title"/>
    <w:basedOn w:val="a"/>
    <w:next w:val="a"/>
    <w:link w:val="a4"/>
    <w:uiPriority w:val="10"/>
    <w:qFormat/>
    <w:rsid w:val="008A29A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29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29A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29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29AA"/>
    <w:pPr>
      <w:spacing w:before="160" w:after="160"/>
      <w:jc w:val="center"/>
    </w:pPr>
    <w:rPr>
      <w:i/>
      <w:iCs/>
      <w:color w:val="404040" w:themeColor="text1" w:themeTint="BF"/>
    </w:rPr>
  </w:style>
  <w:style w:type="character" w:customStyle="1" w:styleId="a8">
    <w:name w:val="引用 字符"/>
    <w:basedOn w:val="a0"/>
    <w:link w:val="a7"/>
    <w:uiPriority w:val="29"/>
    <w:rsid w:val="008A29AA"/>
    <w:rPr>
      <w:i/>
      <w:iCs/>
      <w:color w:val="404040" w:themeColor="text1" w:themeTint="BF"/>
    </w:rPr>
  </w:style>
  <w:style w:type="paragraph" w:styleId="a9">
    <w:name w:val="List Paragraph"/>
    <w:basedOn w:val="a"/>
    <w:uiPriority w:val="34"/>
    <w:qFormat/>
    <w:rsid w:val="008A29AA"/>
    <w:pPr>
      <w:ind w:left="720"/>
      <w:contextualSpacing/>
    </w:pPr>
  </w:style>
  <w:style w:type="character" w:styleId="aa">
    <w:name w:val="Intense Emphasis"/>
    <w:basedOn w:val="a0"/>
    <w:uiPriority w:val="21"/>
    <w:qFormat/>
    <w:rsid w:val="008A29AA"/>
    <w:rPr>
      <w:i/>
      <w:iCs/>
      <w:color w:val="2F5496" w:themeColor="accent1" w:themeShade="BF"/>
    </w:rPr>
  </w:style>
  <w:style w:type="paragraph" w:styleId="ab">
    <w:name w:val="Intense Quote"/>
    <w:basedOn w:val="a"/>
    <w:next w:val="a"/>
    <w:link w:val="ac"/>
    <w:uiPriority w:val="30"/>
    <w:qFormat/>
    <w:rsid w:val="008A29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29AA"/>
    <w:rPr>
      <w:i/>
      <w:iCs/>
      <w:color w:val="2F5496" w:themeColor="accent1" w:themeShade="BF"/>
    </w:rPr>
  </w:style>
  <w:style w:type="character" w:styleId="ad">
    <w:name w:val="Intense Reference"/>
    <w:basedOn w:val="a0"/>
    <w:uiPriority w:val="32"/>
    <w:qFormat/>
    <w:rsid w:val="008A29AA"/>
    <w:rPr>
      <w:b/>
      <w:bCs/>
      <w:smallCaps/>
      <w:color w:val="2F5496" w:themeColor="accent1" w:themeShade="BF"/>
      <w:spacing w:val="5"/>
    </w:rPr>
  </w:style>
  <w:style w:type="paragraph" w:styleId="ae">
    <w:name w:val="header"/>
    <w:basedOn w:val="a"/>
    <w:link w:val="af"/>
    <w:uiPriority w:val="99"/>
    <w:unhideWhenUsed/>
    <w:rsid w:val="00C349D7"/>
    <w:pPr>
      <w:tabs>
        <w:tab w:val="center" w:pos="4153"/>
        <w:tab w:val="right" w:pos="8306"/>
      </w:tabs>
      <w:snapToGrid w:val="0"/>
      <w:jc w:val="center"/>
    </w:pPr>
    <w:rPr>
      <w:sz w:val="18"/>
      <w:szCs w:val="18"/>
    </w:rPr>
  </w:style>
  <w:style w:type="character" w:customStyle="1" w:styleId="af">
    <w:name w:val="页眉 字符"/>
    <w:basedOn w:val="a0"/>
    <w:link w:val="ae"/>
    <w:uiPriority w:val="99"/>
    <w:rsid w:val="00C349D7"/>
    <w:rPr>
      <w:sz w:val="18"/>
      <w:szCs w:val="18"/>
    </w:rPr>
  </w:style>
  <w:style w:type="paragraph" w:styleId="af0">
    <w:name w:val="footer"/>
    <w:basedOn w:val="a"/>
    <w:link w:val="af1"/>
    <w:uiPriority w:val="99"/>
    <w:unhideWhenUsed/>
    <w:rsid w:val="00C349D7"/>
    <w:pPr>
      <w:tabs>
        <w:tab w:val="center" w:pos="4153"/>
        <w:tab w:val="right" w:pos="8306"/>
      </w:tabs>
      <w:snapToGrid w:val="0"/>
      <w:jc w:val="left"/>
    </w:pPr>
    <w:rPr>
      <w:sz w:val="18"/>
      <w:szCs w:val="18"/>
    </w:rPr>
  </w:style>
  <w:style w:type="character" w:customStyle="1" w:styleId="af1">
    <w:name w:val="页脚 字符"/>
    <w:basedOn w:val="a0"/>
    <w:link w:val="af0"/>
    <w:uiPriority w:val="99"/>
    <w:rsid w:val="00C349D7"/>
    <w:rPr>
      <w:sz w:val="18"/>
      <w:szCs w:val="18"/>
    </w:rPr>
  </w:style>
  <w:style w:type="character" w:styleId="af2">
    <w:name w:val="annotation reference"/>
    <w:rsid w:val="00C349D7"/>
    <w:rPr>
      <w:sz w:val="21"/>
    </w:rPr>
  </w:style>
  <w:style w:type="paragraph" w:customStyle="1" w:styleId="EndNoteBibliography">
    <w:name w:val="EndNote Bibliography"/>
    <w:basedOn w:val="a"/>
    <w:qFormat/>
    <w:rsid w:val="00D12BA1"/>
    <w:rPr>
      <w:rFonts w:ascii="等线" w:eastAsia="等线" w:hAnsi="等线" w:cs="等线"/>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398</Words>
  <Characters>2272</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86187</dc:creator>
  <cp:keywords/>
  <dc:description/>
  <cp:lastModifiedBy>86187</cp:lastModifiedBy>
  <cp:revision>3</cp:revision>
  <dcterms:created xsi:type="dcterms:W3CDTF">2025-04-25T10:07:00Z</dcterms:created>
  <dcterms:modified xsi:type="dcterms:W3CDTF">2025-04-25T10:11:00Z</dcterms:modified>
</cp:coreProperties>
</file>