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376BE" w14:textId="77777777" w:rsidR="0048598E" w:rsidRDefault="0048598E" w:rsidP="0048598E">
      <w:pPr>
        <w:pStyle w:val="Heading1"/>
      </w:pPr>
      <w:bookmarkStart w:id="0" w:name="_Toc197010503"/>
      <w:r w:rsidRPr="00E5331E">
        <w:t>Annex I</w:t>
      </w:r>
      <w:r>
        <w:t>.</w:t>
      </w:r>
      <w:bookmarkEnd w:id="0"/>
      <w:r>
        <w:t xml:space="preserve"> </w:t>
      </w:r>
    </w:p>
    <w:p w14:paraId="749F3FB2" w14:textId="77777777" w:rsidR="0048598E" w:rsidRPr="002F7054" w:rsidRDefault="0048598E" w:rsidP="0048598E">
      <w:pPr>
        <w:numPr>
          <w:ilvl w:val="1"/>
          <w:numId w:val="1"/>
        </w:numPr>
        <w:rPr>
          <w:b/>
          <w:bCs/>
          <w:sz w:val="22"/>
          <w:szCs w:val="22"/>
        </w:rPr>
      </w:pPr>
      <w:r w:rsidRPr="002F7054">
        <w:rPr>
          <w:b/>
          <w:bCs/>
          <w:sz w:val="22"/>
          <w:szCs w:val="22"/>
        </w:rPr>
        <w:t>Quantiles and mobility</w:t>
      </w:r>
    </w:p>
    <w:p w14:paraId="1C5B866E" w14:textId="77777777" w:rsidR="0048598E" w:rsidRPr="002F7054" w:rsidRDefault="0048598E" w:rsidP="0048598E">
      <w:pPr>
        <w:spacing w:line="382" w:lineRule="auto"/>
        <w:jc w:val="both"/>
        <w:rPr>
          <w:rFonts w:asciiTheme="majorHAnsi" w:eastAsia="Arial" w:hAnsiTheme="majorHAnsi" w:cstheme="majorHAnsi"/>
          <w:sz w:val="22"/>
          <w:szCs w:val="22"/>
        </w:rPr>
      </w:pPr>
      <w:r w:rsidRPr="002F7054">
        <w:rPr>
          <w:rFonts w:asciiTheme="majorHAnsi" w:eastAsia="Arial" w:hAnsiTheme="majorHAnsi" w:cstheme="majorHAnsi"/>
          <w:sz w:val="22"/>
          <w:szCs w:val="22"/>
        </w:rPr>
        <w:t>For some of our analyses, we use quartiles in the first period of the data to determine the category thresholds. An alternative would be to base the categories on continually updating quantiles, but this would have significant drawbacks. The implicit thresholds would be varying over time, and the stationary distribution would be uninformative by construction. For these reasons, we prefer our chosen approach.</w:t>
      </w:r>
    </w:p>
    <w:p w14:paraId="7E40D9B0" w14:textId="77777777" w:rsidR="0048598E" w:rsidRPr="002F7054" w:rsidRDefault="0048598E" w:rsidP="0048598E"/>
    <w:p w14:paraId="18EC29D4" w14:textId="77777777" w:rsidR="0048598E" w:rsidRPr="002F7054" w:rsidRDefault="0048598E" w:rsidP="0048598E">
      <w:pPr>
        <w:numPr>
          <w:ilvl w:val="1"/>
          <w:numId w:val="1"/>
        </w:numPr>
        <w:rPr>
          <w:b/>
          <w:bCs/>
          <w:sz w:val="22"/>
          <w:szCs w:val="22"/>
        </w:rPr>
      </w:pPr>
      <w:r w:rsidRPr="002F7054">
        <w:rPr>
          <w:b/>
          <w:bCs/>
          <w:sz w:val="22"/>
          <w:szCs w:val="22"/>
        </w:rPr>
        <w:t>Timing assumptions</w:t>
      </w:r>
    </w:p>
    <w:p w14:paraId="370D6B47" w14:textId="77777777" w:rsidR="0048598E" w:rsidRPr="007847AC" w:rsidRDefault="0048598E" w:rsidP="0048598E">
      <w:pPr>
        <w:spacing w:line="382" w:lineRule="auto"/>
        <w:jc w:val="both"/>
        <w:rPr>
          <w:rFonts w:asciiTheme="majorHAnsi" w:eastAsia="Arial" w:hAnsiTheme="majorHAnsi" w:cstheme="majorHAnsi"/>
          <w:sz w:val="22"/>
          <w:szCs w:val="22"/>
        </w:rPr>
      </w:pPr>
      <w:r w:rsidRPr="002F7054">
        <w:rPr>
          <w:rFonts w:asciiTheme="majorHAnsi" w:eastAsia="Arial" w:hAnsiTheme="majorHAnsi" w:cstheme="majorHAnsi"/>
          <w:sz w:val="22"/>
          <w:szCs w:val="22"/>
        </w:rPr>
        <w:t>Given that we use time intervals longer than a year, we have to decide how to arrive at a crisis indicator based on annual data; for a parallel choice see, for example, Rancière et al. (2006, p. 3335). We illustrate with a four-year interval. For the state classification in, say, 1975, we use output at that date, while the crisis indicator is unity if there was a crisis in any of the years 1975, 1976, 1977 or 1978. This means that upwards or downwards mobility between, say, 1975 and 1979 is measured by comparing output in 1975 and 1979, while crisis outcomes are those arising between 1975 and 1978 inclusive. This ensures that particular crisis years are not used more than once.</w:t>
      </w:r>
    </w:p>
    <w:p w14:paraId="18D964A7" w14:textId="77777777" w:rsidR="0048598E" w:rsidRPr="002F7054" w:rsidRDefault="0048598E" w:rsidP="0048598E"/>
    <w:p w14:paraId="66F716AF" w14:textId="77777777" w:rsidR="0048598E" w:rsidRPr="002F7054" w:rsidRDefault="0048598E" w:rsidP="0048598E">
      <w:pPr>
        <w:numPr>
          <w:ilvl w:val="1"/>
          <w:numId w:val="1"/>
        </w:numPr>
        <w:rPr>
          <w:b/>
          <w:bCs/>
          <w:sz w:val="22"/>
          <w:szCs w:val="22"/>
        </w:rPr>
      </w:pPr>
      <w:r w:rsidRPr="002F7054">
        <w:rPr>
          <w:b/>
          <w:bCs/>
          <w:sz w:val="22"/>
          <w:szCs w:val="22"/>
        </w:rPr>
        <w:t>Bootstrap</w:t>
      </w:r>
    </w:p>
    <w:p w14:paraId="302E245F" w14:textId="77777777" w:rsidR="0048598E" w:rsidRPr="002F7054" w:rsidRDefault="0048598E" w:rsidP="0048598E">
      <w:pPr>
        <w:spacing w:line="382" w:lineRule="auto"/>
        <w:jc w:val="both"/>
        <w:rPr>
          <w:rFonts w:asciiTheme="majorHAnsi" w:eastAsia="Arial" w:hAnsiTheme="majorHAnsi" w:cstheme="majorHAnsi"/>
          <w:sz w:val="22"/>
          <w:szCs w:val="22"/>
        </w:rPr>
      </w:pPr>
      <w:r w:rsidRPr="002F7054">
        <w:rPr>
          <w:rFonts w:asciiTheme="majorHAnsi" w:eastAsia="Arial" w:hAnsiTheme="majorHAnsi" w:cstheme="majorHAnsi"/>
          <w:sz w:val="22"/>
          <w:szCs w:val="22"/>
        </w:rPr>
        <w:t>We use a bootstrap with 2001 replications. The bootstrapped standard errors for the transition probabilities, not reported, are typically close to the Anderson-Goodman asymptotic standard errors we report.</w:t>
      </w:r>
    </w:p>
    <w:p w14:paraId="75362075" w14:textId="77777777" w:rsidR="0048598E" w:rsidRPr="002F7054" w:rsidRDefault="0048598E" w:rsidP="0048598E"/>
    <w:p w14:paraId="38882170" w14:textId="77777777" w:rsidR="0048598E" w:rsidRDefault="0048598E" w:rsidP="0048598E">
      <w:pPr>
        <w:numPr>
          <w:ilvl w:val="1"/>
          <w:numId w:val="1"/>
        </w:numPr>
        <w:rPr>
          <w:b/>
          <w:bCs/>
          <w:sz w:val="22"/>
          <w:szCs w:val="22"/>
        </w:rPr>
      </w:pPr>
      <w:r w:rsidRPr="002F7054">
        <w:rPr>
          <w:b/>
          <w:bCs/>
          <w:sz w:val="22"/>
          <w:szCs w:val="22"/>
        </w:rPr>
        <w:t>Country samples</w:t>
      </w:r>
    </w:p>
    <w:p w14:paraId="5977A61E" w14:textId="77777777" w:rsidR="0048598E" w:rsidRDefault="0048598E" w:rsidP="0048598E">
      <w:pPr>
        <w:rPr>
          <w:b/>
          <w:bCs/>
          <w:sz w:val="22"/>
          <w:szCs w:val="22"/>
        </w:rPr>
      </w:pPr>
    </w:p>
    <w:p w14:paraId="5E2CC455" w14:textId="77777777" w:rsidR="0048598E" w:rsidRPr="00BC298E" w:rsidRDefault="0048598E" w:rsidP="0048598E">
      <w:pPr>
        <w:rPr>
          <w:sz w:val="22"/>
          <w:szCs w:val="22"/>
        </w:rPr>
      </w:pPr>
      <w:r w:rsidRPr="00BC298E">
        <w:rPr>
          <w:sz w:val="22"/>
          <w:szCs w:val="22"/>
        </w:rPr>
        <w:t>Country names are those given in version 10.01 of the PWT.</w:t>
      </w:r>
    </w:p>
    <w:p w14:paraId="7674DF3F" w14:textId="77777777" w:rsidR="0048598E" w:rsidRPr="002F7054" w:rsidRDefault="0048598E" w:rsidP="0048598E">
      <w:pPr>
        <w:ind w:left="1034"/>
      </w:pPr>
    </w:p>
    <w:p w14:paraId="7CA56314" w14:textId="77777777" w:rsidR="0048598E" w:rsidRPr="002F7054" w:rsidRDefault="0048598E" w:rsidP="0048598E">
      <w:pPr>
        <w:spacing w:line="382" w:lineRule="auto"/>
        <w:jc w:val="both"/>
        <w:rPr>
          <w:rFonts w:asciiTheme="majorHAnsi" w:eastAsia="Arial" w:hAnsiTheme="majorHAnsi" w:cstheme="majorHAnsi"/>
          <w:b/>
          <w:bCs/>
          <w:sz w:val="22"/>
          <w:szCs w:val="22"/>
        </w:rPr>
      </w:pPr>
      <w:r w:rsidRPr="002F7054">
        <w:rPr>
          <w:rFonts w:asciiTheme="majorHAnsi" w:eastAsia="Arial" w:hAnsiTheme="majorHAnsi" w:cstheme="majorHAnsi"/>
          <w:b/>
          <w:bCs/>
          <w:sz w:val="22"/>
          <w:szCs w:val="22"/>
        </w:rPr>
        <w:t>Sample for Tables 2 and 3</w:t>
      </w:r>
    </w:p>
    <w:p w14:paraId="6FD6E562" w14:textId="77777777" w:rsidR="0048598E" w:rsidRPr="00AA6B11" w:rsidRDefault="0048598E" w:rsidP="0048598E">
      <w:pPr>
        <w:spacing w:line="382" w:lineRule="auto"/>
        <w:jc w:val="both"/>
        <w:rPr>
          <w:rFonts w:asciiTheme="majorHAnsi" w:eastAsia="Arial" w:hAnsiTheme="majorHAnsi" w:cstheme="majorHAnsi"/>
          <w:sz w:val="22"/>
          <w:szCs w:val="22"/>
        </w:rPr>
      </w:pPr>
      <w:r w:rsidRPr="00AA6B11">
        <w:rPr>
          <w:rFonts w:asciiTheme="majorHAnsi" w:eastAsia="Arial" w:hAnsiTheme="majorHAnsi" w:cstheme="majorHAnsi"/>
          <w:sz w:val="22"/>
          <w:szCs w:val="22"/>
        </w:rPr>
        <w:t>Albania, Algeria, Angola, Argentina, Australia, Austria, Bahrain, Bangladesh, Belgium, Benin, Bolivia (Plurinational State of), Botswana, Brazil, Burkina Faso, Burundi, Côte</w:t>
      </w:r>
      <w:r>
        <w:rPr>
          <w:rFonts w:asciiTheme="majorHAnsi" w:eastAsia="Arial" w:hAnsiTheme="majorHAnsi" w:cstheme="majorHAnsi"/>
          <w:sz w:val="22"/>
          <w:szCs w:val="22"/>
        </w:rPr>
        <w:t xml:space="preserve"> </w:t>
      </w:r>
      <w:r w:rsidRPr="00AA6B11">
        <w:rPr>
          <w:rFonts w:asciiTheme="majorHAnsi" w:eastAsia="Arial" w:hAnsiTheme="majorHAnsi" w:cstheme="majorHAnsi"/>
          <w:sz w:val="22"/>
          <w:szCs w:val="22"/>
        </w:rPr>
        <w:t xml:space="preserve">d’Ivoire, Cabo Verde, Cambodia, Cameroon, Canada, Central African Republic, Chad, Chile, China, Colombia, Congo, Costa Rica, Cyprus, D.R. of the Congo, Denmark, Dominican Republic, Ecuador, Egypt, El Salvador, Equatorial Guinea, Eswatini, Ethiopia, Fiji, Finland, France, Gabon, Gambia, Ghana, Greece, Guatemala, Guinea-Bissau, Guyana, Haiti, Honduras, India, Indonesia, Iran (Islamic Republic of), Iraq, Ireland, Israel, Italy, Jamaica, Japan, Jordan, </w:t>
      </w:r>
      <w:r w:rsidRPr="00AA6B11">
        <w:rPr>
          <w:rFonts w:asciiTheme="majorHAnsi" w:eastAsia="Arial" w:hAnsiTheme="majorHAnsi" w:cstheme="majorHAnsi"/>
          <w:sz w:val="22"/>
          <w:szCs w:val="22"/>
        </w:rPr>
        <w:lastRenderedPageBreak/>
        <w:t>Kenya, Kuwait, Lao People’s DR, Lebanon, Lesotho, Liberia, Luxembourg, Madagascar, Malawi, Malaysia, Mali, Mauritania, Mauritius, Mexico, Morocco, Mozambique, Myanmar, Nepal, Netherlands, New Zealand, Nicaragua, Niger, Nigeria, Norway, Oman, Pakistan, Panama, Paraguay, Peru, Philippines, Portugal, Qatar, Republic of Korea,</w:t>
      </w:r>
      <w:r>
        <w:rPr>
          <w:rFonts w:asciiTheme="majorHAnsi" w:eastAsia="Arial" w:hAnsiTheme="majorHAnsi" w:cstheme="majorHAnsi"/>
          <w:sz w:val="22"/>
          <w:szCs w:val="22"/>
        </w:rPr>
        <w:t xml:space="preserve"> </w:t>
      </w:r>
      <w:r w:rsidRPr="00AA6B11">
        <w:rPr>
          <w:rFonts w:asciiTheme="majorHAnsi" w:eastAsia="Arial" w:hAnsiTheme="majorHAnsi" w:cstheme="majorHAnsi"/>
          <w:sz w:val="22"/>
          <w:szCs w:val="22"/>
        </w:rPr>
        <w:t>Rwanda, Saudi Arabia, Senegal, Sierra Leone, Singapore, South Africa, Spain, Sri Lanka, Sudan, Suriname, Sweden, Switzerland, Thailand, Togo, Trinidad and Tobago, Tunisia, Turkey,</w:t>
      </w:r>
      <w:r>
        <w:rPr>
          <w:rFonts w:asciiTheme="majorHAnsi" w:eastAsia="Arial" w:hAnsiTheme="majorHAnsi" w:cstheme="majorHAnsi"/>
          <w:sz w:val="22"/>
          <w:szCs w:val="22"/>
        </w:rPr>
        <w:t xml:space="preserve"> </w:t>
      </w:r>
      <w:r w:rsidRPr="00AA6B11">
        <w:rPr>
          <w:rFonts w:asciiTheme="majorHAnsi" w:eastAsia="Arial" w:hAnsiTheme="majorHAnsi" w:cstheme="majorHAnsi"/>
          <w:sz w:val="22"/>
          <w:szCs w:val="22"/>
        </w:rPr>
        <w:t>Uganda, United Arab Emirates, United Kingdom, United States, Uruguay, Venezuela (Bolivarian</w:t>
      </w:r>
      <w:r>
        <w:rPr>
          <w:rFonts w:asciiTheme="majorHAnsi" w:eastAsia="Arial" w:hAnsiTheme="majorHAnsi" w:cstheme="majorHAnsi"/>
          <w:sz w:val="22"/>
          <w:szCs w:val="22"/>
        </w:rPr>
        <w:t xml:space="preserve"> </w:t>
      </w:r>
      <w:r w:rsidRPr="00AA6B11">
        <w:rPr>
          <w:rFonts w:asciiTheme="majorHAnsi" w:eastAsia="Arial" w:hAnsiTheme="majorHAnsi" w:cstheme="majorHAnsi"/>
          <w:sz w:val="22"/>
          <w:szCs w:val="22"/>
        </w:rPr>
        <w:t>Republic of), Viet Nam, Zambia, Zimbabwe.</w:t>
      </w:r>
    </w:p>
    <w:p w14:paraId="222AC8D4" w14:textId="77777777" w:rsidR="0048598E" w:rsidRPr="00AA6B11" w:rsidRDefault="0048598E" w:rsidP="0048598E">
      <w:pPr>
        <w:spacing w:line="382" w:lineRule="auto"/>
        <w:jc w:val="both"/>
        <w:rPr>
          <w:rFonts w:asciiTheme="majorHAnsi" w:eastAsia="Arial" w:hAnsiTheme="majorHAnsi" w:cstheme="majorHAnsi"/>
          <w:sz w:val="22"/>
          <w:szCs w:val="22"/>
        </w:rPr>
      </w:pPr>
    </w:p>
    <w:p w14:paraId="5E6739F7" w14:textId="77777777" w:rsidR="0048598E" w:rsidRPr="002F7054" w:rsidRDefault="0048598E" w:rsidP="0048598E">
      <w:pPr>
        <w:spacing w:line="382" w:lineRule="auto"/>
        <w:jc w:val="both"/>
        <w:rPr>
          <w:rFonts w:asciiTheme="majorHAnsi" w:eastAsia="Arial" w:hAnsiTheme="majorHAnsi" w:cstheme="majorHAnsi"/>
          <w:b/>
          <w:bCs/>
          <w:sz w:val="22"/>
          <w:szCs w:val="22"/>
        </w:rPr>
      </w:pPr>
      <w:r w:rsidRPr="002F7054">
        <w:rPr>
          <w:rFonts w:asciiTheme="majorHAnsi" w:eastAsia="Arial" w:hAnsiTheme="majorHAnsi" w:cstheme="majorHAnsi"/>
          <w:b/>
          <w:bCs/>
          <w:sz w:val="22"/>
          <w:szCs w:val="22"/>
        </w:rPr>
        <w:t>Sample for Tables 5 and 6</w:t>
      </w:r>
    </w:p>
    <w:p w14:paraId="3927A77A" w14:textId="77777777" w:rsidR="0048598E" w:rsidRDefault="0048598E" w:rsidP="0048598E">
      <w:pPr>
        <w:spacing w:line="382" w:lineRule="auto"/>
        <w:jc w:val="both"/>
        <w:rPr>
          <w:rFonts w:asciiTheme="majorHAnsi" w:eastAsia="Arial" w:hAnsiTheme="majorHAnsi" w:cstheme="majorHAnsi"/>
          <w:sz w:val="22"/>
          <w:szCs w:val="22"/>
        </w:rPr>
      </w:pPr>
      <w:r w:rsidRPr="000D6FDC">
        <w:rPr>
          <w:rFonts w:asciiTheme="majorHAnsi" w:eastAsia="Arial" w:hAnsiTheme="majorHAnsi" w:cstheme="majorHAnsi"/>
          <w:sz w:val="22"/>
          <w:szCs w:val="22"/>
        </w:rPr>
        <w:t>Angola, Argentina, Australia, Austria, Bahrain, Belgium, Bolivia (Plurinational State of),</w:t>
      </w:r>
      <w:r w:rsidRPr="00065F72">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Botswana, Brazil, Burkina Faso, Côte d’Ivoire, Cameroon, Canada, Chile, China, Colombia,</w:t>
      </w:r>
      <w:r w:rsidRPr="00065F72">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Costa Rica, Cyprus, Denmark, Dominican Republic, Ecuador, Egypt, Finland, France,</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Gabon, Greece, Guatemala, Honduras, India, Indonesia, Iran (Islamic Republic of), Iraq,</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Ireland, Israel, Italy, Jamaica, Japan, Jordan, Kenya, Kuwait, Luxembourg, Malaysia, Mauritius,</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Mexico, Morocco, Mozambique, Netherlands, New Zealand, Niger, Nigeria, Norway,</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Panama, Paraguay, Peru, Philippines, Portugal, Qatar, Republic of Korea, Rwanda, Saudi</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Arabia, Senegal, Singapore, South Africa, Spain, Sri Lanka, Sudan, Sweden, Switzerland,</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Taiwan, Thailand, Trinidad and Tobago, Tunisia, Turkey, United Kingdom, United States,</w:t>
      </w:r>
      <w:r>
        <w:rPr>
          <w:rFonts w:asciiTheme="majorHAnsi" w:eastAsia="Arial" w:hAnsiTheme="majorHAnsi" w:cstheme="majorHAnsi"/>
          <w:sz w:val="22"/>
          <w:szCs w:val="22"/>
        </w:rPr>
        <w:t xml:space="preserve"> </w:t>
      </w:r>
      <w:r w:rsidRPr="000D6FDC">
        <w:rPr>
          <w:rFonts w:asciiTheme="majorHAnsi" w:eastAsia="Arial" w:hAnsiTheme="majorHAnsi" w:cstheme="majorHAnsi"/>
          <w:sz w:val="22"/>
          <w:szCs w:val="22"/>
        </w:rPr>
        <w:t>Uruguay, Venezuela (Bolivarian Republic of), Zambia, Zimbabwe.</w:t>
      </w:r>
    </w:p>
    <w:p w14:paraId="4150B8A1" w14:textId="77777777" w:rsidR="0048598E" w:rsidRPr="002F7054" w:rsidRDefault="0048598E" w:rsidP="0048598E">
      <w:pPr>
        <w:spacing w:line="382" w:lineRule="auto"/>
        <w:jc w:val="both"/>
        <w:rPr>
          <w:rFonts w:asciiTheme="majorHAnsi" w:eastAsia="Arial" w:hAnsiTheme="majorHAnsi" w:cstheme="majorHAnsi"/>
          <w:sz w:val="22"/>
          <w:szCs w:val="22"/>
        </w:rPr>
      </w:pPr>
    </w:p>
    <w:p w14:paraId="50C7D300" w14:textId="77777777" w:rsidR="0048598E" w:rsidRPr="002F7054" w:rsidRDefault="0048598E" w:rsidP="0048598E">
      <w:pPr>
        <w:spacing w:line="382" w:lineRule="auto"/>
        <w:jc w:val="both"/>
        <w:rPr>
          <w:rFonts w:asciiTheme="majorHAnsi" w:eastAsia="Arial" w:hAnsiTheme="majorHAnsi" w:cstheme="majorHAnsi"/>
          <w:b/>
          <w:bCs/>
          <w:sz w:val="22"/>
          <w:szCs w:val="22"/>
        </w:rPr>
      </w:pPr>
      <w:r w:rsidRPr="002F7054">
        <w:rPr>
          <w:rFonts w:asciiTheme="majorHAnsi" w:eastAsia="Arial" w:hAnsiTheme="majorHAnsi" w:cstheme="majorHAnsi"/>
          <w:b/>
          <w:bCs/>
          <w:sz w:val="22"/>
          <w:szCs w:val="22"/>
        </w:rPr>
        <w:t>Sample for Tables 7 and 8</w:t>
      </w:r>
    </w:p>
    <w:p w14:paraId="1CF69107" w14:textId="77777777" w:rsidR="0048598E" w:rsidRPr="00065F72" w:rsidRDefault="0048598E" w:rsidP="0048598E">
      <w:pPr>
        <w:spacing w:line="382" w:lineRule="auto"/>
        <w:jc w:val="both"/>
        <w:rPr>
          <w:rFonts w:asciiTheme="majorHAnsi" w:eastAsia="Arial" w:hAnsiTheme="majorHAnsi" w:cstheme="majorHAnsi"/>
          <w:sz w:val="22"/>
          <w:szCs w:val="22"/>
        </w:rPr>
      </w:pPr>
      <w:r w:rsidRPr="00065F72">
        <w:rPr>
          <w:rFonts w:asciiTheme="majorHAnsi" w:eastAsia="Arial" w:hAnsiTheme="majorHAnsi" w:cstheme="majorHAnsi"/>
          <w:sz w:val="22"/>
          <w:szCs w:val="22"/>
        </w:rPr>
        <w:t>Albania, Algeria, Angola, Argentina, Australia, Austria, Bahrain, Bangladesh, Belgium, Benin, Bolivia (Plurinational State of), Botswana, Brazil, Burkina Faso, Burundi, Côte d’Ivoire, Cabo Verde, Cambodia, Cameroon, Canada, Central African Republic, Chad, Chile, China, Colombia, Congo, Costa Rica, Cyprus, D.R. of the Congo, Denmark, Dominican Republic, Ecuador, Egypt, El Salvador, Equatorial Guinea, Eswatini, Ethiopia, Fiji, Finland, France, Gabon, Gambia, Ghana, Greece, Guatemala, Guinea-Bissau, Haiti, Honduras, India, Indonesia, Iran (Islamic Republic of), Iraq, Ireland, Israel, Italy, Jamaica, Japan, Jordan,</w:t>
      </w:r>
      <w:r>
        <w:rPr>
          <w:rFonts w:asciiTheme="majorHAnsi" w:eastAsia="Arial" w:hAnsiTheme="majorHAnsi" w:cstheme="majorHAnsi"/>
          <w:sz w:val="22"/>
          <w:szCs w:val="22"/>
        </w:rPr>
        <w:t xml:space="preserve"> </w:t>
      </w:r>
      <w:r w:rsidRPr="00065F72">
        <w:rPr>
          <w:rFonts w:asciiTheme="majorHAnsi" w:eastAsia="Arial" w:hAnsiTheme="majorHAnsi" w:cstheme="majorHAnsi"/>
          <w:sz w:val="22"/>
          <w:szCs w:val="22"/>
        </w:rPr>
        <w:t>Kenya, Kuwait, Lao People’s DR, Lebanon, Lesotho, Liberia, Luxembourg, Madagascar,</w:t>
      </w:r>
      <w:r>
        <w:rPr>
          <w:rFonts w:asciiTheme="majorHAnsi" w:eastAsia="Arial" w:hAnsiTheme="majorHAnsi" w:cstheme="majorHAnsi"/>
          <w:sz w:val="22"/>
          <w:szCs w:val="22"/>
        </w:rPr>
        <w:t xml:space="preserve"> </w:t>
      </w:r>
      <w:r w:rsidRPr="00065F72">
        <w:rPr>
          <w:rFonts w:asciiTheme="majorHAnsi" w:eastAsia="Arial" w:hAnsiTheme="majorHAnsi" w:cstheme="majorHAnsi"/>
          <w:sz w:val="22"/>
          <w:szCs w:val="22"/>
        </w:rPr>
        <w:t xml:space="preserve">Malawi, Malaysia, Mali, Mauritania, Mauritius, Mexico, Morocco, Mozambique, Myanmar, Nepal, Netherlands, New Zealand, Nicaragua, Niger, Nigeria, Norway, Oman, Pakistan, Panama, Paraguay, Peru, Philippines, Portugal, Qatar, Republic of Korea, Rwanda, Saudi Arabia, Senegal, Sierra Leone, Singapore, South Africa, Spain, Sri Lanka, Sudan, Suriname, </w:t>
      </w:r>
      <w:r w:rsidRPr="00065F72">
        <w:rPr>
          <w:rFonts w:asciiTheme="majorHAnsi" w:eastAsia="Arial" w:hAnsiTheme="majorHAnsi" w:cstheme="majorHAnsi"/>
          <w:sz w:val="22"/>
          <w:szCs w:val="22"/>
        </w:rPr>
        <w:lastRenderedPageBreak/>
        <w:t>Sweden, Switzerland, Taiwan, Thailand, Togo, Trinidad and Tobago, Tunisia, Turkey,</w:t>
      </w:r>
      <w:r>
        <w:rPr>
          <w:rFonts w:asciiTheme="majorHAnsi" w:eastAsia="Arial" w:hAnsiTheme="majorHAnsi" w:cstheme="majorHAnsi"/>
          <w:sz w:val="22"/>
          <w:szCs w:val="22"/>
        </w:rPr>
        <w:t xml:space="preserve"> </w:t>
      </w:r>
      <w:r w:rsidRPr="00065F72">
        <w:rPr>
          <w:rFonts w:asciiTheme="majorHAnsi" w:eastAsia="Arial" w:hAnsiTheme="majorHAnsi" w:cstheme="majorHAnsi"/>
          <w:sz w:val="22"/>
          <w:szCs w:val="22"/>
        </w:rPr>
        <w:t>Uganda, United Arab Emirates, United Kingdom, United States, Uruguay, Venezuela (Bolivarian</w:t>
      </w:r>
      <w:r>
        <w:rPr>
          <w:rFonts w:asciiTheme="majorHAnsi" w:eastAsia="Arial" w:hAnsiTheme="majorHAnsi" w:cstheme="majorHAnsi"/>
          <w:sz w:val="22"/>
          <w:szCs w:val="22"/>
        </w:rPr>
        <w:t xml:space="preserve"> </w:t>
      </w:r>
      <w:r w:rsidRPr="00065F72">
        <w:rPr>
          <w:rFonts w:asciiTheme="majorHAnsi" w:eastAsia="Arial" w:hAnsiTheme="majorHAnsi" w:cstheme="majorHAnsi"/>
          <w:sz w:val="22"/>
          <w:szCs w:val="22"/>
        </w:rPr>
        <w:t>Republic of), Viet Nam, Zambia, Zimbabwe.</w:t>
      </w:r>
    </w:p>
    <w:p w14:paraId="3A266DD8" w14:textId="77777777" w:rsidR="0048598E" w:rsidRDefault="0048598E" w:rsidP="0048598E"/>
    <w:p w14:paraId="6F50C910" w14:textId="77777777" w:rsidR="0048598E" w:rsidRDefault="0048598E" w:rsidP="0048598E"/>
    <w:p w14:paraId="093E639A" w14:textId="77777777" w:rsidR="0048598E" w:rsidRDefault="0048598E" w:rsidP="0048598E"/>
    <w:p w14:paraId="397FB6EE" w14:textId="77777777" w:rsidR="0048598E" w:rsidRDefault="0048598E" w:rsidP="0048598E"/>
    <w:p w14:paraId="16F82B15" w14:textId="77777777" w:rsidR="00F45394" w:rsidRDefault="00F45394"/>
    <w:sectPr w:rsidR="00F45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46DD9"/>
    <w:multiLevelType w:val="multilevel"/>
    <w:tmpl w:val="2ECEE266"/>
    <w:lvl w:ilvl="0">
      <w:start w:val="1"/>
      <w:numFmt w:val="decimal"/>
      <w:lvlText w:val="%1"/>
      <w:lvlJc w:val="left"/>
      <w:pPr>
        <w:ind w:left="777" w:hanging="474"/>
      </w:pPr>
      <w:rPr>
        <w:rFonts w:ascii="Arial Black" w:eastAsia="Arial Black" w:hAnsi="Arial Black" w:cs="Arial Black" w:hint="default"/>
        <w:b w:val="0"/>
        <w:bCs w:val="0"/>
        <w:i w:val="0"/>
        <w:iCs w:val="0"/>
        <w:spacing w:val="0"/>
        <w:w w:val="84"/>
        <w:sz w:val="28"/>
        <w:szCs w:val="28"/>
        <w:lang w:val="en-US" w:eastAsia="en-US" w:bidi="ar-SA"/>
      </w:rPr>
    </w:lvl>
    <w:lvl w:ilvl="1">
      <w:start w:val="1"/>
      <w:numFmt w:val="decimal"/>
      <w:lvlText w:val="%1.%2"/>
      <w:lvlJc w:val="left"/>
      <w:pPr>
        <w:ind w:left="1034" w:hanging="731"/>
      </w:pPr>
      <w:rPr>
        <w:rFonts w:ascii="Arial Black" w:eastAsia="Arial Black" w:hAnsi="Arial Black" w:cs="Arial Black" w:hint="default"/>
        <w:b w:val="0"/>
        <w:bCs w:val="0"/>
        <w:i w:val="0"/>
        <w:iCs w:val="0"/>
        <w:spacing w:val="0"/>
        <w:w w:val="83"/>
        <w:sz w:val="24"/>
        <w:szCs w:val="24"/>
        <w:lang w:val="en-US" w:eastAsia="en-US" w:bidi="ar-SA"/>
      </w:rPr>
    </w:lvl>
    <w:lvl w:ilvl="2">
      <w:numFmt w:val="bullet"/>
      <w:lvlText w:val="•"/>
      <w:lvlJc w:val="left"/>
      <w:pPr>
        <w:ind w:left="2005" w:hanging="731"/>
      </w:pPr>
      <w:rPr>
        <w:lang w:val="en-US" w:eastAsia="en-US" w:bidi="ar-SA"/>
      </w:rPr>
    </w:lvl>
    <w:lvl w:ilvl="3">
      <w:numFmt w:val="bullet"/>
      <w:lvlText w:val="•"/>
      <w:lvlJc w:val="left"/>
      <w:pPr>
        <w:ind w:left="2970" w:hanging="731"/>
      </w:pPr>
      <w:rPr>
        <w:lang w:val="en-US" w:eastAsia="en-US" w:bidi="ar-SA"/>
      </w:rPr>
    </w:lvl>
    <w:lvl w:ilvl="4">
      <w:numFmt w:val="bullet"/>
      <w:lvlText w:val="•"/>
      <w:lvlJc w:val="left"/>
      <w:pPr>
        <w:ind w:left="3935" w:hanging="731"/>
      </w:pPr>
      <w:rPr>
        <w:lang w:val="en-US" w:eastAsia="en-US" w:bidi="ar-SA"/>
      </w:rPr>
    </w:lvl>
    <w:lvl w:ilvl="5">
      <w:numFmt w:val="bullet"/>
      <w:lvlText w:val="•"/>
      <w:lvlJc w:val="left"/>
      <w:pPr>
        <w:ind w:left="4900" w:hanging="731"/>
      </w:pPr>
      <w:rPr>
        <w:lang w:val="en-US" w:eastAsia="en-US" w:bidi="ar-SA"/>
      </w:rPr>
    </w:lvl>
    <w:lvl w:ilvl="6">
      <w:numFmt w:val="bullet"/>
      <w:lvlText w:val="•"/>
      <w:lvlJc w:val="left"/>
      <w:pPr>
        <w:ind w:left="5865" w:hanging="731"/>
      </w:pPr>
      <w:rPr>
        <w:lang w:val="en-US" w:eastAsia="en-US" w:bidi="ar-SA"/>
      </w:rPr>
    </w:lvl>
    <w:lvl w:ilvl="7">
      <w:numFmt w:val="bullet"/>
      <w:lvlText w:val="•"/>
      <w:lvlJc w:val="left"/>
      <w:pPr>
        <w:ind w:left="6830" w:hanging="731"/>
      </w:pPr>
      <w:rPr>
        <w:lang w:val="en-US" w:eastAsia="en-US" w:bidi="ar-SA"/>
      </w:rPr>
    </w:lvl>
    <w:lvl w:ilvl="8">
      <w:numFmt w:val="bullet"/>
      <w:lvlText w:val="•"/>
      <w:lvlJc w:val="left"/>
      <w:pPr>
        <w:ind w:left="7795" w:hanging="731"/>
      </w:pPr>
      <w:rPr>
        <w:lang w:val="en-US" w:eastAsia="en-US" w:bidi="ar-SA"/>
      </w:rPr>
    </w:lvl>
  </w:abstractNum>
  <w:num w:numId="1" w16cid:durableId="54055967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8E"/>
    <w:rsid w:val="00014DE7"/>
    <w:rsid w:val="00411924"/>
    <w:rsid w:val="0048598E"/>
    <w:rsid w:val="00611A5F"/>
    <w:rsid w:val="006532E8"/>
    <w:rsid w:val="00F45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2057"/>
  <w15:chartTrackingRefBased/>
  <w15:docId w15:val="{F62A326B-12CE-41A7-93C0-9DEE20FF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98E"/>
    <w:pPr>
      <w:snapToGrid w:val="0"/>
      <w:spacing w:after="0" w:line="300" w:lineRule="auto"/>
    </w:pPr>
    <w:rPr>
      <w:rFonts w:ascii="Arial" w:eastAsia="Times New Roman" w:hAnsi="Arial" w:cs="Times New Roman"/>
      <w:kern w:val="0"/>
      <w:sz w:val="19"/>
      <w:szCs w:val="20"/>
      <w14:ligatures w14:val="none"/>
    </w:rPr>
  </w:style>
  <w:style w:type="paragraph" w:styleId="Heading1">
    <w:name w:val="heading 1"/>
    <w:basedOn w:val="Normal"/>
    <w:next w:val="Normal"/>
    <w:link w:val="Heading1Char"/>
    <w:uiPriority w:val="9"/>
    <w:qFormat/>
    <w:rsid w:val="00485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9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9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9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9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9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9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9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9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9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9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9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9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98E"/>
    <w:rPr>
      <w:rFonts w:eastAsiaTheme="majorEastAsia" w:cstheme="majorBidi"/>
      <w:color w:val="272727" w:themeColor="text1" w:themeTint="D8"/>
    </w:rPr>
  </w:style>
  <w:style w:type="paragraph" w:styleId="Title">
    <w:name w:val="Title"/>
    <w:basedOn w:val="Normal"/>
    <w:next w:val="Normal"/>
    <w:link w:val="TitleChar"/>
    <w:uiPriority w:val="10"/>
    <w:qFormat/>
    <w:rsid w:val="00485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9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98E"/>
    <w:pPr>
      <w:spacing w:before="160"/>
      <w:jc w:val="center"/>
    </w:pPr>
    <w:rPr>
      <w:i/>
      <w:iCs/>
      <w:color w:val="404040" w:themeColor="text1" w:themeTint="BF"/>
    </w:rPr>
  </w:style>
  <w:style w:type="character" w:customStyle="1" w:styleId="QuoteChar">
    <w:name w:val="Quote Char"/>
    <w:basedOn w:val="DefaultParagraphFont"/>
    <w:link w:val="Quote"/>
    <w:uiPriority w:val="29"/>
    <w:rsid w:val="0048598E"/>
    <w:rPr>
      <w:i/>
      <w:iCs/>
      <w:color w:val="404040" w:themeColor="text1" w:themeTint="BF"/>
    </w:rPr>
  </w:style>
  <w:style w:type="paragraph" w:styleId="ListParagraph">
    <w:name w:val="List Paragraph"/>
    <w:basedOn w:val="Normal"/>
    <w:uiPriority w:val="34"/>
    <w:qFormat/>
    <w:rsid w:val="0048598E"/>
    <w:pPr>
      <w:ind w:left="720"/>
      <w:contextualSpacing/>
    </w:pPr>
  </w:style>
  <w:style w:type="character" w:styleId="IntenseEmphasis">
    <w:name w:val="Intense Emphasis"/>
    <w:basedOn w:val="DefaultParagraphFont"/>
    <w:uiPriority w:val="21"/>
    <w:qFormat/>
    <w:rsid w:val="0048598E"/>
    <w:rPr>
      <w:i/>
      <w:iCs/>
      <w:color w:val="0F4761" w:themeColor="accent1" w:themeShade="BF"/>
    </w:rPr>
  </w:style>
  <w:style w:type="paragraph" w:styleId="IntenseQuote">
    <w:name w:val="Intense Quote"/>
    <w:basedOn w:val="Normal"/>
    <w:next w:val="Normal"/>
    <w:link w:val="IntenseQuoteChar"/>
    <w:uiPriority w:val="30"/>
    <w:qFormat/>
    <w:rsid w:val="00485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98E"/>
    <w:rPr>
      <w:i/>
      <w:iCs/>
      <w:color w:val="0F4761" w:themeColor="accent1" w:themeShade="BF"/>
    </w:rPr>
  </w:style>
  <w:style w:type="character" w:styleId="IntenseReference">
    <w:name w:val="Intense Reference"/>
    <w:basedOn w:val="DefaultParagraphFont"/>
    <w:uiPriority w:val="32"/>
    <w:qFormat/>
    <w:rsid w:val="004859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4181</Characters>
  <Application>Microsoft Office Word</Application>
  <DocSecurity>0</DocSecurity>
  <Lines>34</Lines>
  <Paragraphs>9</Paragraphs>
  <ScaleCrop>false</ScaleCrop>
  <Company>Springer Nature</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2025-05-08T11:12:00Z</dcterms:created>
  <dcterms:modified xsi:type="dcterms:W3CDTF">2025-05-08T11:12:00Z</dcterms:modified>
</cp:coreProperties>
</file>