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12CF" w14:textId="77777777" w:rsidR="00AA18E5" w:rsidRDefault="00AA18E5" w:rsidP="00AA18E5">
      <w:pPr>
        <w:rPr>
          <w:b/>
          <w:bCs/>
        </w:rPr>
      </w:pPr>
      <w:r w:rsidRPr="00BE55BB">
        <w:rPr>
          <w:b/>
          <w:bCs/>
        </w:rPr>
        <w:t>Table 1. Lab Parameters Throughout Clinical Course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404"/>
        <w:gridCol w:w="1259"/>
        <w:gridCol w:w="1337"/>
        <w:gridCol w:w="1337"/>
        <w:gridCol w:w="1138"/>
        <w:gridCol w:w="1306"/>
        <w:gridCol w:w="1203"/>
        <w:gridCol w:w="1001"/>
      </w:tblGrid>
      <w:tr w:rsidR="00AA18E5" w:rsidRPr="00AA18E5" w14:paraId="0C04F9FB" w14:textId="77777777" w:rsidTr="00747DBB">
        <w:tc>
          <w:tcPr>
            <w:tcW w:w="1404" w:type="dxa"/>
            <w:vAlign w:val="center"/>
          </w:tcPr>
          <w:p w14:paraId="43D5C2D0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9" w:type="dxa"/>
            <w:vAlign w:val="center"/>
          </w:tcPr>
          <w:p w14:paraId="7A9F6D0A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 xml:space="preserve">Diagnosis of H. pylori </w:t>
            </w:r>
          </w:p>
          <w:p w14:paraId="512723C6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94489B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[1]</w:t>
            </w:r>
          </w:p>
        </w:tc>
        <w:tc>
          <w:tcPr>
            <w:tcW w:w="1337" w:type="dxa"/>
            <w:vAlign w:val="center"/>
          </w:tcPr>
          <w:p w14:paraId="04B24ECF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 xml:space="preserve">Repeat Endoscopy </w:t>
            </w:r>
          </w:p>
          <w:p w14:paraId="47860F46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04D37B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321AD5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[2]</w:t>
            </w:r>
          </w:p>
        </w:tc>
        <w:tc>
          <w:tcPr>
            <w:tcW w:w="1337" w:type="dxa"/>
            <w:vAlign w:val="center"/>
          </w:tcPr>
          <w:p w14:paraId="463C2EAD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 xml:space="preserve">Capsule Endoscopy </w:t>
            </w:r>
          </w:p>
          <w:p w14:paraId="0DD77FC3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4D184F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AA5894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[3]</w:t>
            </w:r>
          </w:p>
        </w:tc>
        <w:tc>
          <w:tcPr>
            <w:tcW w:w="1138" w:type="dxa"/>
          </w:tcPr>
          <w:p w14:paraId="0115035B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Leading up to Transfer</w:t>
            </w:r>
          </w:p>
          <w:p w14:paraId="1E2E6897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6" w:type="dxa"/>
            <w:vAlign w:val="center"/>
          </w:tcPr>
          <w:p w14:paraId="756F3AFA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Upon Transfer</w:t>
            </w:r>
          </w:p>
          <w:p w14:paraId="47367128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9FF628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9B32237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[4]</w:t>
            </w:r>
          </w:p>
        </w:tc>
        <w:tc>
          <w:tcPr>
            <w:tcW w:w="1203" w:type="dxa"/>
          </w:tcPr>
          <w:p w14:paraId="58346EF9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After Resection</w:t>
            </w:r>
          </w:p>
          <w:p w14:paraId="6E921BDF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443CE9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1" w:type="dxa"/>
            <w:vAlign w:val="center"/>
          </w:tcPr>
          <w:p w14:paraId="32E19D13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 xml:space="preserve">2 Year Follow Up </w:t>
            </w:r>
          </w:p>
          <w:p w14:paraId="1453A112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756E7BC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[5]</w:t>
            </w:r>
          </w:p>
        </w:tc>
      </w:tr>
      <w:tr w:rsidR="00AA18E5" w:rsidRPr="00AA18E5" w14:paraId="04C61ADE" w14:textId="77777777" w:rsidTr="00747DBB">
        <w:tc>
          <w:tcPr>
            <w:tcW w:w="1404" w:type="dxa"/>
          </w:tcPr>
          <w:p w14:paraId="35F6CE21" w14:textId="77777777" w:rsidR="00AA18E5" w:rsidRPr="00AA18E5" w:rsidRDefault="00AA18E5" w:rsidP="00747DBB">
            <w:pPr>
              <w:contextualSpacing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 xml:space="preserve">Hgb (g/dL) </w:t>
            </w:r>
          </w:p>
        </w:tc>
        <w:tc>
          <w:tcPr>
            <w:tcW w:w="1259" w:type="dxa"/>
            <w:vAlign w:val="center"/>
          </w:tcPr>
          <w:p w14:paraId="584E8774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8.7</w:t>
            </w:r>
          </w:p>
        </w:tc>
        <w:tc>
          <w:tcPr>
            <w:tcW w:w="1337" w:type="dxa"/>
            <w:vAlign w:val="center"/>
          </w:tcPr>
          <w:p w14:paraId="57AF4136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7.4</w:t>
            </w:r>
          </w:p>
        </w:tc>
        <w:tc>
          <w:tcPr>
            <w:tcW w:w="1337" w:type="dxa"/>
            <w:vAlign w:val="center"/>
          </w:tcPr>
          <w:p w14:paraId="796586CF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7.3</w:t>
            </w:r>
          </w:p>
        </w:tc>
        <w:tc>
          <w:tcPr>
            <w:tcW w:w="1138" w:type="dxa"/>
            <w:vAlign w:val="center"/>
          </w:tcPr>
          <w:p w14:paraId="46F1BD5E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7.9</w:t>
            </w:r>
          </w:p>
        </w:tc>
        <w:tc>
          <w:tcPr>
            <w:tcW w:w="1306" w:type="dxa"/>
            <w:vAlign w:val="center"/>
          </w:tcPr>
          <w:p w14:paraId="42FA96E4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8.5</w:t>
            </w:r>
          </w:p>
        </w:tc>
        <w:tc>
          <w:tcPr>
            <w:tcW w:w="1203" w:type="dxa"/>
            <w:vAlign w:val="center"/>
          </w:tcPr>
          <w:p w14:paraId="227B7735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14.8</w:t>
            </w:r>
          </w:p>
        </w:tc>
        <w:tc>
          <w:tcPr>
            <w:tcW w:w="1001" w:type="dxa"/>
            <w:vAlign w:val="center"/>
          </w:tcPr>
          <w:p w14:paraId="7598DF94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15.5</w:t>
            </w:r>
          </w:p>
        </w:tc>
      </w:tr>
      <w:tr w:rsidR="00AA18E5" w:rsidRPr="00AA18E5" w14:paraId="6DA32DB9" w14:textId="77777777" w:rsidTr="00747DBB">
        <w:tc>
          <w:tcPr>
            <w:tcW w:w="1404" w:type="dxa"/>
          </w:tcPr>
          <w:p w14:paraId="3F0171EB" w14:textId="77777777" w:rsidR="00AA18E5" w:rsidRPr="00AA18E5" w:rsidRDefault="00AA18E5" w:rsidP="00747DBB">
            <w:pPr>
              <w:contextualSpacing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HCT (%)</w:t>
            </w:r>
          </w:p>
        </w:tc>
        <w:tc>
          <w:tcPr>
            <w:tcW w:w="1259" w:type="dxa"/>
            <w:vAlign w:val="center"/>
          </w:tcPr>
          <w:p w14:paraId="357C11D9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31.1</w:t>
            </w:r>
          </w:p>
        </w:tc>
        <w:tc>
          <w:tcPr>
            <w:tcW w:w="1337" w:type="dxa"/>
            <w:vAlign w:val="center"/>
          </w:tcPr>
          <w:p w14:paraId="73C584A0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25.7</w:t>
            </w:r>
          </w:p>
        </w:tc>
        <w:tc>
          <w:tcPr>
            <w:tcW w:w="1337" w:type="dxa"/>
            <w:vAlign w:val="center"/>
          </w:tcPr>
          <w:p w14:paraId="7B7DE34F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27.0</w:t>
            </w:r>
          </w:p>
        </w:tc>
        <w:tc>
          <w:tcPr>
            <w:tcW w:w="1138" w:type="dxa"/>
            <w:vAlign w:val="center"/>
          </w:tcPr>
          <w:p w14:paraId="27865133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26.9</w:t>
            </w:r>
          </w:p>
        </w:tc>
        <w:tc>
          <w:tcPr>
            <w:tcW w:w="1306" w:type="dxa"/>
            <w:vAlign w:val="center"/>
          </w:tcPr>
          <w:p w14:paraId="66E5E2F9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30.4</w:t>
            </w:r>
          </w:p>
        </w:tc>
        <w:tc>
          <w:tcPr>
            <w:tcW w:w="1203" w:type="dxa"/>
            <w:vAlign w:val="center"/>
          </w:tcPr>
          <w:p w14:paraId="1C41554F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47.3</w:t>
            </w:r>
          </w:p>
        </w:tc>
        <w:tc>
          <w:tcPr>
            <w:tcW w:w="1001" w:type="dxa"/>
            <w:vAlign w:val="center"/>
          </w:tcPr>
          <w:p w14:paraId="11726BED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45.5</w:t>
            </w:r>
          </w:p>
        </w:tc>
      </w:tr>
      <w:tr w:rsidR="00AA18E5" w:rsidRPr="00AA18E5" w14:paraId="41161E47" w14:textId="77777777" w:rsidTr="00747DBB">
        <w:tc>
          <w:tcPr>
            <w:tcW w:w="1404" w:type="dxa"/>
          </w:tcPr>
          <w:p w14:paraId="281E0F1D" w14:textId="77777777" w:rsidR="00AA18E5" w:rsidRPr="00AA18E5" w:rsidRDefault="00AA18E5" w:rsidP="00747DBB">
            <w:pPr>
              <w:contextualSpacing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Platelets (x10</w:t>
            </w:r>
            <w:r w:rsidRPr="00AA18E5">
              <w:rPr>
                <w:rFonts w:ascii="Times New Roman" w:hAnsi="Times New Roman" w:cs="Times New Roman"/>
                <w:vertAlign w:val="superscript"/>
              </w:rPr>
              <w:t>3</w:t>
            </w:r>
            <w:r w:rsidRPr="00AA18E5">
              <w:rPr>
                <w:rFonts w:ascii="Times New Roman" w:hAnsi="Times New Roman" w:cs="Times New Roman"/>
              </w:rPr>
              <w:t>)/</w:t>
            </w:r>
            <w:proofErr w:type="spellStart"/>
            <w:r w:rsidRPr="00AA18E5">
              <w:rPr>
                <w:rFonts w:ascii="Times New Roman" w:hAnsi="Times New Roman" w:cs="Times New Roman"/>
              </w:rPr>
              <w:t>mcL</w:t>
            </w:r>
            <w:proofErr w:type="spellEnd"/>
            <w:r w:rsidRPr="00AA18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9" w:type="dxa"/>
            <w:vAlign w:val="center"/>
          </w:tcPr>
          <w:p w14:paraId="24369D95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337" w:type="dxa"/>
            <w:vAlign w:val="center"/>
          </w:tcPr>
          <w:p w14:paraId="5E4832FF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337" w:type="dxa"/>
            <w:vAlign w:val="center"/>
          </w:tcPr>
          <w:p w14:paraId="12D9409F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1138" w:type="dxa"/>
            <w:vAlign w:val="center"/>
          </w:tcPr>
          <w:p w14:paraId="3390E163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306" w:type="dxa"/>
            <w:vAlign w:val="center"/>
          </w:tcPr>
          <w:p w14:paraId="582373B2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203" w:type="dxa"/>
            <w:vAlign w:val="center"/>
          </w:tcPr>
          <w:p w14:paraId="631A609C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001" w:type="dxa"/>
            <w:vAlign w:val="center"/>
          </w:tcPr>
          <w:p w14:paraId="05F91E90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297</w:t>
            </w:r>
          </w:p>
        </w:tc>
      </w:tr>
      <w:tr w:rsidR="00AA18E5" w:rsidRPr="00AA18E5" w14:paraId="6B9649E5" w14:textId="77777777" w:rsidTr="00747DBB">
        <w:tc>
          <w:tcPr>
            <w:tcW w:w="1404" w:type="dxa"/>
          </w:tcPr>
          <w:p w14:paraId="08946AD4" w14:textId="77777777" w:rsidR="00AA18E5" w:rsidRPr="00AA18E5" w:rsidRDefault="00AA18E5" w:rsidP="00747DBB">
            <w:pPr>
              <w:contextualSpacing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Albumin (gm/dL)</w:t>
            </w:r>
          </w:p>
        </w:tc>
        <w:tc>
          <w:tcPr>
            <w:tcW w:w="1259" w:type="dxa"/>
            <w:vAlign w:val="center"/>
          </w:tcPr>
          <w:p w14:paraId="40D3031C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337" w:type="dxa"/>
            <w:vAlign w:val="center"/>
          </w:tcPr>
          <w:p w14:paraId="7A2B1692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337" w:type="dxa"/>
            <w:vAlign w:val="center"/>
          </w:tcPr>
          <w:p w14:paraId="620DD13A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138" w:type="dxa"/>
            <w:vAlign w:val="center"/>
          </w:tcPr>
          <w:p w14:paraId="47209761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06" w:type="dxa"/>
            <w:vAlign w:val="center"/>
          </w:tcPr>
          <w:p w14:paraId="485C4100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203" w:type="dxa"/>
            <w:vAlign w:val="center"/>
          </w:tcPr>
          <w:p w14:paraId="163671E6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001" w:type="dxa"/>
            <w:vAlign w:val="center"/>
          </w:tcPr>
          <w:p w14:paraId="41BC3050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3.9</w:t>
            </w:r>
          </w:p>
        </w:tc>
      </w:tr>
      <w:tr w:rsidR="00AA18E5" w:rsidRPr="00AA18E5" w14:paraId="4454085B" w14:textId="77777777" w:rsidTr="00747DBB">
        <w:tc>
          <w:tcPr>
            <w:tcW w:w="1404" w:type="dxa"/>
          </w:tcPr>
          <w:p w14:paraId="7F9DD86A" w14:textId="77777777" w:rsidR="00AA18E5" w:rsidRPr="00AA18E5" w:rsidRDefault="00AA18E5" w:rsidP="00747DBB">
            <w:pPr>
              <w:contextualSpacing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CRP (mg/dL)</w:t>
            </w:r>
          </w:p>
        </w:tc>
        <w:tc>
          <w:tcPr>
            <w:tcW w:w="1259" w:type="dxa"/>
            <w:vAlign w:val="center"/>
          </w:tcPr>
          <w:p w14:paraId="65844F05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&lt;0.1</w:t>
            </w:r>
          </w:p>
        </w:tc>
        <w:tc>
          <w:tcPr>
            <w:tcW w:w="1337" w:type="dxa"/>
            <w:vAlign w:val="center"/>
          </w:tcPr>
          <w:p w14:paraId="1FD85E0B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&lt;0.3</w:t>
            </w:r>
          </w:p>
        </w:tc>
        <w:tc>
          <w:tcPr>
            <w:tcW w:w="1337" w:type="dxa"/>
            <w:shd w:val="clear" w:color="auto" w:fill="D0CECE" w:themeFill="background2" w:themeFillShade="E6"/>
            <w:vAlign w:val="center"/>
          </w:tcPr>
          <w:p w14:paraId="4A9C7CB3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14:paraId="7068BB69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&lt;0.3</w:t>
            </w:r>
          </w:p>
        </w:tc>
        <w:tc>
          <w:tcPr>
            <w:tcW w:w="1306" w:type="dxa"/>
            <w:vAlign w:val="center"/>
          </w:tcPr>
          <w:p w14:paraId="7CEAA9EB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1203" w:type="dxa"/>
            <w:vAlign w:val="center"/>
          </w:tcPr>
          <w:p w14:paraId="5185A976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&lt;0.40</w:t>
            </w:r>
          </w:p>
        </w:tc>
        <w:tc>
          <w:tcPr>
            <w:tcW w:w="1001" w:type="dxa"/>
            <w:vAlign w:val="center"/>
          </w:tcPr>
          <w:p w14:paraId="0FC2EEE9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&lt;0.5</w:t>
            </w:r>
          </w:p>
        </w:tc>
      </w:tr>
      <w:tr w:rsidR="00AA18E5" w:rsidRPr="00AA18E5" w14:paraId="5859A178" w14:textId="77777777" w:rsidTr="00747DBB">
        <w:tc>
          <w:tcPr>
            <w:tcW w:w="1404" w:type="dxa"/>
          </w:tcPr>
          <w:p w14:paraId="66D16F3C" w14:textId="77777777" w:rsidR="00AA18E5" w:rsidRPr="00AA18E5" w:rsidRDefault="00AA18E5" w:rsidP="00747DBB">
            <w:pPr>
              <w:contextualSpacing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ESR (mm/hour)</w:t>
            </w:r>
          </w:p>
        </w:tc>
        <w:tc>
          <w:tcPr>
            <w:tcW w:w="1259" w:type="dxa"/>
            <w:vAlign w:val="center"/>
          </w:tcPr>
          <w:p w14:paraId="0BA54B62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7" w:type="dxa"/>
            <w:vAlign w:val="center"/>
          </w:tcPr>
          <w:p w14:paraId="5F49A85F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7" w:type="dxa"/>
            <w:shd w:val="clear" w:color="auto" w:fill="D0CECE" w:themeFill="background2" w:themeFillShade="E6"/>
            <w:vAlign w:val="center"/>
          </w:tcPr>
          <w:p w14:paraId="27CD2013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shd w:val="clear" w:color="auto" w:fill="D0CECE" w:themeFill="background2" w:themeFillShade="E6"/>
            <w:vAlign w:val="center"/>
          </w:tcPr>
          <w:p w14:paraId="03545166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Align w:val="center"/>
          </w:tcPr>
          <w:p w14:paraId="54C35706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203" w:type="dxa"/>
            <w:vAlign w:val="center"/>
          </w:tcPr>
          <w:p w14:paraId="64EE5806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1" w:type="dxa"/>
            <w:vAlign w:val="center"/>
          </w:tcPr>
          <w:p w14:paraId="26B3BCAB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2</w:t>
            </w:r>
          </w:p>
        </w:tc>
      </w:tr>
      <w:tr w:rsidR="00AA18E5" w:rsidRPr="00AA18E5" w14:paraId="5A9BFB76" w14:textId="77777777" w:rsidTr="00747DBB">
        <w:tc>
          <w:tcPr>
            <w:tcW w:w="1404" w:type="dxa"/>
          </w:tcPr>
          <w:p w14:paraId="01945F06" w14:textId="77777777" w:rsidR="00AA18E5" w:rsidRPr="00AA18E5" w:rsidRDefault="00AA18E5" w:rsidP="00747DBB">
            <w:pPr>
              <w:contextualSpacing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FCP (</w:t>
            </w:r>
            <w:proofErr w:type="gramStart"/>
            <w:r w:rsidRPr="00AA18E5">
              <w:rPr>
                <w:rFonts w:ascii="Times New Roman" w:hAnsi="Times New Roman" w:cs="Times New Roman"/>
              </w:rPr>
              <w:t>µg</w:t>
            </w:r>
            <w:proofErr w:type="gramEnd"/>
            <w:r w:rsidRPr="00AA18E5">
              <w:rPr>
                <w:rFonts w:ascii="Times New Roman" w:hAnsi="Times New Roman" w:cs="Times New Roman"/>
              </w:rPr>
              <w:t>/g)</w:t>
            </w:r>
          </w:p>
        </w:tc>
        <w:tc>
          <w:tcPr>
            <w:tcW w:w="1259" w:type="dxa"/>
            <w:vAlign w:val="center"/>
          </w:tcPr>
          <w:p w14:paraId="340E2845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254</w:t>
            </w:r>
          </w:p>
        </w:tc>
        <w:tc>
          <w:tcPr>
            <w:tcW w:w="1337" w:type="dxa"/>
            <w:vAlign w:val="center"/>
          </w:tcPr>
          <w:p w14:paraId="1E2BB6A9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275</w:t>
            </w:r>
          </w:p>
        </w:tc>
        <w:tc>
          <w:tcPr>
            <w:tcW w:w="1337" w:type="dxa"/>
            <w:vAlign w:val="center"/>
          </w:tcPr>
          <w:p w14:paraId="0E0B3D56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494</w:t>
            </w:r>
          </w:p>
        </w:tc>
        <w:tc>
          <w:tcPr>
            <w:tcW w:w="1138" w:type="dxa"/>
            <w:vAlign w:val="center"/>
          </w:tcPr>
          <w:p w14:paraId="603CD675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551</w:t>
            </w:r>
          </w:p>
        </w:tc>
        <w:tc>
          <w:tcPr>
            <w:tcW w:w="1306" w:type="dxa"/>
            <w:vAlign w:val="center"/>
          </w:tcPr>
          <w:p w14:paraId="18FC3045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208</w:t>
            </w:r>
          </w:p>
        </w:tc>
        <w:tc>
          <w:tcPr>
            <w:tcW w:w="1203" w:type="dxa"/>
            <w:shd w:val="clear" w:color="auto" w:fill="D0CECE" w:themeFill="background2" w:themeFillShade="E6"/>
            <w:vAlign w:val="center"/>
          </w:tcPr>
          <w:p w14:paraId="1DD47620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1" w:type="dxa"/>
            <w:vAlign w:val="center"/>
          </w:tcPr>
          <w:p w14:paraId="7AC45FCB" w14:textId="77777777" w:rsidR="00AA18E5" w:rsidRPr="00AA18E5" w:rsidRDefault="00AA18E5" w:rsidP="00747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53</w:t>
            </w:r>
          </w:p>
        </w:tc>
      </w:tr>
      <w:tr w:rsidR="00AA18E5" w:rsidRPr="00AA18E5" w14:paraId="502B471D" w14:textId="77777777" w:rsidTr="00747DBB">
        <w:tc>
          <w:tcPr>
            <w:tcW w:w="9985" w:type="dxa"/>
            <w:gridSpan w:val="8"/>
          </w:tcPr>
          <w:p w14:paraId="2D0ABC81" w14:textId="77777777" w:rsidR="00AA18E5" w:rsidRPr="00AA18E5" w:rsidRDefault="00AA18E5" w:rsidP="00747DBB">
            <w:pPr>
              <w:contextualSpacing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Abbreviations: Hgb: Hemoglobin; HCT: hematocrit; CRP: C-reactive protein; ESR: Erythrocyte sedimentation rate; FCP: fecal calprotectin</w:t>
            </w:r>
          </w:p>
          <w:p w14:paraId="0FEE6427" w14:textId="77777777" w:rsidR="00AA18E5" w:rsidRPr="00AA18E5" w:rsidRDefault="00AA18E5" w:rsidP="00747DBB">
            <w:pPr>
              <w:contextualSpacing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 xml:space="preserve">Of note, labs were grouped to the nearest event outlined in the timeline. Numbers in brackets correspond to the closest significant event. </w:t>
            </w:r>
          </w:p>
          <w:p w14:paraId="4784E3FD" w14:textId="77777777" w:rsidR="00AA18E5" w:rsidRPr="00AA18E5" w:rsidRDefault="00AA18E5" w:rsidP="00747DBB">
            <w:pPr>
              <w:contextualSpacing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Those values in bold are outside the normal reference range. Those boxes left blank represent missing values</w:t>
            </w:r>
          </w:p>
        </w:tc>
      </w:tr>
    </w:tbl>
    <w:p w14:paraId="48F6EC58" w14:textId="77777777" w:rsidR="00AA18E5" w:rsidRDefault="00AA18E5"/>
    <w:p w14:paraId="459946D2" w14:textId="77777777" w:rsidR="00AA18E5" w:rsidRDefault="00AA18E5"/>
    <w:p w14:paraId="3D1A208E" w14:textId="77777777" w:rsidR="00AA18E5" w:rsidRDefault="00AA18E5"/>
    <w:p w14:paraId="2716EC1B" w14:textId="77777777" w:rsidR="00AA18E5" w:rsidRDefault="00AA18E5"/>
    <w:p w14:paraId="1E2FAC48" w14:textId="77777777" w:rsidR="00AA18E5" w:rsidRDefault="00AA18E5"/>
    <w:p w14:paraId="281B93BC" w14:textId="77777777" w:rsidR="00AA18E5" w:rsidRDefault="00AA18E5"/>
    <w:p w14:paraId="111FA209" w14:textId="77777777" w:rsidR="00AA18E5" w:rsidRDefault="00AA18E5"/>
    <w:p w14:paraId="2FB57C79" w14:textId="77777777" w:rsidR="00AA18E5" w:rsidRDefault="00AA18E5"/>
    <w:p w14:paraId="03CD3964" w14:textId="77777777" w:rsidR="00AA18E5" w:rsidRDefault="00AA18E5"/>
    <w:p w14:paraId="154011F6" w14:textId="77777777" w:rsidR="00AA18E5" w:rsidRDefault="00AA18E5"/>
    <w:p w14:paraId="035A4E48" w14:textId="77777777" w:rsidR="00AA18E5" w:rsidRDefault="00AA18E5"/>
    <w:p w14:paraId="6E8501D9" w14:textId="77777777" w:rsidR="00AA18E5" w:rsidRDefault="00AA18E5"/>
    <w:p w14:paraId="730D4A30" w14:textId="77777777" w:rsidR="00AA18E5" w:rsidRDefault="00AA18E5"/>
    <w:p w14:paraId="48C46F80" w14:textId="77777777" w:rsidR="00AA18E5" w:rsidRDefault="00AA18E5"/>
    <w:p w14:paraId="14667A4C" w14:textId="77777777" w:rsidR="00AA18E5" w:rsidRDefault="00AA18E5"/>
    <w:p w14:paraId="604BF3A8" w14:textId="2233A994" w:rsidR="00AA18E5" w:rsidRPr="00BE55BB" w:rsidRDefault="00AA18E5" w:rsidP="00AA18E5">
      <w:pPr>
        <w:rPr>
          <w:b/>
          <w:bCs/>
        </w:rPr>
      </w:pPr>
      <w:r>
        <w:rPr>
          <w:b/>
          <w:bCs/>
        </w:rPr>
        <w:lastRenderedPageBreak/>
        <w:t>T</w:t>
      </w:r>
      <w:r w:rsidRPr="00BE55BB">
        <w:rPr>
          <w:b/>
          <w:bCs/>
        </w:rPr>
        <w:t xml:space="preserve">able 2: </w:t>
      </w:r>
      <w:r>
        <w:rPr>
          <w:b/>
          <w:bCs/>
        </w:rPr>
        <w:t xml:space="preserve">Pediatric Cases of </w:t>
      </w:r>
      <w:r w:rsidRPr="00BE55BB">
        <w:rPr>
          <w:b/>
          <w:bCs/>
        </w:rPr>
        <w:t xml:space="preserve">Meckel’s Diverticulum </w:t>
      </w:r>
      <w:r>
        <w:rPr>
          <w:b/>
          <w:bCs/>
        </w:rPr>
        <w:t>Mimicking</w:t>
      </w:r>
      <w:r w:rsidRPr="00BE55BB">
        <w:rPr>
          <w:b/>
          <w:bCs/>
        </w:rPr>
        <w:t xml:space="preserve"> Crohn’s </w:t>
      </w:r>
      <w:r>
        <w:rPr>
          <w:b/>
          <w:bCs/>
        </w:rPr>
        <w:t>Disease</w:t>
      </w:r>
    </w:p>
    <w:p w14:paraId="20ABE701" w14:textId="77777777" w:rsidR="00AA18E5" w:rsidRDefault="00AA18E5"/>
    <w:tbl>
      <w:tblPr>
        <w:tblStyle w:val="TableGrid"/>
        <w:tblW w:w="11159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990"/>
        <w:gridCol w:w="3330"/>
        <w:gridCol w:w="1890"/>
        <w:gridCol w:w="2095"/>
        <w:gridCol w:w="1419"/>
      </w:tblGrid>
      <w:tr w:rsidR="00AA18E5" w:rsidRPr="00AA18E5" w14:paraId="34E8AD23" w14:textId="77777777" w:rsidTr="00747DBB">
        <w:trPr>
          <w:jc w:val="center"/>
        </w:trPr>
        <w:tc>
          <w:tcPr>
            <w:tcW w:w="1435" w:type="dxa"/>
            <w:vAlign w:val="center"/>
          </w:tcPr>
          <w:p w14:paraId="3DA84FEB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Publication</w:t>
            </w:r>
          </w:p>
        </w:tc>
        <w:tc>
          <w:tcPr>
            <w:tcW w:w="990" w:type="dxa"/>
            <w:vAlign w:val="center"/>
          </w:tcPr>
          <w:p w14:paraId="7D0EC63B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Age (years), Sex</w:t>
            </w:r>
          </w:p>
        </w:tc>
        <w:tc>
          <w:tcPr>
            <w:tcW w:w="3330" w:type="dxa"/>
            <w:vAlign w:val="center"/>
          </w:tcPr>
          <w:p w14:paraId="3AD7B9CC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Initial Clinical History and Symptoms</w:t>
            </w:r>
          </w:p>
        </w:tc>
        <w:tc>
          <w:tcPr>
            <w:tcW w:w="1890" w:type="dxa"/>
            <w:vAlign w:val="center"/>
          </w:tcPr>
          <w:p w14:paraId="00FFA466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Labs and Fecal Calprotectin</w:t>
            </w:r>
          </w:p>
        </w:tc>
        <w:tc>
          <w:tcPr>
            <w:tcW w:w="2095" w:type="dxa"/>
            <w:vAlign w:val="center"/>
          </w:tcPr>
          <w:p w14:paraId="6A5295FF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Method of Diagnosis</w:t>
            </w:r>
          </w:p>
        </w:tc>
        <w:tc>
          <w:tcPr>
            <w:tcW w:w="1419" w:type="dxa"/>
            <w:vAlign w:val="center"/>
          </w:tcPr>
          <w:p w14:paraId="7D5159A3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8E5">
              <w:rPr>
                <w:rFonts w:ascii="Times New Roman" w:hAnsi="Times New Roman" w:cs="Times New Roman"/>
                <w:b/>
                <w:bCs/>
              </w:rPr>
              <w:t>Treatment for IBD</w:t>
            </w:r>
          </w:p>
        </w:tc>
      </w:tr>
      <w:tr w:rsidR="00AA18E5" w:rsidRPr="00AA18E5" w14:paraId="18F0473E" w14:textId="77777777" w:rsidTr="00747DBB">
        <w:trPr>
          <w:jc w:val="center"/>
        </w:trPr>
        <w:tc>
          <w:tcPr>
            <w:tcW w:w="1435" w:type="dxa"/>
            <w:vAlign w:val="center"/>
          </w:tcPr>
          <w:p w14:paraId="5D46F958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A18E5">
              <w:rPr>
                <w:rFonts w:ascii="Times New Roman" w:hAnsi="Times New Roman" w:cs="Times New Roman"/>
              </w:rPr>
              <w:t xml:space="preserve">Kang et al </w:t>
            </w:r>
            <w:r w:rsidRPr="00AA18E5">
              <w:rPr>
                <w:rFonts w:ascii="Times New Roman" w:hAnsi="Times New Roman" w:cs="Times New Roman"/>
                <w:vertAlign w:val="superscript"/>
              </w:rPr>
              <w:t>11</w:t>
            </w:r>
          </w:p>
        </w:tc>
        <w:tc>
          <w:tcPr>
            <w:tcW w:w="990" w:type="dxa"/>
            <w:vAlign w:val="center"/>
          </w:tcPr>
          <w:p w14:paraId="06D898D0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8y,</w:t>
            </w:r>
          </w:p>
          <w:p w14:paraId="3E6B0FFF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3330" w:type="dxa"/>
            <w:vAlign w:val="center"/>
          </w:tcPr>
          <w:p w14:paraId="2C517876" w14:textId="77777777" w:rsidR="00AA18E5" w:rsidRPr="00AA18E5" w:rsidRDefault="00AA18E5" w:rsidP="00747DBB">
            <w:pPr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Three months of pallor and weakness. Capsule endoscopy showing diffuse erythematous mucosa in distal ileum. Ongoing symptoms four years later (melena, syncope).</w:t>
            </w:r>
          </w:p>
        </w:tc>
        <w:tc>
          <w:tcPr>
            <w:tcW w:w="1890" w:type="dxa"/>
            <w:vAlign w:val="center"/>
          </w:tcPr>
          <w:p w14:paraId="4C872401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AA18E5">
              <w:rPr>
                <w:rFonts w:ascii="Times New Roman" w:hAnsi="Times New Roman" w:cs="Times New Roman"/>
                <w:lang w:val="de-DE"/>
              </w:rPr>
              <w:t>Hgb 7.7 g/dL</w:t>
            </w:r>
          </w:p>
          <w:p w14:paraId="777D0BBB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AA18E5">
              <w:rPr>
                <w:rFonts w:ascii="Times New Roman" w:hAnsi="Times New Roman" w:cs="Times New Roman"/>
                <w:lang w:val="de-DE"/>
              </w:rPr>
              <w:t>Albumin 4.5 g/dL</w:t>
            </w:r>
          </w:p>
          <w:p w14:paraId="13380F2E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AA18E5">
              <w:rPr>
                <w:rFonts w:ascii="Times New Roman" w:hAnsi="Times New Roman" w:cs="Times New Roman"/>
                <w:lang w:val="de-DE"/>
              </w:rPr>
              <w:t>CRP 0.04 mg/dL</w:t>
            </w:r>
          </w:p>
          <w:p w14:paraId="68AB1021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AA18E5">
              <w:rPr>
                <w:rFonts w:ascii="Times New Roman" w:hAnsi="Times New Roman" w:cs="Times New Roman"/>
                <w:lang w:val="de-DE"/>
              </w:rPr>
              <w:t>ESR 6mm/hr</w:t>
            </w:r>
          </w:p>
          <w:p w14:paraId="0596B994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 xml:space="preserve">FCP&gt;2000 </w:t>
            </w:r>
            <w:proofErr w:type="gramStart"/>
            <w:r w:rsidRPr="00AA18E5">
              <w:rPr>
                <w:rFonts w:ascii="Times New Roman" w:hAnsi="Times New Roman" w:cs="Times New Roman"/>
              </w:rPr>
              <w:t>µg</w:t>
            </w:r>
            <w:proofErr w:type="gramEnd"/>
            <w:r w:rsidRPr="00AA18E5">
              <w:rPr>
                <w:rFonts w:ascii="Times New Roman" w:hAnsi="Times New Roman" w:cs="Times New Roman"/>
              </w:rPr>
              <w:t>/g</w:t>
            </w:r>
          </w:p>
        </w:tc>
        <w:tc>
          <w:tcPr>
            <w:tcW w:w="2095" w:type="dxa"/>
            <w:vAlign w:val="center"/>
          </w:tcPr>
          <w:p w14:paraId="025A1259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 xml:space="preserve">CTA revealed an enhancing structure connected to distal ileum. Small bowel barium study noting concern for possible Meckel’s. Exploratory laparoscopy with resection followed. </w:t>
            </w:r>
          </w:p>
        </w:tc>
        <w:tc>
          <w:tcPr>
            <w:tcW w:w="1419" w:type="dxa"/>
            <w:vAlign w:val="center"/>
          </w:tcPr>
          <w:p w14:paraId="547EA0EB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Oral Mesalamine</w:t>
            </w:r>
          </w:p>
        </w:tc>
      </w:tr>
      <w:tr w:rsidR="00AA18E5" w:rsidRPr="00AA18E5" w14:paraId="28B5D02F" w14:textId="77777777" w:rsidTr="00747DBB">
        <w:trPr>
          <w:jc w:val="center"/>
        </w:trPr>
        <w:tc>
          <w:tcPr>
            <w:tcW w:w="1435" w:type="dxa"/>
            <w:vAlign w:val="center"/>
          </w:tcPr>
          <w:p w14:paraId="54E9E745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A18E5">
              <w:rPr>
                <w:rFonts w:ascii="Times New Roman" w:hAnsi="Times New Roman" w:cs="Times New Roman"/>
              </w:rPr>
              <w:t xml:space="preserve">Hedge et al </w:t>
            </w:r>
            <w:r w:rsidRPr="00AA18E5">
              <w:rPr>
                <w:rFonts w:ascii="Times New Roman" w:hAnsi="Times New Roman" w:cs="Times New Roman"/>
                <w:vertAlign w:val="superscript"/>
              </w:rPr>
              <w:t>15</w:t>
            </w:r>
          </w:p>
        </w:tc>
        <w:tc>
          <w:tcPr>
            <w:tcW w:w="990" w:type="dxa"/>
            <w:vAlign w:val="center"/>
          </w:tcPr>
          <w:p w14:paraId="2C5A226D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6y,</w:t>
            </w:r>
          </w:p>
          <w:p w14:paraId="18E779B4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3330" w:type="dxa"/>
            <w:vAlign w:val="center"/>
          </w:tcPr>
          <w:p w14:paraId="0334BA86" w14:textId="77777777" w:rsidR="00AA18E5" w:rsidRPr="00AA18E5" w:rsidRDefault="00AA18E5" w:rsidP="00747DBB">
            <w:pPr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 xml:space="preserve">Two months of recurrent hematochezia. Imaging suggesting Crohn’s Disease. Diagnosed with </w:t>
            </w:r>
            <w:proofErr w:type="spellStart"/>
            <w:r w:rsidRPr="00AA18E5">
              <w:rPr>
                <w:rFonts w:ascii="Times New Roman" w:hAnsi="Times New Roman" w:cs="Times New Roman"/>
              </w:rPr>
              <w:t>Meckels</w:t>
            </w:r>
            <w:proofErr w:type="spellEnd"/>
            <w:r w:rsidRPr="00AA18E5">
              <w:rPr>
                <w:rFonts w:ascii="Times New Roman" w:hAnsi="Times New Roman" w:cs="Times New Roman"/>
              </w:rPr>
              <w:t xml:space="preserve"> on exploratory laparotomy. CTE was completed noting mesenteric fat stranding, thickened loops of small bowel. Suspected </w:t>
            </w:r>
            <w:proofErr w:type="spellStart"/>
            <w:r w:rsidRPr="00AA18E5">
              <w:rPr>
                <w:rFonts w:ascii="Times New Roman" w:hAnsi="Times New Roman" w:cs="Times New Roman"/>
              </w:rPr>
              <w:t>microperforation</w:t>
            </w:r>
            <w:proofErr w:type="spellEnd"/>
            <w:r w:rsidRPr="00AA18E5">
              <w:rPr>
                <w:rFonts w:ascii="Times New Roman" w:hAnsi="Times New Roman" w:cs="Times New Roman"/>
              </w:rPr>
              <w:t xml:space="preserve"> or micro abscesses.</w:t>
            </w:r>
          </w:p>
        </w:tc>
        <w:tc>
          <w:tcPr>
            <w:tcW w:w="1890" w:type="dxa"/>
            <w:vAlign w:val="center"/>
          </w:tcPr>
          <w:p w14:paraId="18E448C6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AA18E5">
              <w:rPr>
                <w:rFonts w:ascii="Times New Roman" w:hAnsi="Times New Roman" w:cs="Times New Roman"/>
                <w:lang w:val="de-DE"/>
              </w:rPr>
              <w:t>CRP 9.6 mg/dL</w:t>
            </w:r>
          </w:p>
          <w:p w14:paraId="08C8A036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AA18E5">
              <w:rPr>
                <w:rFonts w:ascii="Times New Roman" w:hAnsi="Times New Roman" w:cs="Times New Roman"/>
                <w:lang w:val="de-DE"/>
              </w:rPr>
              <w:t>ESR 17 mm/hr</w:t>
            </w:r>
          </w:p>
        </w:tc>
        <w:tc>
          <w:tcPr>
            <w:tcW w:w="2095" w:type="dxa"/>
            <w:vAlign w:val="center"/>
          </w:tcPr>
          <w:p w14:paraId="13B6FEA7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MRE was suggested of perforated Meckel’s Diverticulitis that led to exploratory laparoscopy with resection</w:t>
            </w:r>
          </w:p>
        </w:tc>
        <w:tc>
          <w:tcPr>
            <w:tcW w:w="1419" w:type="dxa"/>
            <w:vAlign w:val="center"/>
          </w:tcPr>
          <w:p w14:paraId="6E5407A2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None</w:t>
            </w:r>
          </w:p>
        </w:tc>
      </w:tr>
      <w:tr w:rsidR="00AA18E5" w:rsidRPr="00AA18E5" w14:paraId="37A25CF4" w14:textId="77777777" w:rsidTr="00747DBB">
        <w:trPr>
          <w:jc w:val="center"/>
        </w:trPr>
        <w:tc>
          <w:tcPr>
            <w:tcW w:w="1435" w:type="dxa"/>
            <w:vAlign w:val="center"/>
          </w:tcPr>
          <w:p w14:paraId="62005824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A18E5">
              <w:rPr>
                <w:rFonts w:ascii="Times New Roman" w:hAnsi="Times New Roman" w:cs="Times New Roman"/>
              </w:rPr>
              <w:t xml:space="preserve">Alvarez et al </w:t>
            </w:r>
            <w:r w:rsidRPr="00AA18E5">
              <w:rPr>
                <w:rFonts w:ascii="Times New Roman" w:hAnsi="Times New Roman" w:cs="Times New Roman"/>
                <w:vertAlign w:val="superscript"/>
              </w:rPr>
              <w:t>16</w:t>
            </w:r>
          </w:p>
        </w:tc>
        <w:tc>
          <w:tcPr>
            <w:tcW w:w="990" w:type="dxa"/>
            <w:vAlign w:val="center"/>
          </w:tcPr>
          <w:p w14:paraId="42423857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11y,</w:t>
            </w:r>
          </w:p>
          <w:p w14:paraId="01784497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3330" w:type="dxa"/>
            <w:vAlign w:val="center"/>
          </w:tcPr>
          <w:p w14:paraId="7DEC064E" w14:textId="77777777" w:rsidR="00AA18E5" w:rsidRPr="00AA18E5" w:rsidRDefault="00AA18E5" w:rsidP="00747DBB">
            <w:pPr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Six weeks of periumbilical pain, 2 weeks non-bloody diarrhea and fever. Infliximab was started. CT with concerns of a phlegmon with worsening symptoms.</w:t>
            </w:r>
          </w:p>
        </w:tc>
        <w:tc>
          <w:tcPr>
            <w:tcW w:w="1890" w:type="dxa"/>
            <w:vAlign w:val="center"/>
          </w:tcPr>
          <w:p w14:paraId="62BADA0B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Hgb 9.9 g/dL</w:t>
            </w:r>
          </w:p>
          <w:p w14:paraId="354BB92E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AA18E5">
              <w:rPr>
                <w:rFonts w:ascii="Times New Roman" w:hAnsi="Times New Roman" w:cs="Times New Roman"/>
                <w:lang w:val="de-DE"/>
              </w:rPr>
              <w:t>Albumin 2.5 g/dL</w:t>
            </w:r>
          </w:p>
          <w:p w14:paraId="350BE3BE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CRP 221 mg/L</w:t>
            </w:r>
          </w:p>
          <w:p w14:paraId="242CB52F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AA18E5">
              <w:rPr>
                <w:rFonts w:ascii="Times New Roman" w:hAnsi="Times New Roman" w:cs="Times New Roman"/>
                <w:lang w:val="de-DE"/>
              </w:rPr>
              <w:t>FCP &gt; 1250 ug/g</w:t>
            </w:r>
          </w:p>
        </w:tc>
        <w:tc>
          <w:tcPr>
            <w:tcW w:w="2095" w:type="dxa"/>
            <w:vAlign w:val="center"/>
          </w:tcPr>
          <w:p w14:paraId="622F98A6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A technetium 99m scan was obtained that led to exploratory laparoscopy with resection</w:t>
            </w:r>
          </w:p>
        </w:tc>
        <w:tc>
          <w:tcPr>
            <w:tcW w:w="1419" w:type="dxa"/>
            <w:vAlign w:val="center"/>
          </w:tcPr>
          <w:p w14:paraId="57000A92" w14:textId="77777777" w:rsidR="00AA18E5" w:rsidRPr="00AA18E5" w:rsidRDefault="00AA18E5" w:rsidP="00747DBB">
            <w:pPr>
              <w:jc w:val="center"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>Infliximab</w:t>
            </w:r>
          </w:p>
        </w:tc>
      </w:tr>
      <w:tr w:rsidR="00AA18E5" w:rsidRPr="00AA18E5" w14:paraId="0207006E" w14:textId="77777777" w:rsidTr="00747DBB">
        <w:trPr>
          <w:jc w:val="center"/>
        </w:trPr>
        <w:tc>
          <w:tcPr>
            <w:tcW w:w="11159" w:type="dxa"/>
            <w:gridSpan w:val="6"/>
          </w:tcPr>
          <w:p w14:paraId="6AD4D547" w14:textId="77777777" w:rsidR="00AA18E5" w:rsidRPr="00AA18E5" w:rsidRDefault="00AA18E5" w:rsidP="00747DBB">
            <w:pPr>
              <w:contextualSpacing/>
              <w:rPr>
                <w:rFonts w:ascii="Times New Roman" w:hAnsi="Times New Roman" w:cs="Times New Roman"/>
              </w:rPr>
            </w:pPr>
            <w:r w:rsidRPr="00AA18E5">
              <w:rPr>
                <w:rFonts w:ascii="Times New Roman" w:hAnsi="Times New Roman" w:cs="Times New Roman"/>
              </w:rPr>
              <w:t xml:space="preserve">Abbreviations: Hgb: Hemoglobin; HCT: hematocrit; CRP: C-reactive protein; ESR: Erythrocyte sedimentation rate; FCP: fecal calprotectin; CT: computed tomography; CTA: computed tomography angiography; CT: computed tomography </w:t>
            </w:r>
            <w:proofErr w:type="spellStart"/>
            <w:r w:rsidRPr="00AA18E5">
              <w:rPr>
                <w:rFonts w:ascii="Times New Roman" w:hAnsi="Times New Roman" w:cs="Times New Roman"/>
              </w:rPr>
              <w:t>enterography</w:t>
            </w:r>
            <w:proofErr w:type="spellEnd"/>
            <w:r w:rsidRPr="00AA18E5">
              <w:rPr>
                <w:rFonts w:ascii="Times New Roman" w:hAnsi="Times New Roman" w:cs="Times New Roman"/>
              </w:rPr>
              <w:t xml:space="preserve">; </w:t>
            </w:r>
          </w:p>
        </w:tc>
      </w:tr>
    </w:tbl>
    <w:p w14:paraId="45934419" w14:textId="77777777" w:rsidR="00AA18E5" w:rsidRDefault="00AA18E5"/>
    <w:sectPr w:rsidR="00AA1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E5"/>
    <w:rsid w:val="00010B57"/>
    <w:rsid w:val="001E00D3"/>
    <w:rsid w:val="00456DFC"/>
    <w:rsid w:val="00A75532"/>
    <w:rsid w:val="00AA18E5"/>
    <w:rsid w:val="00C0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C9313"/>
  <w15:chartTrackingRefBased/>
  <w15:docId w15:val="{5FB8BC6A-38F1-42BD-B47B-2F7356FD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8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8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8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8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8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8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8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8E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8E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8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8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8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8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8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8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8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8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8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8E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A18E5"/>
    <w:pPr>
      <w:spacing w:after="0" w:line="240" w:lineRule="auto"/>
    </w:pPr>
    <w:rPr>
      <w:rFonts w:asciiTheme="minorHAnsi" w:hAnsiTheme="minorHAnsi" w:cstheme="minorBidi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Zeky, Nicole</dc:creator>
  <cp:keywords/>
  <dc:description/>
  <cp:lastModifiedBy>Zeky, Nicole</cp:lastModifiedBy>
  <cp:revision>1</cp:revision>
  <dcterms:created xsi:type="dcterms:W3CDTF">2025-05-01T12:54:00Z</dcterms:created>
  <dcterms:modified xsi:type="dcterms:W3CDTF">2025-05-01T12:59:00Z</dcterms:modified>
</cp:coreProperties>
</file>