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6F178" w14:textId="5A0F2BDE" w:rsidR="00BD46AF" w:rsidRDefault="009865BE" w:rsidP="00BD46AF">
      <w:pPr>
        <w:spacing w:line="480" w:lineRule="auto"/>
        <w:rPr>
          <w:rFonts w:ascii="Times New Roman" w:hAnsi="Times New Roman" w:cs="Times New Roman"/>
          <w:b/>
          <w:bCs/>
        </w:rPr>
      </w:pPr>
      <w:bookmarkStart w:id="0" w:name="OLE_LINK8"/>
      <w:r>
        <w:rPr>
          <w:noProof/>
        </w:rPr>
        <w:drawing>
          <wp:inline distT="0" distB="0" distL="0" distR="0" wp14:anchorId="40DE3FD7" wp14:editId="2CFED653">
            <wp:extent cx="5274310" cy="6794500"/>
            <wp:effectExtent l="0" t="0" r="2540" b="6350"/>
            <wp:docPr id="1651864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7FF7" w14:textId="11A52CFA" w:rsidR="00BD46AF" w:rsidRDefault="00BD46AF" w:rsidP="00BD46A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 w:rsidR="000219F3">
        <w:rPr>
          <w:rFonts w:ascii="Times New Roman" w:hAnsi="Times New Roman" w:cs="Times New Roman" w:hint="eastAsia"/>
          <w:b/>
          <w:bCs/>
        </w:rPr>
        <w:t>PHOX1</w:t>
      </w:r>
      <w:r>
        <w:rPr>
          <w:rFonts w:ascii="Times New Roman" w:hAnsi="Times New Roman" w:cs="Times New Roman" w:hint="eastAsia"/>
          <w:b/>
          <w:bCs/>
        </w:rPr>
        <w:t xml:space="preserve"> overexpression is correlated with </w:t>
      </w:r>
      <w:r>
        <w:rPr>
          <w:rFonts w:ascii="Times New Roman" w:hAnsi="Times New Roman" w:cs="Times New Roman"/>
          <w:b/>
          <w:bCs/>
        </w:rPr>
        <w:t xml:space="preserve">clinical GC </w:t>
      </w:r>
      <w:r>
        <w:rPr>
          <w:rFonts w:ascii="Times New Roman" w:hAnsi="Times New Roman" w:cs="Times New Roman" w:hint="eastAsia"/>
          <w:b/>
          <w:bCs/>
        </w:rPr>
        <w:t>metastasis.</w:t>
      </w:r>
    </w:p>
    <w:p w14:paraId="097B26F0" w14:textId="74E150C8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Volcano plots represent all DEGs of the respective dataset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. The red dot represents genes of |LogFC|≥1 and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value &lt; 0.05, and the gray dot represents unchanged genes. </w:t>
      </w:r>
      <w:r>
        <w:rPr>
          <w:rFonts w:ascii="Times New Roman" w:hAnsi="Times New Roman" w:cs="Times New Roman" w:hint="eastAsia"/>
          <w:b/>
          <w:bCs/>
        </w:rPr>
        <w:t xml:space="preserve">B. </w:t>
      </w:r>
      <w:r>
        <w:rPr>
          <w:rFonts w:ascii="Times New Roman" w:hAnsi="Times New Roman" w:cs="Times New Roman"/>
        </w:rPr>
        <w:t xml:space="preserve">The expression of </w:t>
      </w:r>
      <w:r w:rsidR="000219F3">
        <w:rPr>
          <w:rFonts w:ascii="Times New Roman" w:hAnsi="Times New Roman" w:cs="Times New Roman"/>
        </w:rPr>
        <w:t>PHOX1</w:t>
      </w:r>
      <w:r>
        <w:rPr>
          <w:rFonts w:ascii="Times New Roman" w:hAnsi="Times New Roman" w:cs="Times New Roman" w:hint="eastAsia"/>
        </w:rPr>
        <w:t xml:space="preserve"> in 34 different types of cancer from TCGA and GTEx cohorts</w:t>
      </w:r>
      <w:r>
        <w:rPr>
          <w:rFonts w:ascii="Times New Roman" w:hAnsi="Times New Roman" w:cs="Times New Roman"/>
        </w:rPr>
        <w:t xml:space="preserve"> was analyzed using the Sanger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ox website.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Bar plot illustrates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across different pathologic T </w:t>
      </w:r>
      <w:r>
        <w:rPr>
          <w:rFonts w:ascii="Times New Roman" w:hAnsi="Times New Roman" w:cs="Times New Roman" w:hint="eastAsia"/>
        </w:rPr>
        <w:lastRenderedPageBreak/>
        <w:t xml:space="preserve">stages in TCGA_STAD dataset. </w:t>
      </w:r>
      <w:r>
        <w:rPr>
          <w:rFonts w:ascii="Times New Roman" w:hAnsi="Times New Roman" w:cs="Times New Roman" w:hint="eastAsia"/>
          <w:b/>
          <w:bCs/>
        </w:rPr>
        <w:t>D.</w:t>
      </w:r>
      <w:r>
        <w:rPr>
          <w:rFonts w:ascii="Times New Roman" w:hAnsi="Times New Roman" w:cs="Times New Roman" w:hint="eastAsia"/>
        </w:rPr>
        <w:t xml:space="preserve">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in different pathologic M stages (M0 and M1) in TCGA_STAD dataset. </w:t>
      </w:r>
      <w:r>
        <w:rPr>
          <w:rFonts w:ascii="Times New Roman" w:hAnsi="Times New Roman" w:cs="Times New Roman" w:hint="eastAsia"/>
          <w:b/>
          <w:bCs/>
        </w:rPr>
        <w:t>E.</w:t>
      </w:r>
      <w:r>
        <w:rPr>
          <w:rFonts w:ascii="Times New Roman" w:hAnsi="Times New Roman" w:cs="Times New Roman" w:hint="eastAsia"/>
        </w:rPr>
        <w:t xml:space="preserve">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across different pathologic stages (Stage I, Stage II, Stage III, Stage IV) in TCGA_STAD dataset. </w:t>
      </w:r>
      <w:r>
        <w:rPr>
          <w:rFonts w:ascii="Times New Roman" w:hAnsi="Times New Roman" w:cs="Times New Roman" w:hint="eastAsia"/>
          <w:b/>
          <w:bCs/>
        </w:rPr>
        <w:t>F.</w:t>
      </w:r>
      <w:r>
        <w:rPr>
          <w:rFonts w:ascii="Times New Roman" w:hAnsi="Times New Roman" w:cs="Times New Roman" w:hint="eastAsia"/>
        </w:rPr>
        <w:t xml:space="preserve">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across different pathologic N stages (N0, N1, N2, N3). </w:t>
      </w:r>
      <w:r>
        <w:rPr>
          <w:rFonts w:ascii="Times New Roman" w:hAnsi="Times New Roman" w:cs="Times New Roman" w:hint="eastAsia"/>
          <w:b/>
          <w:bCs/>
        </w:rPr>
        <w:t>G.</w:t>
      </w:r>
      <w:r>
        <w:rPr>
          <w:rFonts w:ascii="Times New Roman" w:hAnsi="Times New Roman" w:cs="Times New Roman" w:hint="eastAsia"/>
        </w:rPr>
        <w:t xml:space="preserve">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in different genders (Male and Female). </w:t>
      </w:r>
      <w:r>
        <w:rPr>
          <w:rFonts w:ascii="Times New Roman" w:hAnsi="Times New Roman" w:cs="Times New Roman" w:hint="eastAsia"/>
          <w:b/>
          <w:bCs/>
        </w:rPr>
        <w:t>H.</w:t>
      </w:r>
      <w:r>
        <w:rPr>
          <w:rFonts w:ascii="Times New Roman" w:hAnsi="Times New Roman" w:cs="Times New Roman" w:hint="eastAsia"/>
        </w:rPr>
        <w:t xml:space="preserve"> The 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in distinct age groups (</w:t>
      </w:r>
      <w:r>
        <w:rPr>
          <w:rFonts w:ascii="Times New Roman" w:hAnsi="Times New Roman" w:cs="Times New Roman" w:hint="eastAsia"/>
        </w:rPr>
        <w:t>≤</w:t>
      </w:r>
      <w:r>
        <w:rPr>
          <w:rFonts w:ascii="Times New Roman" w:hAnsi="Times New Roman" w:cs="Times New Roman" w:hint="eastAsia"/>
        </w:rPr>
        <w:t xml:space="preserve">65 and &gt;65). </w:t>
      </w:r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</w:t>
      </w:r>
      <w:r>
        <w:rPr>
          <w:rFonts w:ascii="Times New Roman" w:hAnsi="Times New Roman" w:cs="Times New Roman" w:hint="eastAsia"/>
        </w:rPr>
        <w:t xml:space="preserve">0.05, </w:t>
      </w:r>
      <w:r>
        <w:rPr>
          <w:rFonts w:ascii="Times New Roman" w:hAnsi="Times New Roman" w:cs="Times New Roman"/>
        </w:rPr>
        <w:t>*</w:t>
      </w:r>
      <w:bookmarkStart w:id="1" w:name="OLE_LINK5"/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</w:t>
      </w:r>
      <w:r>
        <w:rPr>
          <w:rFonts w:ascii="Times New Roman" w:hAnsi="Times New Roman" w:cs="Times New Roman" w:hint="eastAsia"/>
        </w:rPr>
        <w:t>0.01</w:t>
      </w:r>
      <w:bookmarkEnd w:id="1"/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 xml:space="preserve">***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0.001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***</w:t>
      </w:r>
      <w:r>
        <w:rPr>
          <w:rFonts w:ascii="Times New Roman" w:hAnsi="Times New Roman" w:cs="Times New Roman" w:hint="eastAsia"/>
        </w:rPr>
        <w:t>*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</w:t>
      </w:r>
      <w:r>
        <w:rPr>
          <w:rFonts w:ascii="Times New Roman" w:hAnsi="Times New Roman" w:cs="Times New Roman" w:hint="eastAsia"/>
        </w:rPr>
        <w:t>0.0001</w:t>
      </w:r>
      <w:r>
        <w:rPr>
          <w:rFonts w:ascii="Times New Roman" w:hAnsi="Times New Roman" w:cs="Times New Roman"/>
        </w:rPr>
        <w:t>.</w:t>
      </w:r>
      <w:bookmarkEnd w:id="0"/>
    </w:p>
    <w:p w14:paraId="54917092" w14:textId="77777777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</w:p>
    <w:p w14:paraId="0E84AB74" w14:textId="77777777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</w:p>
    <w:p w14:paraId="6AE2421E" w14:textId="77777777" w:rsidR="009865BE" w:rsidRDefault="009865BE" w:rsidP="00BD46AF">
      <w:pPr>
        <w:spacing w:line="480" w:lineRule="auto"/>
        <w:rPr>
          <w:rFonts w:ascii="Times New Roman" w:hAnsi="Times New Roman" w:cs="Times New Roman" w:hint="eastAsia"/>
        </w:rPr>
      </w:pPr>
    </w:p>
    <w:p w14:paraId="0F4673CD" w14:textId="37938EA6" w:rsidR="00BD46AF" w:rsidRDefault="009865BE" w:rsidP="00BD46AF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2D442CF" wp14:editId="12E3173A">
            <wp:extent cx="5274310" cy="5450205"/>
            <wp:effectExtent l="0" t="0" r="2540" b="0"/>
            <wp:docPr id="1675527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7165" w14:textId="35E7AC74" w:rsidR="00BD46AF" w:rsidRDefault="00BD46AF" w:rsidP="00BD46A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 xml:space="preserve"> S2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Promoter hypomethylation</w:t>
      </w:r>
      <w:r>
        <w:rPr>
          <w:rFonts w:ascii="Times New Roman" w:hAnsi="Times New Roman" w:cs="Times New Roman"/>
          <w:b/>
          <w:bCs/>
        </w:rPr>
        <w:t xml:space="preserve"> of </w:t>
      </w:r>
      <w:r w:rsidR="000219F3">
        <w:rPr>
          <w:rFonts w:ascii="Times New Roman" w:hAnsi="Times New Roman" w:cs="Times New Roman" w:hint="eastAsia"/>
          <w:b/>
          <w:bCs/>
        </w:rPr>
        <w:t>PHOX1</w:t>
      </w:r>
      <w:r>
        <w:rPr>
          <w:rFonts w:ascii="Times New Roman" w:hAnsi="Times New Roman" w:cs="Times New Roman" w:hint="eastAsia"/>
          <w:b/>
          <w:bCs/>
        </w:rPr>
        <w:t xml:space="preserve"> is assosiated with poor pronosis in GC</w:t>
      </w:r>
    </w:p>
    <w:p w14:paraId="75432028" w14:textId="79CD515C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A.</w:t>
      </w:r>
      <w:r>
        <w:rPr>
          <w:rFonts w:ascii="Times New Roman" w:hAnsi="Times New Roman" w:cs="Times New Roman" w:hint="eastAsia"/>
        </w:rPr>
        <w:t xml:space="preserve"> Methylation CpG islands and the primers product length of MSP/BSP distribution in the promoter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were conducted by MethPrimer. Input sequence: red region; CGIs: blue region. </w:t>
      </w:r>
      <w:r>
        <w:rPr>
          <w:rFonts w:ascii="Times New Roman" w:hAnsi="Times New Roman" w:cs="Times New Roman" w:hint="eastAsia"/>
          <w:b/>
          <w:bCs/>
        </w:rPr>
        <w:t>B.</w:t>
      </w:r>
      <w:r>
        <w:rPr>
          <w:rFonts w:ascii="Times New Roman" w:hAnsi="Times New Roman" w:cs="Times New Roman" w:hint="eastAsia"/>
        </w:rPr>
        <w:t xml:space="preserve"> Correlation analysis between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and CpG sites was performed by SMART APP. 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methylation level of the six significant CpG sites (cg03760589, cg15711902, cg23089825, cg04123776, cg07149609 and cg09408098) in the matched pairs of GC patients from GSE164988 dataset. </w:t>
      </w:r>
      <w:r>
        <w:rPr>
          <w:rFonts w:ascii="Times New Roman" w:hAnsi="Times New Roman" w:cs="Times New Roman" w:hint="eastAsia"/>
          <w:b/>
          <w:bCs/>
        </w:rPr>
        <w:t>D.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The survival analysis of </w:t>
      </w:r>
      <w:r>
        <w:rPr>
          <w:rFonts w:ascii="Times New Roman" w:hAnsi="Times New Roman" w:cs="Times New Roman" w:hint="eastAsia"/>
        </w:rPr>
        <w:t xml:space="preserve">CpG sites in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promoter</w:t>
      </w:r>
      <w:r>
        <w:rPr>
          <w:rFonts w:ascii="Times New Roman" w:hAnsi="Times New Roman" w:cs="Times New Roman"/>
        </w:rPr>
        <w:t xml:space="preserve"> was </w:t>
      </w:r>
      <w:r>
        <w:rPr>
          <w:rFonts w:ascii="Times New Roman" w:hAnsi="Times New Roman" w:cs="Times New Roman" w:hint="eastAsia"/>
        </w:rPr>
        <w:t>performed by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SMART</w:t>
      </w:r>
      <w:r>
        <w:rPr>
          <w:rFonts w:ascii="Times New Roman" w:hAnsi="Times New Roman" w:cs="Times New Roman"/>
        </w:rPr>
        <w:t>.</w:t>
      </w:r>
    </w:p>
    <w:p w14:paraId="2B359106" w14:textId="77777777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</w:p>
    <w:p w14:paraId="6FAC9BE4" w14:textId="23A2CCB2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</w:p>
    <w:p w14:paraId="0F8ADC83" w14:textId="09770046" w:rsidR="009865BE" w:rsidRDefault="009865BE" w:rsidP="00BD46AF">
      <w:pPr>
        <w:spacing w:line="480" w:lineRule="auto"/>
        <w:rPr>
          <w:rFonts w:ascii="Times New Roman" w:hAnsi="Times New Roman" w:cs="Times New Roman" w:hint="eastAsia"/>
        </w:rPr>
      </w:pPr>
      <w:r>
        <w:rPr>
          <w:noProof/>
        </w:rPr>
        <w:drawing>
          <wp:inline distT="0" distB="0" distL="0" distR="0" wp14:anchorId="35522A50" wp14:editId="73A81964">
            <wp:extent cx="5274310" cy="6299200"/>
            <wp:effectExtent l="0" t="0" r="2540" b="6350"/>
            <wp:docPr id="10587781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5BA3" w14:textId="124A5A39" w:rsidR="00BD46AF" w:rsidRDefault="00BD46AF" w:rsidP="00BD46A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 xml:space="preserve"> S3. The</w:t>
      </w:r>
      <w:r>
        <w:rPr>
          <w:rFonts w:ascii="Times New Roman" w:hAnsi="Times New Roman" w:cs="Times New Roman"/>
          <w:b/>
          <w:bCs/>
        </w:rPr>
        <w:t xml:space="preserve"> construction of stable </w:t>
      </w:r>
      <w:r w:rsidR="000219F3">
        <w:rPr>
          <w:rFonts w:ascii="Times New Roman" w:hAnsi="Times New Roman" w:cs="Times New Roman" w:hint="eastAsia"/>
          <w:b/>
          <w:bCs/>
        </w:rPr>
        <w:t>PHOX1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overexpressing</w:t>
      </w:r>
      <w:r>
        <w:rPr>
          <w:rFonts w:ascii="Times New Roman" w:hAnsi="Times New Roman" w:cs="Times New Roman" w:hint="eastAsia"/>
          <w:b/>
          <w:bCs/>
        </w:rPr>
        <w:t xml:space="preserve"> and knockdown GC</w:t>
      </w:r>
      <w:r>
        <w:rPr>
          <w:rFonts w:ascii="Times New Roman" w:hAnsi="Times New Roman" w:cs="Times New Roman"/>
          <w:b/>
          <w:bCs/>
        </w:rPr>
        <w:t xml:space="preserve"> cells </w:t>
      </w:r>
    </w:p>
    <w:p w14:paraId="1F0D487F" w14:textId="2D1BD603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A-B. </w:t>
      </w:r>
      <w:r>
        <w:rPr>
          <w:rFonts w:ascii="Times New Roman" w:hAnsi="Times New Roman" w:cs="Times New Roman" w:hint="eastAsia"/>
        </w:rPr>
        <w:t xml:space="preserve">Expression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mRNA and protein was detected in GES-1 and five different GC cell lines. Each bar represented the mean</w:t>
      </w:r>
      <w:r>
        <w:rPr>
          <w:rFonts w:ascii="Times New Roman" w:hAnsi="Times New Roman" w:cs="Times New Roman"/>
        </w:rPr>
        <w:t xml:space="preserve"> ±</w:t>
      </w:r>
      <w:r>
        <w:rPr>
          <w:rFonts w:ascii="Times New Roman" w:hAnsi="Times New Roman" w:cs="Times New Roman" w:hint="eastAsia"/>
        </w:rPr>
        <w:t xml:space="preserve"> SD (n </w:t>
      </w:r>
      <w:r>
        <w:rPr>
          <w:rFonts w:ascii="Times New Roman" w:hAnsi="Times New Roman" w:cs="Times New Roman"/>
        </w:rPr>
        <w:t xml:space="preserve">≥ </w:t>
      </w:r>
      <w:r>
        <w:rPr>
          <w:rFonts w:ascii="Times New Roman" w:hAnsi="Times New Roman" w:cs="Times New Roman" w:hint="eastAsia"/>
        </w:rPr>
        <w:t xml:space="preserve">3). </w:t>
      </w:r>
      <w:r>
        <w:rPr>
          <w:rFonts w:ascii="Times New Roman" w:hAnsi="Times New Roman" w:cs="Times New Roman" w:hint="eastAsia"/>
          <w:b/>
          <w:bCs/>
        </w:rPr>
        <w:t xml:space="preserve">C-F. </w:t>
      </w:r>
      <w:r>
        <w:rPr>
          <w:rFonts w:ascii="Times New Roman" w:hAnsi="Times New Roman" w:cs="Times New Roman" w:hint="eastAsia"/>
        </w:rPr>
        <w:t xml:space="preserve">Western blot and RT-qPCR assay were used to verify the successful construction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overexpression and knockdown GC cells.</w:t>
      </w:r>
    </w:p>
    <w:p w14:paraId="5BA2E02A" w14:textId="77777777" w:rsidR="00BD46AF" w:rsidRDefault="00BD46AF" w:rsidP="00BD46AF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6BE9807" w14:textId="389D87DC" w:rsidR="00BD46AF" w:rsidRDefault="009865BE" w:rsidP="00BD46A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0840B1B" wp14:editId="7E6494A9">
            <wp:extent cx="5274310" cy="5058410"/>
            <wp:effectExtent l="0" t="0" r="2540" b="8890"/>
            <wp:docPr id="3467818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95A9" w14:textId="0A0C3F4D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 xml:space="preserve"> S4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0219F3">
        <w:rPr>
          <w:rFonts w:ascii="Times New Roman" w:hAnsi="Times New Roman" w:cs="Times New Roman"/>
          <w:b/>
          <w:bCs/>
        </w:rPr>
        <w:t>PHOX1</w:t>
      </w:r>
      <w:r>
        <w:rPr>
          <w:rFonts w:ascii="Times New Roman" w:hAnsi="Times New Roman" w:cs="Times New Roman"/>
          <w:b/>
          <w:bCs/>
        </w:rPr>
        <w:t xml:space="preserve"> activates ERK1/2 signaling through NGFR upregulation</w:t>
      </w:r>
    </w:p>
    <w:p w14:paraId="1D40252D" w14:textId="636979E5" w:rsidR="00BD46AF" w:rsidRDefault="00BD46AF" w:rsidP="00BD46A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A. </w:t>
      </w:r>
      <w:r>
        <w:rPr>
          <w:rFonts w:ascii="Times New Roman" w:hAnsi="Times New Roman" w:cs="Times New Roman"/>
        </w:rPr>
        <w:t xml:space="preserve">Volcano plots represent all DEGs of the </w:t>
      </w:r>
      <w:r>
        <w:rPr>
          <w:rFonts w:ascii="Times New Roman" w:hAnsi="Times New Roman" w:cs="Times New Roman" w:hint="eastAsia"/>
        </w:rPr>
        <w:t xml:space="preserve">AGS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vs. NC</w:t>
      </w:r>
      <w:r>
        <w:rPr>
          <w:rFonts w:ascii="Times New Roman" w:hAnsi="Times New Roman" w:cs="Times New Roman"/>
        </w:rPr>
        <w:t xml:space="preserve">. The red dot represents genes of |LogFC|≥1 and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value &lt; 0.05, and the gray dot represents unchanged genes.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B-D. </w:t>
      </w:r>
      <w:r>
        <w:rPr>
          <w:rFonts w:ascii="Times New Roman" w:hAnsi="Times New Roman" w:cs="Times New Roman" w:hint="eastAsia"/>
        </w:rPr>
        <w:t xml:space="preserve">Effect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on the expression of candidate </w:t>
      </w:r>
      <w:r>
        <w:rPr>
          <w:rFonts w:ascii="Times New Roman" w:hAnsi="Times New Roman" w:cs="Times New Roman"/>
        </w:rPr>
        <w:t>DEGs</w:t>
      </w:r>
      <w:r>
        <w:rPr>
          <w:rFonts w:ascii="Times New Roman" w:hAnsi="Times New Roman" w:cs="Times New Roman" w:hint="eastAsia"/>
        </w:rPr>
        <w:t xml:space="preserve"> detected by RT-qPCR in MKN45, HGC27 and N87. </w:t>
      </w:r>
      <w:r>
        <w:rPr>
          <w:rFonts w:ascii="Times New Roman" w:hAnsi="Times New Roman" w:cs="Times New Roman" w:hint="eastAsia"/>
          <w:b/>
          <w:bCs/>
        </w:rPr>
        <w:t xml:space="preserve">E.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correlation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between</w:t>
      </w:r>
      <w:r>
        <w:rPr>
          <w:rFonts w:ascii="Times New Roman" w:hAnsi="Times New Roman" w:cs="Times New Roman"/>
        </w:rPr>
        <w:t xml:space="preserve"> </w:t>
      </w:r>
      <w:r w:rsidR="000219F3">
        <w:rPr>
          <w:rFonts w:ascii="Times New Roman" w:hAnsi="Times New Roman" w:cs="Times New Roman"/>
        </w:rPr>
        <w:t>PHOX1</w:t>
      </w:r>
      <w:r>
        <w:rPr>
          <w:rFonts w:ascii="Times New Roman" w:hAnsi="Times New Roman" w:cs="Times New Roman" w:hint="eastAsia"/>
        </w:rPr>
        <w:t xml:space="preserve"> and NGFR</w:t>
      </w:r>
      <w:r>
        <w:rPr>
          <w:rFonts w:ascii="Times New Roman" w:hAnsi="Times New Roman" w:cs="Times New Roman"/>
        </w:rPr>
        <w:t xml:space="preserve"> in GC tissues were analyzed </w:t>
      </w:r>
      <w:r>
        <w:rPr>
          <w:rFonts w:ascii="Times New Roman" w:hAnsi="Times New Roman" w:cs="Times New Roman" w:hint="eastAsia"/>
        </w:rPr>
        <w:t>by</w:t>
      </w:r>
      <w:r>
        <w:rPr>
          <w:rFonts w:ascii="Times New Roman" w:hAnsi="Times New Roman" w:cs="Times New Roman"/>
        </w:rPr>
        <w:t xml:space="preserve"> the GEPIA2 website.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F.</w:t>
      </w:r>
      <w:r>
        <w:rPr>
          <w:rFonts w:ascii="Times New Roman" w:hAnsi="Times New Roman" w:cs="Times New Roman" w:hint="eastAsia"/>
        </w:rPr>
        <w:t xml:space="preserve"> Correlation between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and NGFR in gastric cancer tissues was analyzed by RT-qPCR. n=40, Pearson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 xml:space="preserve">s correlation. </w:t>
      </w:r>
      <w:r>
        <w:rPr>
          <w:rFonts w:ascii="Times New Roman" w:hAnsi="Times New Roman" w:cs="Times New Roman" w:hint="eastAsia"/>
          <w:b/>
          <w:bCs/>
        </w:rPr>
        <w:t xml:space="preserve">G. </w:t>
      </w:r>
      <w:r>
        <w:rPr>
          <w:rFonts w:ascii="Times New Roman" w:hAnsi="Times New Roman" w:cs="Times New Roman"/>
        </w:rPr>
        <w:t xml:space="preserve">The survival analysis of </w:t>
      </w:r>
      <w:r>
        <w:rPr>
          <w:rFonts w:ascii="Times New Roman" w:hAnsi="Times New Roman" w:cs="Times New Roman" w:hint="eastAsia"/>
        </w:rPr>
        <w:t>NGFR</w:t>
      </w:r>
      <w:r>
        <w:rPr>
          <w:rFonts w:ascii="Times New Roman" w:hAnsi="Times New Roman" w:cs="Times New Roman"/>
        </w:rPr>
        <w:t xml:space="preserve"> was performed using the KM plot database. </w:t>
      </w:r>
      <w:r>
        <w:rPr>
          <w:rFonts w:ascii="Times New Roman" w:hAnsi="Times New Roman" w:cs="Times New Roman" w:hint="eastAsia"/>
          <w:b/>
          <w:bCs/>
        </w:rPr>
        <w:t xml:space="preserve">H. </w:t>
      </w:r>
      <w:r>
        <w:rPr>
          <w:rFonts w:ascii="Times New Roman" w:hAnsi="Times New Roman" w:cs="Times New Roman" w:hint="eastAsia"/>
        </w:rPr>
        <w:t xml:space="preserve">NGFR promoter luciferase wild type or mutated reporters were co-transfected with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and NC, and then luciferase reporter assays were performed. </w:t>
      </w:r>
      <w:r>
        <w:rPr>
          <w:rFonts w:ascii="Times New Roman" w:hAnsi="Times New Roman" w:cs="Times New Roman" w:hint="eastAsia"/>
          <w:b/>
          <w:bCs/>
        </w:rPr>
        <w:t xml:space="preserve">I-J. </w:t>
      </w:r>
      <w:r>
        <w:rPr>
          <w:rFonts w:ascii="Times New Roman" w:hAnsi="Times New Roman" w:cs="Times New Roman" w:hint="eastAsia"/>
        </w:rPr>
        <w:t xml:space="preserve">Control and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-overexpression </w:t>
      </w:r>
      <w:r>
        <w:rPr>
          <w:rFonts w:ascii="Times New Roman" w:hAnsi="Times New Roman" w:cs="Times New Roman" w:hint="eastAsia"/>
        </w:rPr>
        <w:lastRenderedPageBreak/>
        <w:t xml:space="preserve">cells were used for ChIP assay. ChIP-qPCR analysis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 enrichment in the NGFR gene promoters in control and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>-overexpression cells (</w:t>
      </w:r>
      <w:r>
        <w:rPr>
          <w:rFonts w:ascii="Times New Roman" w:hAnsi="Times New Roman" w:cs="Times New Roman" w:hint="eastAsia"/>
          <w:b/>
          <w:bCs/>
        </w:rPr>
        <w:t>I</w:t>
      </w:r>
      <w:r>
        <w:rPr>
          <w:rFonts w:ascii="Times New Roman" w:hAnsi="Times New Roman" w:cs="Times New Roman" w:hint="eastAsia"/>
        </w:rPr>
        <w:t xml:space="preserve">). Amplification of </w:t>
      </w:r>
      <w:r w:rsidR="000219F3">
        <w:rPr>
          <w:rFonts w:ascii="Times New Roman" w:hAnsi="Times New Roman" w:cs="Times New Roman" w:hint="eastAsia"/>
        </w:rPr>
        <w:t>PHOX1</w:t>
      </w:r>
      <w:r>
        <w:rPr>
          <w:rFonts w:ascii="Times New Roman" w:hAnsi="Times New Roman" w:cs="Times New Roman" w:hint="eastAsia"/>
        </w:rPr>
        <w:t xml:space="preserve">-binding sites 1,2 and 3 after ChIP analysis was indicated in the agarose gel. </w:t>
      </w:r>
      <w:r>
        <w:rPr>
          <w:rFonts w:ascii="Times New Roman" w:hAnsi="Times New Roman" w:cs="Times New Roman"/>
        </w:rPr>
        <w:t>The locations of molecular weight markers accompanied the gel figures</w:t>
      </w:r>
      <w:r>
        <w:rPr>
          <w:rFonts w:ascii="Times New Roman" w:hAnsi="Times New Roman" w:cs="Times New Roman" w:hint="eastAsia"/>
        </w:rPr>
        <w:t xml:space="preserve"> (</w:t>
      </w:r>
      <w:r>
        <w:rPr>
          <w:rFonts w:ascii="Times New Roman" w:hAnsi="Times New Roman" w:cs="Times New Roman" w:hint="eastAsia"/>
          <w:b/>
          <w:bCs/>
        </w:rPr>
        <w:t>J</w:t>
      </w:r>
      <w:r>
        <w:rPr>
          <w:rFonts w:ascii="Times New Roman" w:hAnsi="Times New Roman" w:cs="Times New Roman" w:hint="eastAsia"/>
        </w:rPr>
        <w:t>).</w:t>
      </w:r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</w:t>
      </w:r>
      <w:r>
        <w:rPr>
          <w:rFonts w:ascii="Times New Roman" w:hAnsi="Times New Roman" w:cs="Times New Roman" w:hint="eastAsia"/>
        </w:rPr>
        <w:t xml:space="preserve">0.05, </w:t>
      </w:r>
      <w:r>
        <w:rPr>
          <w:rFonts w:ascii="Times New Roman" w:hAnsi="Times New Roman" w:cs="Times New Roman"/>
        </w:rPr>
        <w:t xml:space="preserve">**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</w:t>
      </w:r>
      <w:r>
        <w:rPr>
          <w:rFonts w:ascii="Times New Roman" w:hAnsi="Times New Roman" w:cs="Times New Roman" w:hint="eastAsia"/>
        </w:rPr>
        <w:t xml:space="preserve">0.01, </w:t>
      </w:r>
      <w:r>
        <w:rPr>
          <w:rFonts w:ascii="Times New Roman" w:hAnsi="Times New Roman" w:cs="Times New Roman"/>
        </w:rPr>
        <w:t xml:space="preserve">***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</w:rPr>
        <w:t xml:space="preserve"> &lt; 0.001</w:t>
      </w:r>
      <w:r>
        <w:rPr>
          <w:rFonts w:ascii="Times New Roman" w:hAnsi="Times New Roman" w:cs="Times New Roman" w:hint="eastAsia"/>
        </w:rPr>
        <w:t>, ns: no significance.</w:t>
      </w:r>
    </w:p>
    <w:p w14:paraId="3238A8C6" w14:textId="77777777" w:rsidR="00A40E1F" w:rsidRDefault="00A40E1F">
      <w:pPr>
        <w:rPr>
          <w:rFonts w:hint="eastAsia"/>
        </w:rPr>
      </w:pPr>
    </w:p>
    <w:sectPr w:rsidR="00A40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620ED" w14:textId="77777777" w:rsidR="007448B5" w:rsidRDefault="007448B5" w:rsidP="000219F3">
      <w:pPr>
        <w:rPr>
          <w:rFonts w:hint="eastAsia"/>
        </w:rPr>
      </w:pPr>
      <w:r>
        <w:separator/>
      </w:r>
    </w:p>
  </w:endnote>
  <w:endnote w:type="continuationSeparator" w:id="0">
    <w:p w14:paraId="368D79E1" w14:textId="77777777" w:rsidR="007448B5" w:rsidRDefault="007448B5" w:rsidP="000219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F7083" w14:textId="77777777" w:rsidR="007448B5" w:rsidRDefault="007448B5" w:rsidP="000219F3">
      <w:pPr>
        <w:rPr>
          <w:rFonts w:hint="eastAsia"/>
        </w:rPr>
      </w:pPr>
      <w:r>
        <w:separator/>
      </w:r>
    </w:p>
  </w:footnote>
  <w:footnote w:type="continuationSeparator" w:id="0">
    <w:p w14:paraId="0D43CCA3" w14:textId="77777777" w:rsidR="007448B5" w:rsidRDefault="007448B5" w:rsidP="000219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6AF"/>
    <w:rsid w:val="000219F3"/>
    <w:rsid w:val="00074696"/>
    <w:rsid w:val="000F6469"/>
    <w:rsid w:val="003E5F55"/>
    <w:rsid w:val="00494AA5"/>
    <w:rsid w:val="005D5D46"/>
    <w:rsid w:val="007448B5"/>
    <w:rsid w:val="009865BE"/>
    <w:rsid w:val="00A40E1F"/>
    <w:rsid w:val="00B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E0B3CA"/>
  <w15:chartTrackingRefBased/>
  <w15:docId w15:val="{092A44B6-55DB-4853-B080-3FD8A2704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6A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D46A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6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46A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46A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46A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46A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46A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46A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5D5D46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BD46A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D46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D4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D46A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D46A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D46A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D46A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D46A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D46AF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BD46A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BD4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D46A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BD46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BD46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BD46AF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BD46AF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BD46AF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BD4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BD46AF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BD46AF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0219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219F3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219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219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燕燕 李</dc:creator>
  <cp:keywords/>
  <dc:description/>
  <cp:lastModifiedBy>燕燕 李</cp:lastModifiedBy>
  <cp:revision>3</cp:revision>
  <dcterms:created xsi:type="dcterms:W3CDTF">2025-04-26T09:52:00Z</dcterms:created>
  <dcterms:modified xsi:type="dcterms:W3CDTF">2025-04-30T13:36:00Z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f4b6b148-1893-4ae4-bcbb-1d4eedd05752</vt:lpwstr>
  </property>
</Properties>
</file>