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F2FD4" w14:textId="77777777" w:rsidR="00A37DF1" w:rsidRDefault="00A37DF1" w:rsidP="00A37DF1">
      <w:r w:rsidRPr="00A4278E">
        <w:rPr>
          <w:b/>
          <w:color w:val="000000"/>
          <w:sz w:val="32"/>
          <w:szCs w:val="32"/>
        </w:rPr>
        <w:t>Table 2. Overview of included cost-effectiveness assessment reports</w:t>
      </w:r>
    </w:p>
    <w:tbl>
      <w:tblPr>
        <w:tblW w:w="15408" w:type="dxa"/>
        <w:tblInd w:w="-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6"/>
        <w:gridCol w:w="939"/>
        <w:gridCol w:w="2415"/>
        <w:gridCol w:w="850"/>
        <w:gridCol w:w="1134"/>
        <w:gridCol w:w="1559"/>
        <w:gridCol w:w="993"/>
        <w:gridCol w:w="812"/>
        <w:gridCol w:w="729"/>
        <w:gridCol w:w="1113"/>
        <w:gridCol w:w="1134"/>
        <w:gridCol w:w="1134"/>
        <w:gridCol w:w="1560"/>
      </w:tblGrid>
      <w:tr w:rsidR="00A37DF1" w14:paraId="7FD51E3E" w14:textId="77777777" w:rsidTr="006434E9">
        <w:trPr>
          <w:trHeight w:val="20"/>
        </w:trPr>
        <w:tc>
          <w:tcPr>
            <w:tcW w:w="1036" w:type="dxa"/>
            <w:shd w:val="clear" w:color="auto" w:fill="auto"/>
            <w:vAlign w:val="center"/>
          </w:tcPr>
          <w:p w14:paraId="3B7A8905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Substance name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66E756B6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Trade name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53F67269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Sub-group(s)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900E5F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HTA report publication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841F64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Comment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B500BD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Reimbursement status in the Netherlands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EEA4275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 xml:space="preserve">Status orphan Designation </w:t>
            </w:r>
          </w:p>
        </w:tc>
        <w:tc>
          <w:tcPr>
            <w:tcW w:w="812" w:type="dxa"/>
            <w:vAlign w:val="center"/>
          </w:tcPr>
          <w:p w14:paraId="4C043647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Treatment cost per year*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8A32F56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Reference value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075BE584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ICER (QALY), deterministic, discounted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80A250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ICER (QALY), probabilistic, discounted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DFBB18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Cost effectiveness probability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2194E13" w14:textId="77777777" w:rsidR="00A37DF1" w:rsidRDefault="00A37DF1" w:rsidP="006434E9">
            <w:pP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Recommended discount</w:t>
            </w:r>
          </w:p>
        </w:tc>
      </w:tr>
      <w:tr w:rsidR="00A37DF1" w14:paraId="07D03401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2DF62D9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Avacopan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583F66B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Tavneos</w:t>
            </w:r>
          </w:p>
        </w:tc>
        <w:tc>
          <w:tcPr>
            <w:tcW w:w="2415" w:type="dxa"/>
            <w:vMerge w:val="restart"/>
            <w:shd w:val="clear" w:color="auto" w:fill="auto"/>
            <w:vAlign w:val="center"/>
          </w:tcPr>
          <w:p w14:paraId="1355A16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Granulomatosis with polyangiitis and microscopic polyangiitis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71CC09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15-6-2023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15E74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Reassessment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55868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015A6D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Align w:val="center"/>
          </w:tcPr>
          <w:p w14:paraId="69ADF40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€70.080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17852D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100DE95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€365.614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BD075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€351.836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CF8DE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6%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B8426C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80%</w:t>
            </w:r>
          </w:p>
        </w:tc>
      </w:tr>
      <w:tr w:rsidR="00A37DF1" w14:paraId="5BF9831F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5967B512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7A9A61E8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vMerge/>
            <w:shd w:val="clear" w:color="auto" w:fill="auto"/>
            <w:vAlign w:val="center"/>
          </w:tcPr>
          <w:p w14:paraId="0FAAF07A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BD8411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20-4-2022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455E0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000000"/>
            <w:vAlign w:val="center"/>
          </w:tcPr>
          <w:p w14:paraId="5A3604FE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993" w:type="dxa"/>
            <w:shd w:val="clear" w:color="auto" w:fill="000000"/>
            <w:vAlign w:val="center"/>
          </w:tcPr>
          <w:p w14:paraId="656A702B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812" w:type="dxa"/>
            <w:shd w:val="clear" w:color="auto" w:fill="000000"/>
            <w:vAlign w:val="center"/>
          </w:tcPr>
          <w:p w14:paraId="3F5E110A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000000"/>
            <w:vAlign w:val="center"/>
          </w:tcPr>
          <w:p w14:paraId="16C08A4C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1113" w:type="dxa"/>
            <w:shd w:val="clear" w:color="auto" w:fill="000000"/>
            <w:vAlign w:val="center"/>
          </w:tcPr>
          <w:p w14:paraId="73863B08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7F938F4C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5AED5E4E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5F47AE60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N.a.: insufficient methodological quality</w:t>
            </w:r>
          </w:p>
        </w:tc>
      </w:tr>
      <w:tr w:rsidR="00A37DF1" w14:paraId="668A3D06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0E282BD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Atidarsagene autotemcel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36264F9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Libmeldy (3x)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76C90D9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Presymptomatic late-infantile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1A1AD4E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27-9-2022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266C91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BeNeLuxA joint assessment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3D0DB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D42D15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276687A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€287.500**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36E9AE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6538B70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€462.632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BD35D9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06BA4AF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3DAA8C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85%</w:t>
            </w:r>
          </w:p>
        </w:tc>
      </w:tr>
      <w:tr w:rsidR="00A37DF1" w14:paraId="0C02FA2E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605401BE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11D3CBD0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053EB2B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Presymptomatic early juvenile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15B139C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E0C2E8D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46299C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5B18CB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/>
            <w:shd w:val="clear" w:color="auto" w:fill="auto"/>
            <w:vAlign w:val="center"/>
          </w:tcPr>
          <w:p w14:paraId="376FBE71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54E9C20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26C468B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€225.400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7F32CB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2706832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FE33F5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60%</w:t>
            </w:r>
          </w:p>
        </w:tc>
      </w:tr>
      <w:tr w:rsidR="00A37DF1" w14:paraId="04E39EAB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694461F1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7F6E5355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467FDC9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Early symptomatic early juvenile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23E584F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CCEA52B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EA32DA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1A262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/>
            <w:shd w:val="clear" w:color="auto" w:fill="auto"/>
            <w:vAlign w:val="center"/>
          </w:tcPr>
          <w:p w14:paraId="27363D2C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66D591C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2A4591F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€396.882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9FDD6C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2A25313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6FDCCE4F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N.a.: negative advice</w:t>
            </w:r>
          </w:p>
        </w:tc>
      </w:tr>
      <w:tr w:rsidR="00A37DF1" w14:paraId="7351E6A9" w14:textId="77777777" w:rsidTr="006434E9">
        <w:trPr>
          <w:trHeight w:val="20"/>
        </w:trPr>
        <w:tc>
          <w:tcPr>
            <w:tcW w:w="1036" w:type="dxa"/>
            <w:shd w:val="clear" w:color="auto" w:fill="auto"/>
            <w:vAlign w:val="center"/>
          </w:tcPr>
          <w:p w14:paraId="2B4AC43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Pegcetacoplan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6E5721E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Aspaveli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1FBBF77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Paroxysmal Nocturnal Hemoglobinuria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11E07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16-9-2022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DCB9E1" w14:textId="77777777" w:rsidR="00A37DF1" w:rsidRDefault="00A37DF1" w:rsidP="006434E9">
            <w:pPr>
              <w:spacing w:after="0" w:line="240" w:lineRule="auto"/>
              <w:rPr>
                <w:color w:val="FF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7D3AA4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375E5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Align w:val="center"/>
          </w:tcPr>
          <w:p w14:paraId="6D2A606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€316.050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DC14FD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4C20F832" w14:textId="77777777" w:rsidR="00A37DF1" w:rsidRDefault="00A37DF1" w:rsidP="006434E9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€1.668.496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27DE7121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1BA6C619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80A6F0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 xml:space="preserve">85% </w:t>
            </w:r>
            <w:r>
              <w:rPr>
                <w:b/>
                <w:color w:val="000000"/>
                <w:sz w:val="14"/>
                <w:szCs w:val="14"/>
              </w:rPr>
              <w:t>***</w:t>
            </w:r>
          </w:p>
        </w:tc>
      </w:tr>
      <w:tr w:rsidR="00A37DF1" w14:paraId="191B90A3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280AC50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Risdiplam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40364DA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Evrysdi (2x)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7E4ECA6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Spinal muscular atrophy type 1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2FB7A21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15-7-2022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D3248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92C26E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DDD550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Withdrawn</w:t>
            </w:r>
          </w:p>
        </w:tc>
        <w:tc>
          <w:tcPr>
            <w:tcW w:w="812" w:type="dxa"/>
            <w:vMerge w:val="restart"/>
            <w:vAlign w:val="center"/>
          </w:tcPr>
          <w:p w14:paraId="0F145AC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€256..835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AEAEDE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41B511C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€362.300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5A76EF5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FC9528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96F97B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94%</w:t>
            </w:r>
          </w:p>
        </w:tc>
      </w:tr>
      <w:tr w:rsidR="00A37DF1" w14:paraId="5167281D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51887230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7A918562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3BB6FAA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Spinal muscular atrophy type 2/3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75BAFB2F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143397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AFFE8E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Partially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962CD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Withdrawn</w:t>
            </w:r>
          </w:p>
        </w:tc>
        <w:tc>
          <w:tcPr>
            <w:tcW w:w="812" w:type="dxa"/>
            <w:vMerge/>
            <w:vAlign w:val="center"/>
          </w:tcPr>
          <w:p w14:paraId="3A4264C2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2020329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0E422CC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€416.471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BBC277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1C43701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Not provided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22F734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78%</w:t>
            </w:r>
          </w:p>
        </w:tc>
      </w:tr>
      <w:tr w:rsidR="00A37DF1" w14:paraId="3475C640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7D7AC3E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Cannabidiol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69B9D61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Epidyolex (2x)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19584A7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Dravet syndrome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B2C891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4-7-2022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9458D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420814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E0C467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 w:val="restart"/>
            <w:vAlign w:val="center"/>
          </w:tcPr>
          <w:p w14:paraId="07F88D5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€29.935 - €48.992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5520B7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178F4A3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€37.584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1F2CB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€38.740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02872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77%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14:paraId="6E07989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20% ****</w:t>
            </w:r>
          </w:p>
        </w:tc>
      </w:tr>
      <w:tr w:rsidR="00A37DF1" w14:paraId="4F78E893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25436695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25C33A19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4D988E0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Lennox-Gastaut syndrome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708C6353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4CB526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724040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BAF0C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/>
            <w:vAlign w:val="center"/>
          </w:tcPr>
          <w:p w14:paraId="2DB5097F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153A0DE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6F3321D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€70.561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A527C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€71.124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F45AB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59%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14:paraId="7A48A1ED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</w:tr>
      <w:tr w:rsidR="00A37DF1" w14:paraId="70D89697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6C7F236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Tafamidis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647DCB4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Vyndaqel</w:t>
            </w:r>
          </w:p>
        </w:tc>
        <w:tc>
          <w:tcPr>
            <w:tcW w:w="2415" w:type="dxa"/>
            <w:vMerge w:val="restart"/>
            <w:shd w:val="clear" w:color="auto" w:fill="auto"/>
            <w:vAlign w:val="center"/>
          </w:tcPr>
          <w:p w14:paraId="48EC711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Wild type or hereditary transthyretin amyloidosis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BB09F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11-8-2021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7B4D8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Reassessment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5A48B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A3E34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Align w:val="center"/>
          </w:tcPr>
          <w:p w14:paraId="2C52017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€122.552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110002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3DE3FAD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€151.050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1BF0C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€153.847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F13C9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1AD4FB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50%</w:t>
            </w:r>
          </w:p>
        </w:tc>
      </w:tr>
      <w:tr w:rsidR="00A37DF1" w14:paraId="3F5E8F00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40162102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2BFD27C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Vyndaqel</w:t>
            </w:r>
          </w:p>
        </w:tc>
        <w:tc>
          <w:tcPr>
            <w:tcW w:w="2415" w:type="dxa"/>
            <w:vMerge/>
            <w:shd w:val="clear" w:color="auto" w:fill="auto"/>
            <w:vAlign w:val="center"/>
          </w:tcPr>
          <w:p w14:paraId="29EB3C1B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06DB09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3-12-2020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1CC0C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000000"/>
            <w:vAlign w:val="center"/>
          </w:tcPr>
          <w:p w14:paraId="291CCBBE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993" w:type="dxa"/>
            <w:shd w:val="clear" w:color="auto" w:fill="000000"/>
            <w:vAlign w:val="center"/>
          </w:tcPr>
          <w:p w14:paraId="50C10101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812" w:type="dxa"/>
            <w:shd w:val="clear" w:color="auto" w:fill="000000"/>
            <w:vAlign w:val="center"/>
          </w:tcPr>
          <w:p w14:paraId="17505A0F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000000"/>
            <w:vAlign w:val="center"/>
          </w:tcPr>
          <w:p w14:paraId="009BAB00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1113" w:type="dxa"/>
            <w:shd w:val="clear" w:color="auto" w:fill="000000"/>
            <w:vAlign w:val="center"/>
          </w:tcPr>
          <w:p w14:paraId="6EFBBF4B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4AE6851A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088D0832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25802029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N.a.: insufficient methodological quality</w:t>
            </w:r>
          </w:p>
        </w:tc>
      </w:tr>
      <w:tr w:rsidR="00A37DF1" w14:paraId="2FF06FB0" w14:textId="77777777" w:rsidTr="006434E9">
        <w:trPr>
          <w:trHeight w:val="20"/>
        </w:trPr>
        <w:tc>
          <w:tcPr>
            <w:tcW w:w="1036" w:type="dxa"/>
            <w:shd w:val="clear" w:color="auto" w:fill="auto"/>
            <w:vAlign w:val="center"/>
          </w:tcPr>
          <w:p w14:paraId="29A0BF2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Onasemnogene abeparvovec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16D11D7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Zolgensma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6F636AB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Spinal muscular atrophy type 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00DEB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6-5-2021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C16C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BeNeLuxA joint assessment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B2880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19C6D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8EF075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€194.500**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4F8920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6F06198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€263.389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580F840D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6649BF5C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63F280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91%</w:t>
            </w:r>
          </w:p>
        </w:tc>
      </w:tr>
      <w:tr w:rsidR="00A37DF1" w14:paraId="7CD88040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35F97B2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Ivacaftor/</w:t>
            </w:r>
            <w:r>
              <w:rPr>
                <w:color w:val="000000"/>
                <w:sz w:val="14"/>
                <w:szCs w:val="14"/>
              </w:rPr>
              <w:br/>
              <w:t>tezacaftor/</w:t>
            </w:r>
            <w:r>
              <w:rPr>
                <w:color w:val="000000"/>
                <w:sz w:val="14"/>
                <w:szCs w:val="14"/>
              </w:rPr>
              <w:br/>
              <w:t>elexacaftor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3EF6FE5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Kaftrio (2x)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2488CBD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Cystic fibrosis in patients with homozygous delta F508 mutation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2EFFD3D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29-4-2021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6E9A7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928023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Partially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EA136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24F665C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€220.500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BAC432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3A9965F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€210.695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EAA2E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€227.377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786BC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BCAC44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30%</w:t>
            </w:r>
          </w:p>
        </w:tc>
      </w:tr>
      <w:tr w:rsidR="00A37DF1" w14:paraId="2AF69190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18BD1AC0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29B80933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1445AE04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Cystic fibrosis in patients with heterozygous delta F508 mutation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03183AD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9574D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EB032A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Partially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893DC4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/>
            <w:shd w:val="clear" w:color="auto" w:fill="auto"/>
            <w:vAlign w:val="center"/>
          </w:tcPr>
          <w:p w14:paraId="6B765ED7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3721502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140C86F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€283.991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A27E4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€297.800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D4689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ABDB5D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70%</w:t>
            </w:r>
          </w:p>
        </w:tc>
      </w:tr>
      <w:tr w:rsidR="00A37DF1" w14:paraId="7D13EA7D" w14:textId="77777777" w:rsidTr="006434E9">
        <w:trPr>
          <w:trHeight w:val="20"/>
        </w:trPr>
        <w:tc>
          <w:tcPr>
            <w:tcW w:w="1036" w:type="dxa"/>
            <w:shd w:val="clear" w:color="auto" w:fill="auto"/>
            <w:vAlign w:val="center"/>
          </w:tcPr>
          <w:p w14:paraId="503B169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Givosiran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05DE20B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Givlaari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359A6E2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Acute hepatic porphyria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811EF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2-2-2021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8ED90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728CAD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F9A13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DABC84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€552.322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22E1B5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1DDB952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€199.836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F5A3A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€196.170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94172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148488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40%</w:t>
            </w:r>
          </w:p>
        </w:tc>
      </w:tr>
      <w:tr w:rsidR="00A37DF1" w14:paraId="7A11FACF" w14:textId="77777777" w:rsidTr="006434E9">
        <w:trPr>
          <w:trHeight w:val="20"/>
        </w:trPr>
        <w:tc>
          <w:tcPr>
            <w:tcW w:w="1036" w:type="dxa"/>
            <w:shd w:val="clear" w:color="auto" w:fill="auto"/>
            <w:vAlign w:val="center"/>
          </w:tcPr>
          <w:p w14:paraId="0017B02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Voretigene neparvovec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27CC991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Luxturna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6F18C1B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Inherited retinal dystrophy caused by confirmed biallelic RPE65 mutations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CBAAB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17-2-2020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60513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517BF8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1BB27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09AC5A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€69.000**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C9CFDD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€50.000</w:t>
            </w:r>
          </w:p>
        </w:tc>
        <w:tc>
          <w:tcPr>
            <w:tcW w:w="1113" w:type="dxa"/>
            <w:shd w:val="clear" w:color="auto" w:fill="000000"/>
            <w:vAlign w:val="center"/>
          </w:tcPr>
          <w:p w14:paraId="4DC22194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2B8EFEC3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27D04A12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7CB65619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 xml:space="preserve">N.a.: insufficient methodological quality </w:t>
            </w:r>
          </w:p>
        </w:tc>
      </w:tr>
      <w:tr w:rsidR="00A37DF1" w14:paraId="7AD2F2CF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1ECFCF9D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Nusinersen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 w14:paraId="255C699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Spinraza (2x)</w:t>
            </w:r>
          </w:p>
        </w:tc>
        <w:tc>
          <w:tcPr>
            <w:tcW w:w="2415" w:type="dxa"/>
            <w:shd w:val="clear" w:color="auto" w:fill="auto"/>
            <w:vAlign w:val="center"/>
          </w:tcPr>
          <w:p w14:paraId="654C92FC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Spinal muscular atrophy type 1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45AFBD6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7-2-2018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026C9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20DAC7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Conditionally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9DF42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 w:val="restart"/>
            <w:vAlign w:val="center"/>
          </w:tcPr>
          <w:p w14:paraId="33AC390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€249.900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113EE7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24AF7AC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€502.289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053B5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€503.740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C1804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2462BBFF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N.a.: at 100% discount still not cost-effective</w:t>
            </w:r>
          </w:p>
        </w:tc>
      </w:tr>
      <w:tr w:rsidR="00A37DF1" w14:paraId="56945E6B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09B9F2DA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FFFFFF"/>
                <w:sz w:val="14"/>
                <w:szCs w:val="14"/>
              </w:rPr>
            </w:pPr>
          </w:p>
        </w:tc>
        <w:tc>
          <w:tcPr>
            <w:tcW w:w="939" w:type="dxa"/>
            <w:vMerge/>
            <w:shd w:val="clear" w:color="auto" w:fill="auto"/>
            <w:vAlign w:val="center"/>
          </w:tcPr>
          <w:p w14:paraId="3DA64E37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FFFFFF"/>
                <w:sz w:val="14"/>
                <w:szCs w:val="14"/>
              </w:rPr>
            </w:pPr>
          </w:p>
        </w:tc>
        <w:tc>
          <w:tcPr>
            <w:tcW w:w="2415" w:type="dxa"/>
            <w:shd w:val="clear" w:color="auto" w:fill="auto"/>
            <w:vAlign w:val="center"/>
          </w:tcPr>
          <w:p w14:paraId="3013769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Spinal muscular atrophy type 2/3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75B933D4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0635F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2511893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Conditionally 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C28A30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Active</w:t>
            </w:r>
          </w:p>
        </w:tc>
        <w:tc>
          <w:tcPr>
            <w:tcW w:w="812" w:type="dxa"/>
            <w:vMerge/>
            <w:vAlign w:val="center"/>
          </w:tcPr>
          <w:p w14:paraId="0E044042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5421D43B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30D7B46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€1.059.269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2F91A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€1.082.249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F39825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920B38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85%</w:t>
            </w:r>
          </w:p>
        </w:tc>
      </w:tr>
      <w:tr w:rsidR="00A37DF1" w14:paraId="5587D229" w14:textId="77777777" w:rsidTr="006434E9">
        <w:trPr>
          <w:trHeight w:val="20"/>
        </w:trPr>
        <w:tc>
          <w:tcPr>
            <w:tcW w:w="1036" w:type="dxa"/>
            <w:vMerge w:val="restart"/>
            <w:shd w:val="clear" w:color="auto" w:fill="auto"/>
            <w:vAlign w:val="center"/>
          </w:tcPr>
          <w:p w14:paraId="14F70BEF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Lumacaftor / ivacaftor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64919A3A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Orkambi</w:t>
            </w:r>
          </w:p>
        </w:tc>
        <w:tc>
          <w:tcPr>
            <w:tcW w:w="2415" w:type="dxa"/>
            <w:vMerge w:val="restart"/>
            <w:shd w:val="clear" w:color="auto" w:fill="auto"/>
            <w:vAlign w:val="center"/>
          </w:tcPr>
          <w:p w14:paraId="40D68B1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Cystic fibrosis in patients homozygous delta F508 mutation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1A20FE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15-12-2016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147D227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Belgium &amp; Netherlands joint assessment; reassessment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55EA7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Reimbursed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11142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Withdrawn</w:t>
            </w:r>
          </w:p>
        </w:tc>
        <w:tc>
          <w:tcPr>
            <w:tcW w:w="812" w:type="dxa"/>
            <w:vAlign w:val="center"/>
          </w:tcPr>
          <w:p w14:paraId="6C3DE651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€169.386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DB9915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€80.000</w:t>
            </w:r>
          </w:p>
        </w:tc>
        <w:tc>
          <w:tcPr>
            <w:tcW w:w="1113" w:type="dxa"/>
            <w:shd w:val="clear" w:color="auto" w:fill="auto"/>
            <w:vAlign w:val="center"/>
          </w:tcPr>
          <w:p w14:paraId="730956E6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€402.883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579A68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€387.541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CB7480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0%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F4141D9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82%</w:t>
            </w:r>
          </w:p>
        </w:tc>
      </w:tr>
      <w:tr w:rsidR="00A37DF1" w14:paraId="425A71E8" w14:textId="77777777" w:rsidTr="006434E9">
        <w:trPr>
          <w:trHeight w:val="20"/>
        </w:trPr>
        <w:tc>
          <w:tcPr>
            <w:tcW w:w="1036" w:type="dxa"/>
            <w:vMerge/>
            <w:shd w:val="clear" w:color="auto" w:fill="auto"/>
            <w:vAlign w:val="center"/>
          </w:tcPr>
          <w:p w14:paraId="56964ECD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5F59FB7E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Orkambi</w:t>
            </w:r>
          </w:p>
        </w:tc>
        <w:tc>
          <w:tcPr>
            <w:tcW w:w="2415" w:type="dxa"/>
            <w:vMerge/>
            <w:shd w:val="clear" w:color="auto" w:fill="auto"/>
            <w:vAlign w:val="center"/>
          </w:tcPr>
          <w:p w14:paraId="1A11F5A1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E08E7B2" w14:textId="77777777" w:rsidR="00A37DF1" w:rsidRDefault="00A37DF1" w:rsidP="006434E9">
            <w:pPr>
              <w:spacing w:after="0" w:line="240" w:lineRule="auto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13-5-2016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6AD7911" w14:textId="77777777" w:rsidR="00A37DF1" w:rsidRDefault="00A37DF1" w:rsidP="006434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clear" w:color="auto" w:fill="000000"/>
            <w:vAlign w:val="center"/>
          </w:tcPr>
          <w:p w14:paraId="780A8678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993" w:type="dxa"/>
            <w:shd w:val="clear" w:color="auto" w:fill="000000"/>
            <w:vAlign w:val="center"/>
          </w:tcPr>
          <w:p w14:paraId="46D5AF31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812" w:type="dxa"/>
            <w:shd w:val="clear" w:color="auto" w:fill="000000"/>
            <w:vAlign w:val="center"/>
          </w:tcPr>
          <w:p w14:paraId="0EAEBF8C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</w:p>
        </w:tc>
        <w:tc>
          <w:tcPr>
            <w:tcW w:w="729" w:type="dxa"/>
            <w:shd w:val="clear" w:color="auto" w:fill="000000"/>
            <w:vAlign w:val="center"/>
          </w:tcPr>
          <w:p w14:paraId="60F7220B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-</w:t>
            </w:r>
          </w:p>
        </w:tc>
        <w:tc>
          <w:tcPr>
            <w:tcW w:w="1113" w:type="dxa"/>
            <w:shd w:val="clear" w:color="auto" w:fill="000000"/>
            <w:vAlign w:val="center"/>
          </w:tcPr>
          <w:p w14:paraId="03E1E514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0C1DE505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134" w:type="dxa"/>
            <w:shd w:val="clear" w:color="auto" w:fill="000000"/>
            <w:vAlign w:val="center"/>
          </w:tcPr>
          <w:p w14:paraId="71E79F7E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Not meaningful</w:t>
            </w:r>
          </w:p>
        </w:tc>
        <w:tc>
          <w:tcPr>
            <w:tcW w:w="1560" w:type="dxa"/>
            <w:shd w:val="clear" w:color="auto" w:fill="000000"/>
            <w:vAlign w:val="center"/>
          </w:tcPr>
          <w:p w14:paraId="5DDEAB31" w14:textId="77777777" w:rsidR="00A37DF1" w:rsidRDefault="00A37DF1" w:rsidP="006434E9">
            <w:pPr>
              <w:spacing w:after="0" w:line="240" w:lineRule="auto"/>
              <w:rPr>
                <w:color w:val="FFFFFF"/>
                <w:sz w:val="14"/>
                <w:szCs w:val="14"/>
              </w:rPr>
            </w:pPr>
            <w:r>
              <w:rPr>
                <w:color w:val="FFFFFF"/>
                <w:sz w:val="14"/>
                <w:szCs w:val="14"/>
              </w:rPr>
              <w:t>N.a.: insufficient methodological quality</w:t>
            </w:r>
          </w:p>
        </w:tc>
      </w:tr>
    </w:tbl>
    <w:p w14:paraId="22D0BBD5" w14:textId="77777777" w:rsidR="00A37DF1" w:rsidRDefault="00A37DF1" w:rsidP="00A37DF1">
      <w:pPr>
        <w:spacing w:after="0" w:line="240" w:lineRule="auto"/>
        <w:rPr>
          <w:color w:val="000000"/>
          <w:sz w:val="14"/>
          <w:szCs w:val="14"/>
        </w:rPr>
      </w:pPr>
      <w:r>
        <w:rPr>
          <w:color w:val="000000"/>
          <w:sz w:val="14"/>
          <w:szCs w:val="14"/>
        </w:rPr>
        <w:br/>
        <w:t>* Based on list price at date of submission, 100% adherence, maintenance dose</w:t>
      </w:r>
    </w:p>
    <w:p w14:paraId="3CC29918" w14:textId="77777777" w:rsidR="00A37DF1" w:rsidRDefault="00A37DF1" w:rsidP="00A37DF1">
      <w:pPr>
        <w:spacing w:after="0" w:line="240" w:lineRule="auto"/>
        <w:rPr>
          <w:color w:val="000000"/>
          <w:sz w:val="14"/>
          <w:szCs w:val="14"/>
        </w:rPr>
      </w:pPr>
      <w:r>
        <w:rPr>
          <w:color w:val="000000"/>
          <w:sz w:val="14"/>
          <w:szCs w:val="14"/>
        </w:rPr>
        <w:t>** Single administration, one-off cost spread out over 10 years</w:t>
      </w:r>
    </w:p>
    <w:p w14:paraId="107808D6" w14:textId="77777777" w:rsidR="00A37DF1" w:rsidRDefault="00A37DF1" w:rsidP="00A37DF1">
      <w:pPr>
        <w:spacing w:after="0" w:line="240" w:lineRule="auto"/>
        <w:rPr>
          <w:color w:val="000000"/>
          <w:sz w:val="14"/>
          <w:szCs w:val="14"/>
        </w:rPr>
      </w:pPr>
      <w:r>
        <w:rPr>
          <w:color w:val="000000"/>
          <w:sz w:val="14"/>
          <w:szCs w:val="14"/>
        </w:rPr>
        <w:t xml:space="preserve">*** Referenced to comparator </w:t>
      </w:r>
      <w:r>
        <w:rPr>
          <w:color w:val="000000"/>
          <w:sz w:val="14"/>
          <w:szCs w:val="14"/>
          <w:u w:val="single"/>
        </w:rPr>
        <w:t>including</w:t>
      </w:r>
      <w:r>
        <w:rPr>
          <w:color w:val="000000"/>
          <w:sz w:val="14"/>
          <w:szCs w:val="14"/>
        </w:rPr>
        <w:t xml:space="preserve"> comparator discount</w:t>
      </w:r>
    </w:p>
    <w:p w14:paraId="67F7A86C" w14:textId="77777777" w:rsidR="00A37DF1" w:rsidRDefault="00A37DF1" w:rsidP="00A37DF1">
      <w:pPr>
        <w:spacing w:after="0" w:line="240" w:lineRule="auto"/>
      </w:pPr>
      <w:r>
        <w:rPr>
          <w:color w:val="000000"/>
          <w:sz w:val="14"/>
          <w:szCs w:val="14"/>
        </w:rPr>
        <w:t>**** Discount based on alternative CEA scenario due to high uncertainty</w:t>
      </w:r>
    </w:p>
    <w:p w14:paraId="5534D81A" w14:textId="77777777" w:rsidR="0038214D" w:rsidRDefault="0038214D"/>
    <w:sectPr w:rsidR="0038214D" w:rsidSect="00A37DF1">
      <w:headerReference w:type="default" r:id="rId4"/>
      <w:pgSz w:w="16838" w:h="11906" w:orient="landscape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5174B" w14:textId="77777777" w:rsidR="00000000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W w:w="13950" w:type="dxa"/>
      <w:tblLayout w:type="fixed"/>
      <w:tblLook w:val="0600" w:firstRow="0" w:lastRow="0" w:firstColumn="0" w:lastColumn="0" w:noHBand="1" w:noVBand="1"/>
    </w:tblPr>
    <w:tblGrid>
      <w:gridCol w:w="4650"/>
      <w:gridCol w:w="4650"/>
      <w:gridCol w:w="4650"/>
    </w:tblGrid>
    <w:tr w:rsidR="00A4278E" w14:paraId="5B5BB7E9" w14:textId="77777777">
      <w:trPr>
        <w:trHeight w:val="300"/>
      </w:trPr>
      <w:tc>
        <w:tcPr>
          <w:tcW w:w="4650" w:type="dxa"/>
        </w:tcPr>
        <w:p w14:paraId="155B6CD8" w14:textId="77777777" w:rsidR="0000000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/>
            <w:ind w:left="-115"/>
            <w:rPr>
              <w:color w:val="000000"/>
            </w:rPr>
          </w:pPr>
        </w:p>
      </w:tc>
      <w:tc>
        <w:tcPr>
          <w:tcW w:w="4650" w:type="dxa"/>
        </w:tcPr>
        <w:p w14:paraId="6F6B50B7" w14:textId="77777777" w:rsidR="0000000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/>
            <w:jc w:val="center"/>
            <w:rPr>
              <w:color w:val="000000"/>
            </w:rPr>
          </w:pPr>
        </w:p>
      </w:tc>
      <w:tc>
        <w:tcPr>
          <w:tcW w:w="4650" w:type="dxa"/>
        </w:tcPr>
        <w:p w14:paraId="030469CE" w14:textId="77777777" w:rsidR="0000000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/>
            <w:ind w:right="-115"/>
            <w:jc w:val="right"/>
            <w:rPr>
              <w:color w:val="000000"/>
            </w:rPr>
          </w:pPr>
        </w:p>
      </w:tc>
    </w:tr>
  </w:tbl>
  <w:p w14:paraId="68AB48B3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DF1"/>
    <w:rsid w:val="00235F39"/>
    <w:rsid w:val="0038214D"/>
    <w:rsid w:val="00530909"/>
    <w:rsid w:val="009A078A"/>
    <w:rsid w:val="00A37DF1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E6A73"/>
  <w15:chartTrackingRefBased/>
  <w15:docId w15:val="{5E023235-A046-4E0A-8E69-8929AE358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DF1"/>
    <w:pPr>
      <w:spacing w:after="200" w:line="360" w:lineRule="auto"/>
    </w:pPr>
    <w:rPr>
      <w:rFonts w:ascii="Calibri" w:eastAsia="Calibri" w:hAnsi="Calibri" w:cs="Calibri"/>
      <w:kern w:val="0"/>
      <w:sz w:val="22"/>
      <w:szCs w:val="22"/>
      <w:lang w:val="en-GB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D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D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D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D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D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DF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DF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DF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DF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D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D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D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D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D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D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D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7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D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7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D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7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D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7D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D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D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554</Words>
  <Characters>3158</Characters>
  <Application>Microsoft Office Word</Application>
  <DocSecurity>0</DocSecurity>
  <Lines>26</Lines>
  <Paragraphs>7</Paragraphs>
  <ScaleCrop>false</ScaleCrop>
  <Company>Springer Nature</Company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2025-05-19T10:44:00Z</dcterms:created>
  <dcterms:modified xsi:type="dcterms:W3CDTF">2025-05-19T10:45:00Z</dcterms:modified>
</cp:coreProperties>
</file>