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21BEC2" w14:textId="77777777" w:rsidR="008C6D1B" w:rsidRPr="00952F47" w:rsidRDefault="008C6D1B" w:rsidP="008C6D1B">
      <w:pPr>
        <w:spacing w:before="120" w:after="120" w:line="480" w:lineRule="auto"/>
        <w:jc w:val="both"/>
        <w:rPr>
          <w:rFonts w:ascii="Times New Roman" w:eastAsia="Times New Roman" w:hAnsi="Times New Roman" w:cs="Times New Roman"/>
          <w:b/>
          <w:sz w:val="28"/>
          <w:szCs w:val="28"/>
        </w:rPr>
      </w:pPr>
      <w:r w:rsidRPr="00952F47">
        <w:rPr>
          <w:rFonts w:ascii="Times New Roman" w:eastAsia="Times New Roman" w:hAnsi="Times New Roman" w:cs="Times New Roman"/>
          <w:b/>
          <w:sz w:val="28"/>
          <w:szCs w:val="28"/>
        </w:rPr>
        <w:t>8. APPENDIX</w:t>
      </w:r>
    </w:p>
    <w:p w14:paraId="0AA00B45" w14:textId="77777777" w:rsidR="008C6D1B" w:rsidRPr="00952F47" w:rsidRDefault="008C6D1B" w:rsidP="008C6D1B">
      <w:pPr>
        <w:spacing w:before="120" w:after="120" w:line="480" w:lineRule="auto"/>
        <w:jc w:val="both"/>
        <w:rPr>
          <w:rFonts w:ascii="Times New Roman" w:eastAsia="Times New Roman" w:hAnsi="Times New Roman" w:cs="Times New Roman"/>
          <w:b/>
          <w:sz w:val="28"/>
          <w:szCs w:val="28"/>
        </w:rPr>
      </w:pPr>
      <w:r w:rsidRPr="00952F47">
        <w:rPr>
          <w:rFonts w:ascii="Times New Roman" w:eastAsia="Times New Roman" w:hAnsi="Times New Roman" w:cs="Times New Roman"/>
          <w:b/>
          <w:sz w:val="28"/>
          <w:szCs w:val="28"/>
        </w:rPr>
        <w:t>8.1 Spatial correlation analysis using pressure and wall shear stress</w:t>
      </w:r>
    </w:p>
    <w:p w14:paraId="38DD1408" w14:textId="77777777" w:rsidR="008C6D1B" w:rsidRPr="00952F47" w:rsidRDefault="008C6D1B" w:rsidP="008C6D1B">
      <w:pPr>
        <w:spacing w:before="120" w:after="120" w:line="480" w:lineRule="auto"/>
        <w:ind w:firstLine="720"/>
        <w:jc w:val="both"/>
        <w:rPr>
          <w:rFonts w:ascii="Times New Roman" w:hAnsi="Times New Roman" w:cs="Times New Roman"/>
          <w:sz w:val="24"/>
          <w:szCs w:val="24"/>
        </w:rPr>
      </w:pPr>
      <w:r w:rsidRPr="00952F47">
        <w:rPr>
          <w:rFonts w:ascii="Times New Roman" w:hAnsi="Times New Roman" w:cs="Times New Roman"/>
          <w:sz w:val="24"/>
          <w:szCs w:val="24"/>
        </w:rPr>
        <w:t xml:space="preserve">Pressure distributions computed from the initial baseline CTA were compared to aortic growth rate heatmaps in Figure A1. It is difficult to observe any clear association between pressure and growth rate. A similar comparison between wall shear stress and aortic growth rate heatmaps is shown in Figure A2. </w:t>
      </w:r>
      <w:bookmarkStart w:id="0" w:name="_Hlk194763662"/>
      <w:r w:rsidRPr="00952F47">
        <w:rPr>
          <w:rFonts w:ascii="Times New Roman" w:hAnsi="Times New Roman" w:cs="Times New Roman"/>
          <w:sz w:val="24"/>
          <w:szCs w:val="24"/>
        </w:rPr>
        <w:t>While wall shear stress was elevated near regions of high velocity and narrow cross-sections, such as around the primary intimal tear, wall shear stress remained low throughout much of the false lumen, where aortic expansion typically occurs.</w:t>
      </w:r>
      <w:bookmarkEnd w:id="0"/>
    </w:p>
    <w:p w14:paraId="14565911" w14:textId="77777777" w:rsidR="008C6D1B" w:rsidRPr="00952F47" w:rsidRDefault="008C6D1B" w:rsidP="008C6D1B">
      <w:pPr>
        <w:spacing w:before="120" w:after="120" w:line="480" w:lineRule="auto"/>
        <w:jc w:val="both"/>
        <w:rPr>
          <w:rFonts w:ascii="Times New Roman" w:eastAsia="Times New Roman" w:hAnsi="Times New Roman" w:cs="Times New Roman"/>
          <w:b/>
          <w:sz w:val="28"/>
          <w:szCs w:val="28"/>
        </w:rPr>
      </w:pPr>
      <w:r w:rsidRPr="00952F47">
        <w:rPr>
          <w:noProof/>
        </w:rPr>
        <w:drawing>
          <wp:inline distT="0" distB="0" distL="0" distR="0" wp14:anchorId="4813CAB0" wp14:editId="3A5397A8">
            <wp:extent cx="5943600" cy="4397375"/>
            <wp:effectExtent l="0" t="0" r="0" b="3175"/>
            <wp:docPr id="68866522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4397375"/>
                    </a:xfrm>
                    <a:prstGeom prst="rect">
                      <a:avLst/>
                    </a:prstGeom>
                    <a:noFill/>
                    <a:ln>
                      <a:noFill/>
                    </a:ln>
                  </pic:spPr>
                </pic:pic>
              </a:graphicData>
            </a:graphic>
          </wp:inline>
        </w:drawing>
      </w:r>
    </w:p>
    <w:p w14:paraId="4FA392B4" w14:textId="77777777" w:rsidR="008C6D1B" w:rsidRPr="00952F47" w:rsidRDefault="008C6D1B" w:rsidP="008C6D1B">
      <w:pPr>
        <w:spacing w:before="120" w:after="120" w:line="480" w:lineRule="auto"/>
        <w:rPr>
          <w:rFonts w:ascii="Times New Roman" w:hAnsi="Times New Roman" w:cs="Times New Roman"/>
          <w:b/>
          <w:sz w:val="24"/>
          <w:szCs w:val="24"/>
        </w:rPr>
      </w:pPr>
      <w:r w:rsidRPr="00952F47">
        <w:rPr>
          <w:rFonts w:ascii="Times New Roman" w:hAnsi="Times New Roman" w:cs="Times New Roman"/>
          <w:b/>
          <w:sz w:val="24"/>
          <w:szCs w:val="24"/>
        </w:rPr>
        <w:lastRenderedPageBreak/>
        <w:t>[Figure A1.  Pressure distributions and heatmaps of aortic growth rate of the TBAD patients. (a) ~ (i): P1 to P9.]</w:t>
      </w:r>
    </w:p>
    <w:p w14:paraId="513FDFB4" w14:textId="77777777" w:rsidR="008C6D1B" w:rsidRPr="00952F47" w:rsidRDefault="008C6D1B" w:rsidP="008C6D1B">
      <w:pPr>
        <w:spacing w:before="120" w:after="120" w:line="480" w:lineRule="auto"/>
        <w:jc w:val="both"/>
        <w:rPr>
          <w:rFonts w:ascii="Times New Roman" w:eastAsia="Times New Roman" w:hAnsi="Times New Roman" w:cs="Times New Roman"/>
          <w:b/>
          <w:sz w:val="28"/>
          <w:szCs w:val="28"/>
        </w:rPr>
      </w:pPr>
    </w:p>
    <w:p w14:paraId="1A75CDD7" w14:textId="77777777" w:rsidR="008C6D1B" w:rsidRPr="00952F47" w:rsidRDefault="008C6D1B" w:rsidP="008C6D1B">
      <w:pPr>
        <w:spacing w:before="120" w:after="120" w:line="480" w:lineRule="auto"/>
        <w:jc w:val="both"/>
        <w:rPr>
          <w:rFonts w:ascii="Times New Roman" w:eastAsia="Times New Roman" w:hAnsi="Times New Roman" w:cs="Times New Roman"/>
          <w:b/>
          <w:sz w:val="28"/>
          <w:szCs w:val="28"/>
        </w:rPr>
      </w:pPr>
      <w:r w:rsidRPr="00952F47">
        <w:rPr>
          <w:noProof/>
        </w:rPr>
        <w:drawing>
          <wp:inline distT="0" distB="0" distL="0" distR="0" wp14:anchorId="33EDDA14" wp14:editId="46D40722">
            <wp:extent cx="5943600" cy="4443095"/>
            <wp:effectExtent l="0" t="0" r="0" b="0"/>
            <wp:docPr id="13888816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4443095"/>
                    </a:xfrm>
                    <a:prstGeom prst="rect">
                      <a:avLst/>
                    </a:prstGeom>
                    <a:noFill/>
                    <a:ln>
                      <a:noFill/>
                    </a:ln>
                  </pic:spPr>
                </pic:pic>
              </a:graphicData>
            </a:graphic>
          </wp:inline>
        </w:drawing>
      </w:r>
    </w:p>
    <w:p w14:paraId="34667597" w14:textId="77777777" w:rsidR="008C6D1B" w:rsidRPr="00952F47" w:rsidRDefault="008C6D1B" w:rsidP="008C6D1B">
      <w:pPr>
        <w:spacing w:before="120" w:after="120" w:line="480" w:lineRule="auto"/>
        <w:rPr>
          <w:rFonts w:ascii="Times New Roman" w:hAnsi="Times New Roman" w:cs="Times New Roman"/>
          <w:b/>
          <w:sz w:val="24"/>
          <w:szCs w:val="24"/>
        </w:rPr>
      </w:pPr>
      <w:r w:rsidRPr="00952F47">
        <w:rPr>
          <w:rFonts w:ascii="Times New Roman" w:hAnsi="Times New Roman" w:cs="Times New Roman"/>
          <w:b/>
          <w:sz w:val="24"/>
          <w:szCs w:val="24"/>
        </w:rPr>
        <w:t>[Figure A2.  Wall shear stress distributions and heatmaps of aortic growth rate of the TBAD patients. (a) ~ (i): P1 to P9.]</w:t>
      </w:r>
    </w:p>
    <w:p w14:paraId="59B9FC71" w14:textId="77777777" w:rsidR="008C6D1B" w:rsidRPr="00952F47" w:rsidRDefault="008C6D1B" w:rsidP="008C6D1B">
      <w:pPr>
        <w:spacing w:before="120" w:after="120" w:line="480" w:lineRule="auto"/>
        <w:ind w:firstLine="720"/>
        <w:jc w:val="both"/>
        <w:rPr>
          <w:rFonts w:ascii="Times New Roman" w:eastAsia="Times New Roman" w:hAnsi="Times New Roman" w:cs="Times New Roman"/>
          <w:b/>
          <w:sz w:val="28"/>
          <w:szCs w:val="28"/>
        </w:rPr>
      </w:pPr>
      <w:r w:rsidRPr="00952F47">
        <w:rPr>
          <w:rFonts w:ascii="Times New Roman" w:hAnsi="Times New Roman" w:cs="Times New Roman"/>
          <w:sz w:val="24"/>
          <w:szCs w:val="24"/>
        </w:rPr>
        <w:t xml:space="preserve">Figure A3 summarizes the individual correlations between pressure distributions and growth rate heatmaps for the 9 patients. Although the Pearson correlation coefficients were statistically significant in 7 out of 9 patients, the slopes varied considerably across individuals. The standard deviation of the random-effect slopes </w:t>
      </w:r>
      <m:oMath>
        <m:sSub>
          <m:sSubPr>
            <m:ctrlPr>
              <w:rPr>
                <w:rFonts w:ascii="Cambria Math" w:hAnsi="Cambria Math" w:cs="Times New Roman"/>
                <w:i/>
                <w:iCs/>
                <w:sz w:val="24"/>
                <w:szCs w:val="24"/>
              </w:rPr>
            </m:ctrlPr>
          </m:sSubPr>
          <m:e>
            <m:r>
              <w:rPr>
                <w:rFonts w:ascii="Cambria Math" w:hAnsi="Cambria Math" w:cs="Times New Roman"/>
                <w:sz w:val="24"/>
                <w:szCs w:val="24"/>
              </w:rPr>
              <m:t>b</m:t>
            </m:r>
          </m:e>
          <m:sub>
            <m:r>
              <w:rPr>
                <w:rFonts w:ascii="Cambria Math" w:hAnsi="Cambria Math" w:cs="Times New Roman"/>
                <w:sz w:val="24"/>
                <w:szCs w:val="24"/>
              </w:rPr>
              <m:t>1m</m:t>
            </m:r>
          </m:sub>
        </m:sSub>
      </m:oMath>
      <w:r w:rsidRPr="00952F47">
        <w:rPr>
          <w:rFonts w:ascii="Times New Roman" w:hAnsi="Times New Roman" w:cs="Times New Roman"/>
          <w:iCs/>
          <w:sz w:val="24"/>
          <w:szCs w:val="24"/>
        </w:rPr>
        <w:t xml:space="preserve"> </w:t>
      </w:r>
      <w:r w:rsidRPr="00952F47">
        <w:rPr>
          <w:rFonts w:ascii="Times New Roman" w:hAnsi="Times New Roman" w:cs="Times New Roman"/>
          <w:sz w:val="24"/>
          <w:szCs w:val="24"/>
        </w:rPr>
        <w:t>was estimated at 15.85</w:t>
      </w:r>
      <w:r w:rsidRPr="00952F47">
        <w:rPr>
          <w:rFonts w:ascii="Times New Roman" w:hAnsi="Times New Roman" w:cs="Times New Roman"/>
          <w:iCs/>
          <w:sz w:val="24"/>
          <w:szCs w:val="24"/>
        </w:rPr>
        <w:t xml:space="preserve">%/(year·kPa) </w:t>
      </w:r>
      <w:r w:rsidRPr="00952F47">
        <w:rPr>
          <w:rFonts w:ascii="Times New Roman" w:hAnsi="Times New Roman" w:cs="Times New Roman"/>
          <w:sz w:val="24"/>
          <w:szCs w:val="24"/>
        </w:rPr>
        <w:t xml:space="preserve">with a </w:t>
      </w:r>
      <w:r w:rsidRPr="00952F47">
        <w:rPr>
          <w:rFonts w:ascii="Times New Roman" w:hAnsi="Times New Roman" w:cs="Times New Roman"/>
          <w:sz w:val="24"/>
          <w:szCs w:val="24"/>
        </w:rPr>
        <w:lastRenderedPageBreak/>
        <w:t>95% CI of [9.66, 26.00]</w:t>
      </w:r>
      <w:r w:rsidRPr="00952F47">
        <w:rPr>
          <w:rFonts w:ascii="Times New Roman" w:hAnsi="Times New Roman" w:cs="Times New Roman"/>
          <w:iCs/>
          <w:sz w:val="24"/>
          <w:szCs w:val="24"/>
        </w:rPr>
        <w:t>%/(year·kPa), indicating substantial inter-patient variability. This high variability contributed to the wide CI and the non-significant p-value for the fixed-effect association.</w:t>
      </w:r>
    </w:p>
    <w:p w14:paraId="4F166C0B" w14:textId="77777777" w:rsidR="008C6D1B" w:rsidRPr="00952F47" w:rsidRDefault="008C6D1B" w:rsidP="008C6D1B">
      <w:pPr>
        <w:spacing w:before="120" w:after="120" w:line="480" w:lineRule="auto"/>
        <w:rPr>
          <w:rFonts w:ascii="Times New Roman" w:hAnsi="Times New Roman" w:cs="Times New Roman"/>
          <w:b/>
          <w:sz w:val="24"/>
          <w:szCs w:val="24"/>
        </w:rPr>
      </w:pPr>
    </w:p>
    <w:p w14:paraId="2A3BB88A" w14:textId="77777777" w:rsidR="008C6D1B" w:rsidRPr="00952F47" w:rsidRDefault="008C6D1B" w:rsidP="008C6D1B">
      <w:pPr>
        <w:spacing w:before="120" w:after="120" w:line="480" w:lineRule="auto"/>
        <w:jc w:val="both"/>
        <w:rPr>
          <w:rFonts w:ascii="Times New Roman" w:eastAsia="Times New Roman" w:hAnsi="Times New Roman" w:cs="Times New Roman"/>
          <w:b/>
          <w:sz w:val="28"/>
          <w:szCs w:val="28"/>
        </w:rPr>
      </w:pPr>
      <w:r w:rsidRPr="00952F47">
        <w:rPr>
          <w:noProof/>
        </w:rPr>
        <w:drawing>
          <wp:inline distT="0" distB="0" distL="0" distR="0" wp14:anchorId="4F228356" wp14:editId="7A1547DD">
            <wp:extent cx="5943600" cy="4531995"/>
            <wp:effectExtent l="0" t="0" r="0" b="1905"/>
            <wp:docPr id="198475832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531995"/>
                    </a:xfrm>
                    <a:prstGeom prst="rect">
                      <a:avLst/>
                    </a:prstGeom>
                    <a:noFill/>
                    <a:ln>
                      <a:noFill/>
                    </a:ln>
                  </pic:spPr>
                </pic:pic>
              </a:graphicData>
            </a:graphic>
          </wp:inline>
        </w:drawing>
      </w:r>
    </w:p>
    <w:p w14:paraId="5023581B" w14:textId="77777777" w:rsidR="008C6D1B" w:rsidRPr="00952F47" w:rsidRDefault="008C6D1B" w:rsidP="008C6D1B">
      <w:pPr>
        <w:spacing w:before="120" w:after="120" w:line="480" w:lineRule="auto"/>
        <w:rPr>
          <w:rFonts w:ascii="Times New Roman" w:hAnsi="Times New Roman" w:cs="Times New Roman"/>
          <w:b/>
          <w:sz w:val="24"/>
          <w:szCs w:val="24"/>
        </w:rPr>
      </w:pPr>
      <w:r w:rsidRPr="00952F47">
        <w:rPr>
          <w:rFonts w:ascii="Times New Roman" w:hAnsi="Times New Roman" w:cs="Times New Roman"/>
          <w:b/>
          <w:sz w:val="24"/>
          <w:szCs w:val="24"/>
        </w:rPr>
        <w:t>[Figure A3.  Pressure distribution and aortic growth rate of individual patients. (a) ~ (i): P1 to P9. Data points are color-coded by spatial location from proximal to distal aorta. The regression lines were obtained by using both fixed- and random- effects in the linear mixed-effects model.</w:t>
      </w:r>
      <w:r w:rsidRPr="00952F47">
        <w:rPr>
          <w:rFonts w:ascii="Times New Roman" w:hAnsi="Times New Roman" w:cs="Times New Roman"/>
          <w:sz w:val="24"/>
          <w:szCs w:val="24"/>
        </w:rPr>
        <w:t xml:space="preserve"> </w:t>
      </w:r>
      <w:r w:rsidRPr="00952F47">
        <w:rPr>
          <w:rFonts w:ascii="Times New Roman" w:hAnsi="Times New Roman" w:cs="Times New Roman"/>
          <w:b/>
          <w:sz w:val="24"/>
          <w:szCs w:val="24"/>
        </w:rPr>
        <w:t>CI: confidence interval; R, p: Pearson correlation coefficient and p-value.]</w:t>
      </w:r>
    </w:p>
    <w:p w14:paraId="76F7D2B4" w14:textId="77777777" w:rsidR="008C6D1B" w:rsidRPr="00952F47" w:rsidRDefault="008C6D1B" w:rsidP="008C6D1B">
      <w:pPr>
        <w:spacing w:before="120" w:after="120" w:line="480" w:lineRule="auto"/>
        <w:ind w:firstLine="720"/>
        <w:jc w:val="both"/>
        <w:rPr>
          <w:rFonts w:ascii="Times New Roman" w:hAnsi="Times New Roman" w:cs="Times New Roman"/>
          <w:sz w:val="24"/>
          <w:szCs w:val="24"/>
        </w:rPr>
      </w:pPr>
      <w:r w:rsidRPr="00952F47">
        <w:rPr>
          <w:rFonts w:ascii="Times New Roman" w:hAnsi="Times New Roman" w:cs="Times New Roman"/>
          <w:sz w:val="24"/>
          <w:szCs w:val="24"/>
        </w:rPr>
        <w:lastRenderedPageBreak/>
        <w:t xml:space="preserve">Figure A4 shows the individual correlations between wall shear stress distributions and growth rate heatmaps for the 9 patients. The Pearson correlation coefficients were statistically significant in only 2 of the 9 cases. The standard deviation of the random-effect slopes </w:t>
      </w:r>
      <m:oMath>
        <m:sSub>
          <m:sSubPr>
            <m:ctrlPr>
              <w:rPr>
                <w:rFonts w:ascii="Cambria Math" w:hAnsi="Cambria Math" w:cs="Times New Roman"/>
                <w:i/>
                <w:iCs/>
                <w:sz w:val="24"/>
                <w:szCs w:val="24"/>
              </w:rPr>
            </m:ctrlPr>
          </m:sSubPr>
          <m:e>
            <m:r>
              <w:rPr>
                <w:rFonts w:ascii="Cambria Math" w:hAnsi="Cambria Math" w:cs="Times New Roman"/>
                <w:sz w:val="24"/>
                <w:szCs w:val="24"/>
              </w:rPr>
              <m:t>b</m:t>
            </m:r>
          </m:e>
          <m:sub>
            <m:r>
              <w:rPr>
                <w:rFonts w:ascii="Cambria Math" w:hAnsi="Cambria Math" w:cs="Times New Roman"/>
                <w:sz w:val="24"/>
                <w:szCs w:val="24"/>
              </w:rPr>
              <m:t>1m</m:t>
            </m:r>
          </m:sub>
        </m:sSub>
      </m:oMath>
      <w:r w:rsidRPr="00952F47">
        <w:rPr>
          <w:rFonts w:ascii="Times New Roman" w:hAnsi="Times New Roman" w:cs="Times New Roman"/>
          <w:iCs/>
          <w:sz w:val="24"/>
          <w:szCs w:val="24"/>
        </w:rPr>
        <w:t xml:space="preserve"> </w:t>
      </w:r>
      <w:r w:rsidRPr="00952F47">
        <w:rPr>
          <w:rFonts w:ascii="Times New Roman" w:hAnsi="Times New Roman" w:cs="Times New Roman"/>
          <w:sz w:val="24"/>
          <w:szCs w:val="24"/>
        </w:rPr>
        <w:t xml:space="preserve">could not be estimated using MATLAB’s ‘fminunc’ optimization algorithm, suggesting that the variation in slopes across patients was negligible. This implies that the wall shear stress–growth rate relationship may be adequately modeled using a common near-zero, negative slope. These findings suggest that the role of wall shear stress in TBAD-related aortic expansion requires further investigation. </w:t>
      </w:r>
      <w:r w:rsidRPr="00952F47">
        <w:rPr>
          <w:noProof/>
        </w:rPr>
        <w:drawing>
          <wp:inline distT="0" distB="0" distL="0" distR="0" wp14:anchorId="1D72F062" wp14:editId="5D7CA642">
            <wp:extent cx="5943600" cy="4544060"/>
            <wp:effectExtent l="0" t="0" r="0" b="8890"/>
            <wp:docPr id="101418845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544060"/>
                    </a:xfrm>
                    <a:prstGeom prst="rect">
                      <a:avLst/>
                    </a:prstGeom>
                    <a:noFill/>
                    <a:ln>
                      <a:noFill/>
                    </a:ln>
                  </pic:spPr>
                </pic:pic>
              </a:graphicData>
            </a:graphic>
          </wp:inline>
        </w:drawing>
      </w:r>
    </w:p>
    <w:p w14:paraId="1C5B4DDC" w14:textId="77777777" w:rsidR="008C6D1B" w:rsidRPr="00952F47" w:rsidRDefault="008C6D1B" w:rsidP="008C6D1B">
      <w:pPr>
        <w:spacing w:before="120" w:after="120" w:line="480" w:lineRule="auto"/>
        <w:rPr>
          <w:rFonts w:ascii="Times New Roman" w:hAnsi="Times New Roman" w:cs="Times New Roman"/>
          <w:b/>
          <w:sz w:val="24"/>
          <w:szCs w:val="24"/>
        </w:rPr>
      </w:pPr>
      <w:r w:rsidRPr="00952F47">
        <w:rPr>
          <w:rFonts w:ascii="Times New Roman" w:hAnsi="Times New Roman" w:cs="Times New Roman"/>
          <w:b/>
          <w:sz w:val="24"/>
          <w:szCs w:val="24"/>
        </w:rPr>
        <w:t xml:space="preserve">[Figure A4.  Wall shear stress distribution and aortic growth rate of individual patients. (a) ~ (i): P1 to P9. Data points are color-coded by spatial location from proximal to distal </w:t>
      </w:r>
      <w:r w:rsidRPr="00952F47">
        <w:rPr>
          <w:rFonts w:ascii="Times New Roman" w:hAnsi="Times New Roman" w:cs="Times New Roman"/>
          <w:b/>
          <w:sz w:val="24"/>
          <w:szCs w:val="24"/>
        </w:rPr>
        <w:lastRenderedPageBreak/>
        <w:t>aorta. The regression lines were obtained by using both fixed- and random- effects in the linear mixed-effects model.</w:t>
      </w:r>
      <w:r w:rsidRPr="00952F47">
        <w:rPr>
          <w:rFonts w:ascii="Times New Roman" w:hAnsi="Times New Roman" w:cs="Times New Roman"/>
          <w:sz w:val="24"/>
          <w:szCs w:val="24"/>
        </w:rPr>
        <w:t xml:space="preserve"> </w:t>
      </w:r>
      <w:r w:rsidRPr="00952F47">
        <w:rPr>
          <w:rFonts w:ascii="Times New Roman" w:hAnsi="Times New Roman" w:cs="Times New Roman"/>
          <w:b/>
          <w:sz w:val="24"/>
          <w:szCs w:val="24"/>
        </w:rPr>
        <w:t>CI: confidence interval; R, p: Pearson correlation coefficient and p-value.]</w:t>
      </w:r>
    </w:p>
    <w:p w14:paraId="75C6BE2C" w14:textId="77777777" w:rsidR="008C6D1B" w:rsidRPr="00952F47" w:rsidRDefault="008C6D1B" w:rsidP="008C6D1B">
      <w:pPr>
        <w:spacing w:before="120" w:after="120" w:line="480" w:lineRule="auto"/>
        <w:jc w:val="both"/>
        <w:rPr>
          <w:rFonts w:ascii="Times New Roman" w:eastAsia="Times New Roman" w:hAnsi="Times New Roman" w:cs="Times New Roman"/>
          <w:b/>
          <w:sz w:val="28"/>
          <w:szCs w:val="28"/>
        </w:rPr>
      </w:pPr>
      <w:r w:rsidRPr="00952F47">
        <w:rPr>
          <w:rFonts w:ascii="Times New Roman" w:eastAsia="Times New Roman" w:hAnsi="Times New Roman" w:cs="Times New Roman"/>
          <w:b/>
          <w:sz w:val="28"/>
          <w:szCs w:val="28"/>
        </w:rPr>
        <w:t>8.2 Validation of the forward penalty stress computation method using a fully-coupled FSI model</w:t>
      </w:r>
    </w:p>
    <w:p w14:paraId="647A823D" w14:textId="77777777" w:rsidR="008C6D1B" w:rsidRPr="00952F47" w:rsidRDefault="008C6D1B" w:rsidP="008C6D1B">
      <w:pPr>
        <w:spacing w:before="120" w:after="120" w:line="480" w:lineRule="auto"/>
        <w:ind w:firstLine="720"/>
        <w:jc w:val="both"/>
        <w:rPr>
          <w:rFonts w:ascii="Times New Roman" w:eastAsia="Times New Roman" w:hAnsi="Times New Roman" w:cs="Times New Roman"/>
          <w:b/>
          <w:sz w:val="28"/>
          <w:szCs w:val="28"/>
        </w:rPr>
      </w:pPr>
      <w:r w:rsidRPr="00952F47">
        <w:rPr>
          <w:rFonts w:ascii="Times New Roman" w:eastAsia="Times New Roman" w:hAnsi="Times New Roman" w:cs="Times New Roman"/>
          <w:bCs/>
          <w:sz w:val="24"/>
          <w:szCs w:val="24"/>
        </w:rPr>
        <w:t xml:space="preserve">To validate stress computation using the forward penalty method, we conducted fully coupled FSI simulations that accounted for nonlinear material properties and blood pressure-induced pre-stress. A patient-specific CT-derived geometry was used, and the corresponding zero-pressure geometry was obtained via the generalized pre-stressing algorithm </w:t>
      </w:r>
      <w:r w:rsidRPr="00952F47">
        <w:rPr>
          <w:rFonts w:ascii="Times New Roman" w:eastAsia="Times New Roman" w:hAnsi="Times New Roman" w:cs="Times New Roman"/>
          <w:bCs/>
          <w:sz w:val="24"/>
          <w:szCs w:val="24"/>
        </w:rPr>
        <w:fldChar w:fldCharType="begin"/>
      </w:r>
      <w:r w:rsidRPr="00952F47">
        <w:rPr>
          <w:rFonts w:ascii="Times New Roman" w:eastAsia="Times New Roman" w:hAnsi="Times New Roman" w:cs="Times New Roman"/>
          <w:bCs/>
          <w:sz w:val="24"/>
          <w:szCs w:val="24"/>
        </w:rPr>
        <w:instrText xml:space="preserve"> ADDIN EN.CITE &lt;EndNote&gt;&lt;Cite&gt;&lt;Author&gt;Weisbecker&lt;/Author&gt;&lt;Year&gt;2014&lt;/Year&gt;&lt;RecNum&gt;46&lt;/RecNum&gt;&lt;DisplayText&gt;[70]&lt;/DisplayText&gt;&lt;record&gt;&lt;rec-number&gt;46&lt;/rec-number&gt;&lt;foreign-keys&gt;&lt;key app="EN" db-id="r5sr00pwwzxzvdeptesvpaafapftp9dfevwd" timestamp="1715659957"&gt;46&lt;/key&gt;&lt;/foreign-keys&gt;&lt;ref-type name="Journal Article"&gt;17&lt;/ref-type&gt;&lt;contributors&gt;&lt;authors&gt;&lt;author&gt;Weisbecker, Hannah&lt;/author&gt;&lt;author&gt;Pierce, David M.&lt;/author&gt;&lt;author&gt;Holzapfel, Gerhard A.&lt;/author&gt;&lt;/authors&gt;&lt;/contributors&gt;&lt;titles&gt;&lt;title&gt;A generalized prestressing algorithm for finite element simulations of preloaded geometries with application to the aorta&lt;/title&gt;&lt;secondary-title&gt;International Journal for Numerical Methods in Biomedical Engineering&lt;/secondary-title&gt;&lt;/titles&gt;&lt;periodical&gt;&lt;full-title&gt;International Journal for Numerical Methods in Biomedical Engineering&lt;/full-title&gt;&lt;/periodical&gt;&lt;pages&gt;857-872&lt;/pages&gt;&lt;volume&gt;30&lt;/volume&gt;&lt;number&gt;9&lt;/number&gt;&lt;dates&gt;&lt;year&gt;2014&lt;/year&gt;&lt;/dates&gt;&lt;isbn&gt;2040-7939&lt;/isbn&gt;&lt;urls&gt;&lt;related-urls&gt;&lt;url&gt;https://onlinelibrary.wiley.com/doi/abs/10.1002/cnm.2632&lt;/url&gt;&lt;/related-urls&gt;&lt;/urls&gt;&lt;electronic-resource-num&gt;https://doi.org/10.1002/cnm.2632&lt;/electronic-resource-num&gt;&lt;/record&gt;&lt;/Cite&gt;&lt;/EndNote&gt;</w:instrText>
      </w:r>
      <w:r w:rsidRPr="00952F47">
        <w:rPr>
          <w:rFonts w:ascii="Times New Roman" w:eastAsia="Times New Roman" w:hAnsi="Times New Roman" w:cs="Times New Roman"/>
          <w:bCs/>
          <w:sz w:val="24"/>
          <w:szCs w:val="24"/>
        </w:rPr>
        <w:fldChar w:fldCharType="separate"/>
      </w:r>
      <w:r w:rsidRPr="00952F47">
        <w:rPr>
          <w:rFonts w:ascii="Times New Roman" w:eastAsia="Times New Roman" w:hAnsi="Times New Roman" w:cs="Times New Roman"/>
          <w:bCs/>
          <w:noProof/>
          <w:sz w:val="24"/>
          <w:szCs w:val="24"/>
        </w:rPr>
        <w:t>[70]</w:t>
      </w:r>
      <w:r w:rsidRPr="00952F47">
        <w:rPr>
          <w:rFonts w:ascii="Times New Roman" w:eastAsia="Times New Roman" w:hAnsi="Times New Roman" w:cs="Times New Roman"/>
          <w:bCs/>
          <w:sz w:val="24"/>
          <w:szCs w:val="24"/>
        </w:rPr>
        <w:fldChar w:fldCharType="end"/>
      </w:r>
      <w:r w:rsidRPr="00952F47">
        <w:rPr>
          <w:rFonts w:ascii="Times New Roman" w:eastAsia="Times New Roman" w:hAnsi="Times New Roman" w:cs="Times New Roman"/>
          <w:bCs/>
          <w:sz w:val="24"/>
          <w:szCs w:val="24"/>
        </w:rPr>
        <w:t xml:space="preserve">. The aortic tissue was modeled using the nonlinear Gasser-Ogden-Holzapfel </w:t>
      </w:r>
      <w:r w:rsidRPr="00952F47">
        <w:rPr>
          <w:rFonts w:ascii="Times New Roman" w:eastAsia="Times New Roman" w:hAnsi="Times New Roman" w:cs="Times New Roman"/>
          <w:bCs/>
          <w:sz w:val="24"/>
          <w:szCs w:val="24"/>
        </w:rPr>
        <w:fldChar w:fldCharType="begin"/>
      </w:r>
      <w:r w:rsidRPr="00952F47">
        <w:rPr>
          <w:rFonts w:ascii="Times New Roman" w:eastAsia="Times New Roman" w:hAnsi="Times New Roman" w:cs="Times New Roman"/>
          <w:bCs/>
          <w:sz w:val="24"/>
          <w:szCs w:val="24"/>
        </w:rPr>
        <w:instrText xml:space="preserve"> ADDIN EN.CITE &lt;EndNote&gt;&lt;Cite&gt;&lt;Author&gt;Gasser&lt;/Author&gt;&lt;Year&gt;2006&lt;/Year&gt;&lt;RecNum&gt;101&lt;/RecNum&gt;&lt;DisplayText&gt;[63]&lt;/DisplayText&gt;&lt;record&gt;&lt;rec-number&gt;101&lt;/rec-number&gt;&lt;foreign-keys&gt;&lt;key app="EN" db-id="r5sr00pwwzxzvdeptesvpaafapftp9dfevwd" timestamp="1715666730"&gt;101&lt;/key&gt;&lt;/foreign-keys&gt;&lt;ref-type name="Journal Article"&gt;17&lt;/ref-type&gt;&lt;contributors&gt;&lt;authors&gt;&lt;author&gt;Gasser, T Christian&lt;/author&gt;&lt;author&gt;Ogden, Ray W&lt;/author&gt;&lt;author&gt;Holzapfel, Gerhard A&lt;/author&gt;&lt;/authors&gt;&lt;/contributors&gt;&lt;titles&gt;&lt;title&gt;Hyperelastic modelling of arterial layers with distributed collagen fibre orientations&lt;/title&gt;&lt;secondary-title&gt;Journal of the royal society interface&lt;/secondary-title&gt;&lt;/titles&gt;&lt;periodical&gt;&lt;full-title&gt;Journal of The Royal Society Interface&lt;/full-title&gt;&lt;/periodical&gt;&lt;pages&gt;15-35&lt;/pages&gt;&lt;volume&gt;3&lt;/volume&gt;&lt;number&gt;6&lt;/number&gt;&lt;dates&gt;&lt;year&gt;2006&lt;/year&gt;&lt;/dates&gt;&lt;isbn&gt;1742-5689&lt;/isbn&gt;&lt;urls&gt;&lt;/urls&gt;&lt;/record&gt;&lt;/Cite&gt;&lt;/EndNote&gt;</w:instrText>
      </w:r>
      <w:r w:rsidRPr="00952F47">
        <w:rPr>
          <w:rFonts w:ascii="Times New Roman" w:eastAsia="Times New Roman" w:hAnsi="Times New Roman" w:cs="Times New Roman"/>
          <w:bCs/>
          <w:sz w:val="24"/>
          <w:szCs w:val="24"/>
        </w:rPr>
        <w:fldChar w:fldCharType="separate"/>
      </w:r>
      <w:r w:rsidRPr="00952F47">
        <w:rPr>
          <w:rFonts w:ascii="Times New Roman" w:eastAsia="Times New Roman" w:hAnsi="Times New Roman" w:cs="Times New Roman"/>
          <w:bCs/>
          <w:noProof/>
          <w:sz w:val="24"/>
          <w:szCs w:val="24"/>
        </w:rPr>
        <w:t>[63]</w:t>
      </w:r>
      <w:r w:rsidRPr="00952F47">
        <w:rPr>
          <w:rFonts w:ascii="Times New Roman" w:eastAsia="Times New Roman" w:hAnsi="Times New Roman" w:cs="Times New Roman"/>
          <w:bCs/>
          <w:sz w:val="24"/>
          <w:szCs w:val="24"/>
        </w:rPr>
        <w:fldChar w:fldCharType="end"/>
      </w:r>
      <w:r w:rsidRPr="00952F47">
        <w:rPr>
          <w:rFonts w:ascii="Times New Roman" w:eastAsia="Times New Roman" w:hAnsi="Times New Roman" w:cs="Times New Roman"/>
          <w:bCs/>
          <w:sz w:val="24"/>
          <w:szCs w:val="24"/>
        </w:rPr>
        <w:t xml:space="preserve"> constitutive relation with representative material parameters derived from an experimental study (</w:t>
      </w:r>
      <m:oMath>
        <m:sSub>
          <m:sSubPr>
            <m:ctrlPr>
              <w:rPr>
                <w:rFonts w:ascii="Cambria Math" w:hAnsi="Cambria Math" w:cs="Times New Roman"/>
                <w:i/>
                <w:iCs/>
                <w:sz w:val="24"/>
                <w:szCs w:val="24"/>
              </w:rPr>
            </m:ctrlPr>
          </m:sSubPr>
          <m:e>
            <m:r>
              <w:rPr>
                <w:rFonts w:ascii="Cambria Math" w:hAnsi="Cambria Math" w:cs="Times New Roman"/>
                <w:sz w:val="24"/>
                <w:szCs w:val="24"/>
              </w:rPr>
              <m:t>c</m:t>
            </m:r>
          </m:e>
          <m:sub>
            <m:r>
              <w:rPr>
                <w:rFonts w:ascii="Cambria Math" w:hAnsi="Cambria Math" w:cs="Times New Roman"/>
                <w:sz w:val="24"/>
                <w:szCs w:val="24"/>
              </w:rPr>
              <m:t>10</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r>
          <w:rPr>
            <w:rFonts w:ascii="Cambria Math" w:hAnsi="Cambria Math" w:cs="Times New Roman"/>
            <w:sz w:val="24"/>
            <w:szCs w:val="24"/>
          </w:rPr>
          <m:t xml:space="preserve">, </m:t>
        </m:r>
        <m:sSub>
          <m:sSubPr>
            <m:ctrlPr>
              <w:rPr>
                <w:rFonts w:ascii="Cambria Math" w:hAnsi="Cambria Math" w:cs="Times New Roman"/>
                <w:i/>
                <w:iCs/>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r>
          <w:rPr>
            <w:rFonts w:ascii="Cambria Math" w:hAnsi="Cambria Math" w:cs="Times New Roman"/>
            <w:sz w:val="24"/>
            <w:szCs w:val="24"/>
          </w:rPr>
          <m:t>, κ, θ=27 kPa, 500 kPa, 0.02, 0.16, 30°</m:t>
        </m:r>
      </m:oMath>
      <w:r w:rsidRPr="00952F47">
        <w:rPr>
          <w:rFonts w:ascii="Times New Roman" w:eastAsia="Times New Roman" w:hAnsi="Times New Roman" w:cs="Times New Roman"/>
          <w:bCs/>
          <w:sz w:val="24"/>
          <w:szCs w:val="24"/>
        </w:rPr>
        <w:t xml:space="preserve">) </w:t>
      </w:r>
      <w:r w:rsidRPr="00952F47">
        <w:rPr>
          <w:rFonts w:ascii="Times New Roman" w:eastAsia="Times New Roman" w:hAnsi="Times New Roman" w:cs="Times New Roman"/>
          <w:bCs/>
          <w:sz w:val="24"/>
          <w:szCs w:val="24"/>
        </w:rPr>
        <w:fldChar w:fldCharType="begin"/>
      </w:r>
      <w:r w:rsidRPr="00952F47">
        <w:rPr>
          <w:rFonts w:ascii="Times New Roman" w:eastAsia="Times New Roman" w:hAnsi="Times New Roman" w:cs="Times New Roman"/>
          <w:bCs/>
          <w:sz w:val="24"/>
          <w:szCs w:val="24"/>
        </w:rPr>
        <w:instrText xml:space="preserve"> ADDIN EN.CITE &lt;EndNote&gt;&lt;Cite&gt;&lt;Author&gt;Pham&lt;/Author&gt;&lt;Year&gt;2013&lt;/Year&gt;&lt;RecNum&gt;29&lt;/RecNum&gt;&lt;DisplayText&gt;[71]&lt;/DisplayText&gt;&lt;record&gt;&lt;rec-number&gt;29&lt;/rec-number&gt;&lt;foreign-keys&gt;&lt;key app="EN" db-id="r5sr00pwwzxzvdeptesvpaafapftp9dfevwd" timestamp="1715659957"&gt;29&lt;/key&gt;&lt;/foreign-keys&gt;&lt;ref-type name="Journal Article"&gt;17&lt;/ref-type&gt;&lt;contributors&gt;&lt;authors&gt;&lt;author&gt;Pham, Thuy&lt;/author&gt;&lt;author&gt;Martin, Caitlin&lt;/author&gt;&lt;author&gt;Elefteriades, John&lt;/author&gt;&lt;author&gt;Sun, Wei&lt;/author&gt;&lt;/authors&gt;&lt;/contributors&gt;&lt;titles&gt;&lt;title&gt;Biomechanical characterization of ascending aortic aneurysm with concomitant bicuspid aortic valve and bovine aortic arch&lt;/title&gt;&lt;secondary-title&gt;Acta biomaterialia&lt;/secondary-title&gt;&lt;/titles&gt;&lt;periodical&gt;&lt;full-title&gt;Acta biomaterialia&lt;/full-title&gt;&lt;/periodical&gt;&lt;pages&gt;7927-7936&lt;/pages&gt;&lt;volume&gt;9&lt;/volume&gt;&lt;number&gt;8&lt;/number&gt;&lt;dates&gt;&lt;year&gt;2013&lt;/year&gt;&lt;/dates&gt;&lt;isbn&gt;1742-7061&lt;/isbn&gt;&lt;urls&gt;&lt;/urls&gt;&lt;/record&gt;&lt;/Cite&gt;&lt;/EndNote&gt;</w:instrText>
      </w:r>
      <w:r w:rsidRPr="00952F47">
        <w:rPr>
          <w:rFonts w:ascii="Times New Roman" w:eastAsia="Times New Roman" w:hAnsi="Times New Roman" w:cs="Times New Roman"/>
          <w:bCs/>
          <w:sz w:val="24"/>
          <w:szCs w:val="24"/>
        </w:rPr>
        <w:fldChar w:fldCharType="separate"/>
      </w:r>
      <w:r w:rsidRPr="00952F47">
        <w:rPr>
          <w:rFonts w:ascii="Times New Roman" w:eastAsia="Times New Roman" w:hAnsi="Times New Roman" w:cs="Times New Roman"/>
          <w:bCs/>
          <w:noProof/>
          <w:sz w:val="24"/>
          <w:szCs w:val="24"/>
        </w:rPr>
        <w:t>[71]</w:t>
      </w:r>
      <w:r w:rsidRPr="00952F47">
        <w:rPr>
          <w:rFonts w:ascii="Times New Roman" w:eastAsia="Times New Roman" w:hAnsi="Times New Roman" w:cs="Times New Roman"/>
          <w:bCs/>
          <w:sz w:val="24"/>
          <w:szCs w:val="24"/>
        </w:rPr>
        <w:fldChar w:fldCharType="end"/>
      </w:r>
      <w:r w:rsidRPr="00952F47">
        <w:rPr>
          <w:rFonts w:ascii="Times New Roman" w:eastAsia="Times New Roman" w:hAnsi="Times New Roman" w:cs="Times New Roman"/>
          <w:bCs/>
          <w:sz w:val="24"/>
          <w:szCs w:val="24"/>
        </w:rPr>
        <w:t>. In the FSI model, blood flow was simulated using the smooth particle hydrodynamics (SPH) method, allowing interaction between structural and fluid domains through contact mechanics algorithms. In the forward penalty method, structural stress was computed directly on the CT-derived geometry without needing to incorporate nonlinear material properties or estimate the zero-pressure geometry. We compared structural stress results from the FSI and forward penalty method under a constant population-average inlet flow rate of 25 L/min and Windkessel outlets. As shown in Figure A5, the stress field results showed only a small difference with MAPE of 7.57%, which demonstrates that the forward penalty approach achieved accurate stress computations in significantly less time (forward penalty: ~20 minutes vs. fully coupled FSI: ~40 hours on a desktop computer with Intel i9-14900K CPU).</w:t>
      </w:r>
    </w:p>
    <w:p w14:paraId="4AE3397F" w14:textId="77777777" w:rsidR="008C6D1B" w:rsidRPr="00952F47" w:rsidRDefault="008C6D1B" w:rsidP="008C6D1B">
      <w:pPr>
        <w:spacing w:before="120" w:after="120" w:line="480" w:lineRule="auto"/>
        <w:jc w:val="center"/>
        <w:rPr>
          <w:rFonts w:ascii="Times New Roman" w:eastAsia="Times New Roman" w:hAnsi="Times New Roman" w:cs="Times New Roman"/>
          <w:b/>
          <w:sz w:val="28"/>
          <w:szCs w:val="28"/>
        </w:rPr>
      </w:pPr>
      <w:r w:rsidRPr="00952F47">
        <w:rPr>
          <w:noProof/>
        </w:rPr>
        <w:lastRenderedPageBreak/>
        <w:drawing>
          <wp:inline distT="0" distB="0" distL="0" distR="0" wp14:anchorId="120316D5" wp14:editId="1B8FAF97">
            <wp:extent cx="3882076" cy="3521242"/>
            <wp:effectExtent l="0" t="0" r="0" b="0"/>
            <wp:docPr id="15504621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84628" cy="3523557"/>
                    </a:xfrm>
                    <a:prstGeom prst="rect">
                      <a:avLst/>
                    </a:prstGeom>
                    <a:noFill/>
                    <a:ln>
                      <a:noFill/>
                    </a:ln>
                  </pic:spPr>
                </pic:pic>
              </a:graphicData>
            </a:graphic>
          </wp:inline>
        </w:drawing>
      </w:r>
    </w:p>
    <w:p w14:paraId="0A21A717" w14:textId="77777777" w:rsidR="008C6D1B" w:rsidRPr="00952F47" w:rsidRDefault="008C6D1B" w:rsidP="008C6D1B">
      <w:pPr>
        <w:spacing w:before="120" w:after="120" w:line="480" w:lineRule="auto"/>
        <w:rPr>
          <w:rFonts w:ascii="Times New Roman" w:hAnsi="Times New Roman" w:cs="Times New Roman"/>
          <w:b/>
          <w:sz w:val="24"/>
          <w:szCs w:val="24"/>
        </w:rPr>
      </w:pPr>
      <w:r w:rsidRPr="00952F47">
        <w:rPr>
          <w:rFonts w:ascii="Times New Roman" w:hAnsi="Times New Roman" w:cs="Times New Roman"/>
          <w:b/>
          <w:sz w:val="24"/>
          <w:szCs w:val="24"/>
        </w:rPr>
        <w:t>[Figure A5.  Structural wall stress distribution calculated using a fully coupled fluid-structure interaction (FSI) model (a), which accounts for prestress and nonlinear material properties, compared to results from the forward penalty method (b). MAPE: mean absolute percentage error.]</w:t>
      </w:r>
    </w:p>
    <w:p w14:paraId="796799F9"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1B"/>
    <w:rsid w:val="003429A0"/>
    <w:rsid w:val="003C2EF4"/>
    <w:rsid w:val="00446799"/>
    <w:rsid w:val="006A7E07"/>
    <w:rsid w:val="00701021"/>
    <w:rsid w:val="008C6D1B"/>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0C6C22"/>
  <w15:chartTrackingRefBased/>
  <w15:docId w15:val="{545227D7-12A2-415F-B002-11CE86AB2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D1B"/>
    <w:pPr>
      <w:spacing w:after="200" w:line="276"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8C6D1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8C6D1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8C6D1B"/>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8C6D1B"/>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8C6D1B"/>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8C6D1B"/>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8C6D1B"/>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8C6D1B"/>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8C6D1B"/>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D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D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D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D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D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D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D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D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D1B"/>
    <w:rPr>
      <w:rFonts w:eastAsiaTheme="majorEastAsia" w:cstheme="majorBidi"/>
      <w:color w:val="272727" w:themeColor="text1" w:themeTint="D8"/>
    </w:rPr>
  </w:style>
  <w:style w:type="paragraph" w:styleId="Title">
    <w:name w:val="Title"/>
    <w:basedOn w:val="Normal"/>
    <w:next w:val="Normal"/>
    <w:link w:val="TitleChar"/>
    <w:uiPriority w:val="10"/>
    <w:qFormat/>
    <w:rsid w:val="008C6D1B"/>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8C6D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D1B"/>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8C6D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D1B"/>
    <w:pPr>
      <w:spacing w:before="160" w:after="160" w:line="278" w:lineRule="auto"/>
      <w:jc w:val="center"/>
    </w:pPr>
    <w:rPr>
      <w:rFonts w:eastAsiaTheme="minorHAns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8C6D1B"/>
    <w:rPr>
      <w:i/>
      <w:iCs/>
      <w:color w:val="404040" w:themeColor="text1" w:themeTint="BF"/>
    </w:rPr>
  </w:style>
  <w:style w:type="paragraph" w:styleId="ListParagraph">
    <w:name w:val="List Paragraph"/>
    <w:basedOn w:val="Normal"/>
    <w:uiPriority w:val="34"/>
    <w:qFormat/>
    <w:rsid w:val="008C6D1B"/>
    <w:pPr>
      <w:spacing w:after="160" w:line="278" w:lineRule="auto"/>
      <w:ind w:left="720"/>
      <w:contextualSpacing/>
    </w:pPr>
    <w:rPr>
      <w:rFonts w:eastAsiaTheme="minorHAnsi"/>
      <w:kern w:val="2"/>
      <w:sz w:val="24"/>
      <w:szCs w:val="24"/>
      <w14:ligatures w14:val="standardContextual"/>
    </w:rPr>
  </w:style>
  <w:style w:type="character" w:styleId="IntenseEmphasis">
    <w:name w:val="Intense Emphasis"/>
    <w:basedOn w:val="DefaultParagraphFont"/>
    <w:uiPriority w:val="21"/>
    <w:qFormat/>
    <w:rsid w:val="008C6D1B"/>
    <w:rPr>
      <w:i/>
      <w:iCs/>
      <w:color w:val="0F4761" w:themeColor="accent1" w:themeShade="BF"/>
    </w:rPr>
  </w:style>
  <w:style w:type="paragraph" w:styleId="IntenseQuote">
    <w:name w:val="Intense Quote"/>
    <w:basedOn w:val="Normal"/>
    <w:next w:val="Normal"/>
    <w:link w:val="IntenseQuoteChar"/>
    <w:uiPriority w:val="30"/>
    <w:qFormat/>
    <w:rsid w:val="008C6D1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8C6D1B"/>
    <w:rPr>
      <w:i/>
      <w:iCs/>
      <w:color w:val="0F4761" w:themeColor="accent1" w:themeShade="BF"/>
    </w:rPr>
  </w:style>
  <w:style w:type="character" w:styleId="IntenseReference">
    <w:name w:val="Intense Reference"/>
    <w:basedOn w:val="DefaultParagraphFont"/>
    <w:uiPriority w:val="32"/>
    <w:qFormat/>
    <w:rsid w:val="008C6D1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em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1161</Words>
  <Characters>6619</Characters>
  <Application>Microsoft Office Word</Application>
  <DocSecurity>0</DocSecurity>
  <Lines>55</Lines>
  <Paragraphs>15</Paragraphs>
  <ScaleCrop>false</ScaleCrop>
  <Company>Springer Nature</Company>
  <LinksUpToDate>false</LinksUpToDate>
  <CharactersWithSpaces>7765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2025-05-15T06:02:00Z</dcterms:created>
  <dcterms:modified xsi:type="dcterms:W3CDTF">2025-05-15T06:02:00Z</dcterms:modified>
</cp:coreProperties>
</file>