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813EF9" w:rsidR="00F65FCF" w:rsidP="00813EF9" w:rsidRDefault="0091148A" w14:paraId="21CE63BA" w14:textId="3778834B">
      <w:pPr>
        <w:spacing w:line="480" w:lineRule="auto"/>
        <w:jc w:val="both"/>
        <w:rPr>
          <w:rFonts w:ascii="Arial" w:hAnsi="Arial" w:cs="Arial"/>
          <w:b/>
          <w:bCs/>
          <w:kern w:val="0"/>
          <w14:ligatures w14:val="none"/>
        </w:rPr>
      </w:pPr>
      <w:r w:rsidRPr="00F65FCF">
        <w:rPr>
          <w:rFonts w:ascii="Arial" w:hAnsi="Arial" w:cs="Arial"/>
          <w:b/>
          <w:bCs/>
          <w:kern w:val="0"/>
          <w14:ligatures w14:val="none"/>
        </w:rPr>
        <w:t xml:space="preserve">Supplementary </w:t>
      </w:r>
      <w:r w:rsidRPr="00F65FCF" w:rsidR="00F65FCF">
        <w:rPr>
          <w:rFonts w:ascii="Arial" w:hAnsi="Arial" w:cs="Arial"/>
          <w:b/>
          <w:bCs/>
          <w:kern w:val="0"/>
          <w14:ligatures w14:val="none"/>
        </w:rPr>
        <w:t>M</w:t>
      </w:r>
      <w:r w:rsidRPr="00F65FCF">
        <w:rPr>
          <w:rFonts w:ascii="Arial" w:hAnsi="Arial" w:cs="Arial"/>
          <w:b/>
          <w:bCs/>
          <w:kern w:val="0"/>
          <w14:ligatures w14:val="none"/>
        </w:rPr>
        <w:t>ethods</w:t>
      </w:r>
    </w:p>
    <w:p w:rsidRPr="00F65FCF" w:rsidR="00813EF9" w:rsidP="00813EF9" w:rsidRDefault="00813EF9" w14:paraId="51FE50FB" w14:textId="0C9CF9A1">
      <w:pPr>
        <w:spacing w:line="480" w:lineRule="auto"/>
        <w:jc w:val="both"/>
        <w:rPr>
          <w:rFonts w:ascii="Arial" w:hAnsi="Arial" w:cs="Arial"/>
          <w:b/>
          <w:bCs/>
        </w:rPr>
      </w:pPr>
      <w:r w:rsidRPr="00F65FCF">
        <w:rPr>
          <w:rFonts w:ascii="Arial" w:hAnsi="Arial" w:cs="Arial"/>
          <w:b/>
          <w:bCs/>
        </w:rPr>
        <w:t>NLS-</w:t>
      </w:r>
      <w:proofErr w:type="spellStart"/>
      <w:r>
        <w:rPr>
          <w:rFonts w:ascii="Arial" w:hAnsi="Arial" w:cs="Arial"/>
          <w:b/>
          <w:bCs/>
        </w:rPr>
        <w:t>mCherry</w:t>
      </w:r>
      <w:proofErr w:type="spellEnd"/>
      <w:r w:rsidRPr="00F65FCF">
        <w:rPr>
          <w:rFonts w:ascii="Arial" w:hAnsi="Arial" w:cs="Arial"/>
          <w:b/>
          <w:bCs/>
        </w:rPr>
        <w:t xml:space="preserve"> expressing PDX line production</w:t>
      </w:r>
    </w:p>
    <w:p w:rsidR="00813EF9" w:rsidP="00813EF9" w:rsidRDefault="00813EF9" w14:paraId="3E796401" w14:textId="79E1049A">
      <w:pPr>
        <w:spacing w:line="48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813EF9">
        <w:rPr>
          <w:rFonts w:ascii="Arial" w:hAnsi="Arial" w:cs="Arial"/>
          <w:color w:val="000000"/>
          <w:shd w:val="clear" w:color="auto" w:fill="FFFFFF"/>
        </w:rPr>
        <w:t>The lentiviral vector used to overexpress NLS-</w:t>
      </w:r>
      <w:proofErr w:type="spellStart"/>
      <w:r w:rsidRPr="00813EF9">
        <w:rPr>
          <w:rFonts w:ascii="Arial" w:hAnsi="Arial" w:cs="Arial"/>
          <w:color w:val="000000"/>
          <w:shd w:val="clear" w:color="auto" w:fill="FFFFFF"/>
        </w:rPr>
        <w:t>mCherry</w:t>
      </w:r>
      <w:proofErr w:type="spellEnd"/>
      <w:r w:rsidRPr="00813EF9">
        <w:rPr>
          <w:rFonts w:ascii="Arial" w:hAnsi="Arial" w:cs="Arial"/>
          <w:color w:val="000000"/>
          <w:shd w:val="clear" w:color="auto" w:fill="FFFFFF"/>
        </w:rPr>
        <w:t xml:space="preserve"> in </w:t>
      </w:r>
      <w:r>
        <w:rPr>
          <w:rFonts w:ascii="Arial" w:hAnsi="Arial" w:cs="Arial"/>
          <w:color w:val="000000"/>
          <w:shd w:val="clear" w:color="auto" w:fill="FFFFFF"/>
        </w:rPr>
        <w:t xml:space="preserve">JX39P in </w:t>
      </w:r>
      <w:r w:rsidRPr="00813EF9">
        <w:rPr>
          <w:rFonts w:ascii="Arial" w:hAnsi="Arial" w:cs="Arial"/>
          <w:color w:val="000000"/>
          <w:shd w:val="clear" w:color="auto" w:fill="FFFFFF"/>
        </w:rPr>
        <w:t>our study</w:t>
      </w:r>
      <w:r>
        <w:rPr>
          <w:rFonts w:ascii="Arial" w:hAnsi="Arial" w:cs="Arial"/>
          <w:color w:val="000000"/>
          <w:shd w:val="clear" w:color="auto" w:fill="FFFFFF"/>
        </w:rPr>
        <w:t>,</w:t>
      </w:r>
      <w:r w:rsidRPr="00813EF9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813EF9">
        <w:rPr>
          <w:rFonts w:ascii="Arial" w:hAnsi="Arial" w:cs="Arial"/>
          <w:color w:val="000000"/>
          <w:shd w:val="clear" w:color="auto" w:fill="FFFFFF"/>
        </w:rPr>
        <w:t>pLV</w:t>
      </w:r>
      <w:proofErr w:type="spellEnd"/>
      <w:r w:rsidRPr="00813EF9">
        <w:rPr>
          <w:rFonts w:ascii="Arial" w:hAnsi="Arial" w:cs="Arial"/>
          <w:color w:val="000000"/>
          <w:shd w:val="clear" w:color="auto" w:fill="FFFFFF"/>
        </w:rPr>
        <w:t xml:space="preserve"> [Exp]-</w:t>
      </w:r>
      <w:proofErr w:type="spellStart"/>
      <w:r w:rsidRPr="00813EF9">
        <w:rPr>
          <w:rFonts w:ascii="Arial" w:hAnsi="Arial" w:cs="Arial"/>
          <w:color w:val="000000"/>
          <w:shd w:val="clear" w:color="auto" w:fill="FFFFFF"/>
        </w:rPr>
        <w:t>Puro-CMV+intron</w:t>
      </w:r>
      <w:proofErr w:type="spellEnd"/>
      <w:r w:rsidRPr="00813EF9">
        <w:rPr>
          <w:rFonts w:ascii="Arial" w:hAnsi="Arial" w:cs="Arial"/>
          <w:color w:val="000000"/>
          <w:shd w:val="clear" w:color="auto" w:fill="FFFFFF"/>
        </w:rPr>
        <w:t>&gt;</w:t>
      </w:r>
      <w:proofErr w:type="spellStart"/>
      <w:r w:rsidRPr="00813EF9">
        <w:rPr>
          <w:rFonts w:ascii="Arial" w:hAnsi="Arial" w:cs="Arial"/>
          <w:color w:val="000000"/>
          <w:shd w:val="clear" w:color="auto" w:fill="FFFFFF"/>
        </w:rPr>
        <w:t>NLS_mCherry</w:t>
      </w:r>
      <w:proofErr w:type="spellEnd"/>
      <w:r w:rsidRPr="00813EF9">
        <w:rPr>
          <w:rFonts w:ascii="Arial" w:hAnsi="Arial" w:cs="Arial"/>
          <w:color w:val="000000"/>
          <w:shd w:val="clear" w:color="auto" w:fill="FFFFFF"/>
        </w:rPr>
        <w:t xml:space="preserve">, was constructed and packaged by </w:t>
      </w:r>
      <w:proofErr w:type="spellStart"/>
      <w:r w:rsidRPr="00813EF9">
        <w:rPr>
          <w:rFonts w:ascii="Arial" w:hAnsi="Arial" w:cs="Arial"/>
          <w:color w:val="000000"/>
          <w:shd w:val="clear" w:color="auto" w:fill="FFFFFF"/>
        </w:rPr>
        <w:t>VectorBuilder</w:t>
      </w:r>
      <w:proofErr w:type="spellEnd"/>
      <w:r w:rsidRPr="00813EF9">
        <w:rPr>
          <w:rFonts w:ascii="Arial" w:hAnsi="Arial" w:cs="Arial"/>
          <w:color w:val="000000"/>
          <w:shd w:val="clear" w:color="auto" w:fill="FFFFFF"/>
        </w:rPr>
        <w:t>. The vector ID is VB220505-1251vxc, which can be used to retrieve detailed information about the vector on vectorbuilder.com.</w:t>
      </w:r>
      <w:r>
        <w:rPr>
          <w:rFonts w:ascii="Arial" w:hAnsi="Arial" w:cs="Arial"/>
          <w:color w:val="000000"/>
          <w:shd w:val="clear" w:color="auto" w:fill="FFFFFF"/>
        </w:rPr>
        <w:t xml:space="preserve"> Virus was prepared and cells were infected as described in the main methods section.</w:t>
      </w:r>
    </w:p>
    <w:p w:rsidRPr="00F65FCF" w:rsidR="00813EF9" w:rsidP="00813EF9" w:rsidRDefault="00813EF9" w14:paraId="1B4714EA" w14:textId="77777777">
      <w:pPr>
        <w:spacing w:line="480" w:lineRule="auto"/>
        <w:jc w:val="both"/>
        <w:rPr>
          <w:rFonts w:ascii="Arial" w:hAnsi="Arial" w:cs="Arial"/>
        </w:rPr>
      </w:pPr>
    </w:p>
    <w:p w:rsidRPr="00F65FCF" w:rsidR="0091148A" w:rsidP="00813EF9" w:rsidRDefault="0091148A" w14:paraId="1CEC4676" w14:textId="72AE4466">
      <w:pPr>
        <w:spacing w:line="480" w:lineRule="auto"/>
        <w:jc w:val="both"/>
        <w:rPr>
          <w:rFonts w:ascii="Arial" w:hAnsi="Arial" w:cs="Arial"/>
          <w:b w:val="1"/>
          <w:bCs w:val="1"/>
        </w:rPr>
      </w:pPr>
      <w:r w:rsidRPr="08EC9A17" w:rsidR="08EC9A17">
        <w:rPr>
          <w:rFonts w:ascii="Arial" w:hAnsi="Arial" w:cs="Arial"/>
          <w:b w:val="1"/>
          <w:bCs w:val="1"/>
        </w:rPr>
        <w:t>THP-1 monocyte cell culture.</w:t>
      </w:r>
    </w:p>
    <w:p w:rsidR="0091148A" w:rsidP="00813EF9" w:rsidRDefault="0091148A" w14:paraId="1A4F3393" w14:textId="01D8A171">
      <w:pPr>
        <w:spacing w:line="480" w:lineRule="auto"/>
        <w:jc w:val="both"/>
        <w:rPr>
          <w:rFonts w:ascii="Arial" w:hAnsi="Arial" w:cs="Arial"/>
        </w:rPr>
      </w:pPr>
      <w:r w:rsidRPr="08EC9A17" w:rsidR="08EC9A17">
        <w:rPr>
          <w:rFonts w:ascii="Arial" w:hAnsi="Arial" w:cs="Arial"/>
        </w:rPr>
        <w:t>THP-1 cells were maintained in serum-free X-VIVO 15.</w:t>
      </w:r>
    </w:p>
    <w:p w:rsidRPr="00F65FCF" w:rsidR="00F65FCF" w:rsidP="00813EF9" w:rsidRDefault="00F65FCF" w14:paraId="42B22BC0" w14:textId="77777777">
      <w:pPr>
        <w:spacing w:line="480" w:lineRule="auto"/>
        <w:jc w:val="both"/>
        <w:rPr>
          <w:rFonts w:ascii="Arial" w:hAnsi="Arial" w:cs="Arial"/>
        </w:rPr>
      </w:pPr>
    </w:p>
    <w:p w:rsidRPr="00F65FCF" w:rsidR="0091148A" w:rsidDel="00BC0B38" w:rsidP="00813EF9" w:rsidRDefault="0091148A" w14:paraId="2F57DC08" w14:textId="77777777">
      <w:pPr>
        <w:pStyle w:val="paragraph"/>
        <w:spacing w:before="0" w:beforeAutospacing="0" w:after="0" w:afterAutospacing="0" w:line="480" w:lineRule="auto"/>
        <w:jc w:val="both"/>
        <w:textAlignment w:val="baseline"/>
        <w:rPr>
          <w:rStyle w:val="eop"/>
          <w:rFonts w:ascii="Arial" w:hAnsi="Arial" w:cs="Arial" w:eastAsiaTheme="majorEastAsia"/>
          <w:sz w:val="22"/>
          <w:szCs w:val="22"/>
        </w:rPr>
      </w:pPr>
      <w:r w:rsidRPr="00F65FCF">
        <w:rPr>
          <w:rStyle w:val="eop"/>
          <w:rFonts w:ascii="Arial" w:hAnsi="Arial" w:cs="Arial" w:eastAsiaTheme="majorEastAsia"/>
          <w:b/>
          <w:bCs/>
          <w:sz w:val="22"/>
          <w:szCs w:val="22"/>
        </w:rPr>
        <w:t>THP-1 digital PCR</w:t>
      </w:r>
    </w:p>
    <w:p w:rsidR="0091148A" w:rsidP="00813EF9" w:rsidRDefault="23F01D61" w14:paraId="58A0FD77" w14:textId="487A7005">
      <w:pPr>
        <w:pStyle w:val="paragraph"/>
        <w:spacing w:before="0" w:beforeAutospacing="0" w:after="0" w:afterAutospacing="0" w:line="480" w:lineRule="auto"/>
        <w:jc w:val="both"/>
        <w:rPr>
          <w:rFonts w:ascii="Arial" w:hAnsi="Arial" w:cs="Arial" w:eastAsiaTheme="majorEastAsia"/>
          <w:sz w:val="22"/>
          <w:szCs w:val="22"/>
        </w:rPr>
      </w:pPr>
      <w:r w:rsidRPr="00F65FCF">
        <w:rPr>
          <w:rFonts w:ascii="Arial" w:hAnsi="Arial" w:cs="Arial" w:eastAsiaTheme="majorEastAsia"/>
          <w:sz w:val="22"/>
          <w:szCs w:val="22"/>
        </w:rPr>
        <w:t xml:space="preserve">500k THP-1 monocytes were plated and differentiated to macrophages in a 6-well plate. Afterwards, they were either maintained as resting or polarized towards an M1, M2, or 14T-TAM-like phenotype as previously described. RNA was extracted using a Qiagen </w:t>
      </w:r>
      <w:proofErr w:type="spellStart"/>
      <w:r w:rsidRPr="00F65FCF">
        <w:rPr>
          <w:rFonts w:ascii="Arial" w:hAnsi="Arial" w:cs="Arial" w:eastAsiaTheme="majorEastAsia"/>
          <w:sz w:val="22"/>
          <w:szCs w:val="22"/>
        </w:rPr>
        <w:t>RNEasy</w:t>
      </w:r>
      <w:proofErr w:type="spellEnd"/>
      <w:r w:rsidRPr="00F65FCF">
        <w:rPr>
          <w:rFonts w:ascii="Arial" w:hAnsi="Arial" w:cs="Arial" w:eastAsiaTheme="majorEastAsia"/>
          <w:sz w:val="22"/>
          <w:szCs w:val="22"/>
        </w:rPr>
        <w:t xml:space="preserve"> mini kit (#74104, Qiagen, Netherlands). One milligram of RNA was reverse transcribed into cDNA using M-MLV Reverse Transcriptase (#M1701, Promega, USA) and then brought up to a total volume of 100µL. IL-1β (Assay ID: Hs01555410_m1), TNFα (Assay ID: Hs00174128_m1), and IL-10 (Assay ID: Hs00961622_m1) primers were conjugated to FAM dye and GAPDH (Assay ID: Hs00266705_g1) (</w:t>
      </w:r>
      <w:proofErr w:type="spellStart"/>
      <w:r w:rsidRPr="00F65FCF">
        <w:rPr>
          <w:rFonts w:ascii="Arial" w:hAnsi="Arial" w:cs="Arial" w:eastAsiaTheme="majorEastAsia"/>
          <w:sz w:val="22"/>
          <w:szCs w:val="22"/>
        </w:rPr>
        <w:t>ThermoFisher</w:t>
      </w:r>
      <w:proofErr w:type="spellEnd"/>
      <w:r w:rsidRPr="00F65FCF">
        <w:rPr>
          <w:rFonts w:ascii="Arial" w:hAnsi="Arial" w:cs="Arial" w:eastAsiaTheme="majorEastAsia"/>
          <w:sz w:val="22"/>
          <w:szCs w:val="22"/>
        </w:rPr>
        <w:t>, USA) primers were conjugated to VIC dye. Digital PCR reactions consisted of 12</w:t>
      </w:r>
      <w:r w:rsidR="00813EF9">
        <w:rPr>
          <w:rFonts w:ascii="Arial" w:hAnsi="Arial" w:cs="Arial" w:eastAsiaTheme="majorEastAsia"/>
          <w:sz w:val="22"/>
          <w:szCs w:val="22"/>
        </w:rPr>
        <w:t xml:space="preserve"> </w:t>
      </w:r>
      <w:r w:rsidRPr="00F65FCF">
        <w:rPr>
          <w:rFonts w:ascii="Arial" w:hAnsi="Arial" w:cs="Arial" w:eastAsiaTheme="majorEastAsia"/>
          <w:sz w:val="22"/>
          <w:szCs w:val="22"/>
        </w:rPr>
        <w:t>µL reaction mixture per well containing 3 µL of 4x Probe PCR master mix (#250102, Qiagen, Netherlands), 1.2</w:t>
      </w:r>
      <w:r w:rsidR="00813EF9">
        <w:rPr>
          <w:rFonts w:ascii="Arial" w:hAnsi="Arial" w:cs="Arial" w:eastAsiaTheme="majorEastAsia"/>
          <w:sz w:val="22"/>
          <w:szCs w:val="22"/>
        </w:rPr>
        <w:t xml:space="preserve"> </w:t>
      </w:r>
      <w:r w:rsidRPr="00F65FCF">
        <w:rPr>
          <w:rFonts w:ascii="Arial" w:hAnsi="Arial" w:cs="Arial" w:eastAsiaTheme="majorEastAsia"/>
          <w:sz w:val="22"/>
          <w:szCs w:val="22"/>
        </w:rPr>
        <w:t>µL of 10x target primer conjugated to FAM, 1.2</w:t>
      </w:r>
      <w:r w:rsidR="00813EF9">
        <w:rPr>
          <w:rFonts w:ascii="Arial" w:hAnsi="Arial" w:cs="Arial" w:eastAsiaTheme="majorEastAsia"/>
          <w:sz w:val="22"/>
          <w:szCs w:val="22"/>
        </w:rPr>
        <w:t xml:space="preserve"> </w:t>
      </w:r>
      <w:r w:rsidRPr="00F65FCF">
        <w:rPr>
          <w:rFonts w:ascii="Arial" w:hAnsi="Arial" w:cs="Arial" w:eastAsiaTheme="majorEastAsia"/>
          <w:sz w:val="22"/>
          <w:szCs w:val="22"/>
        </w:rPr>
        <w:t>µL of 10x GAPDH primer conjugated to VIC, 4</w:t>
      </w:r>
      <w:r w:rsidR="00813EF9">
        <w:rPr>
          <w:rFonts w:ascii="Arial" w:hAnsi="Arial" w:cs="Arial" w:eastAsiaTheme="majorEastAsia"/>
          <w:sz w:val="22"/>
          <w:szCs w:val="22"/>
        </w:rPr>
        <w:t xml:space="preserve"> </w:t>
      </w:r>
      <w:proofErr w:type="spellStart"/>
      <w:r w:rsidRPr="00F65FCF">
        <w:rPr>
          <w:rFonts w:ascii="Arial" w:hAnsi="Arial" w:cs="Arial" w:eastAsiaTheme="majorEastAsia"/>
          <w:sz w:val="22"/>
          <w:szCs w:val="22"/>
        </w:rPr>
        <w:t>uL</w:t>
      </w:r>
      <w:proofErr w:type="spellEnd"/>
      <w:r w:rsidRPr="00F65FCF">
        <w:rPr>
          <w:rFonts w:ascii="Arial" w:hAnsi="Arial" w:cs="Arial" w:eastAsiaTheme="majorEastAsia"/>
          <w:sz w:val="22"/>
          <w:szCs w:val="22"/>
        </w:rPr>
        <w:t xml:space="preserve"> of 1:80 diluted cDNA, and 2.6</w:t>
      </w:r>
      <w:r w:rsidR="00813EF9">
        <w:rPr>
          <w:rFonts w:ascii="Arial" w:hAnsi="Arial" w:cs="Arial" w:eastAsiaTheme="majorEastAsia"/>
          <w:sz w:val="22"/>
          <w:szCs w:val="22"/>
        </w:rPr>
        <w:t xml:space="preserve"> </w:t>
      </w:r>
      <w:r w:rsidRPr="00F65FCF">
        <w:rPr>
          <w:rFonts w:ascii="Arial" w:hAnsi="Arial" w:cs="Arial" w:eastAsiaTheme="majorEastAsia"/>
          <w:sz w:val="22"/>
          <w:szCs w:val="22"/>
        </w:rPr>
        <w:t xml:space="preserve">µL of PCR-grade water. </w:t>
      </w:r>
      <w:r w:rsidRPr="00F65FCF">
        <w:rPr>
          <w:rFonts w:ascii="Arial" w:hAnsi="Arial" w:cs="Arial" w:eastAsiaTheme="majorEastAsia"/>
          <w:sz w:val="22"/>
          <w:szCs w:val="22"/>
        </w:rPr>
        <w:lastRenderedPageBreak/>
        <w:t xml:space="preserve">Assembled reactions were transferred to </w:t>
      </w:r>
      <w:proofErr w:type="spellStart"/>
      <w:r w:rsidRPr="00F65FCF">
        <w:rPr>
          <w:rFonts w:ascii="Arial" w:hAnsi="Arial" w:cs="Arial" w:eastAsiaTheme="majorEastAsia"/>
          <w:sz w:val="22"/>
          <w:szCs w:val="22"/>
        </w:rPr>
        <w:t>QIAcuity</w:t>
      </w:r>
      <w:proofErr w:type="spellEnd"/>
      <w:r w:rsidRPr="00F65FCF">
        <w:rPr>
          <w:rFonts w:ascii="Arial" w:hAnsi="Arial" w:cs="Arial" w:eastAsiaTheme="majorEastAsia"/>
          <w:sz w:val="22"/>
          <w:szCs w:val="22"/>
        </w:rPr>
        <w:t xml:space="preserve"> 8.5k 96-well Nanoplates (#250021, Qiagen, Netherlands) for partitioning using the standard priming protocol. dPCR was conducted in 40 cycles of 95</w:t>
      </w:r>
      <w:r w:rsidRPr="00F65FCF" w:rsidR="00F95D9A">
        <w:rPr>
          <w:rFonts w:ascii="Arial" w:hAnsi="Arial" w:cs="Arial" w:eastAsiaTheme="majorEastAsia"/>
          <w:sz w:val="22"/>
          <w:szCs w:val="22"/>
          <w:vertAlign w:val="superscript"/>
        </w:rPr>
        <w:t>o</w:t>
      </w:r>
      <w:r w:rsidRPr="00F65FCF">
        <w:rPr>
          <w:rFonts w:ascii="Arial" w:hAnsi="Arial" w:cs="Arial" w:eastAsiaTheme="majorEastAsia"/>
          <w:sz w:val="22"/>
          <w:szCs w:val="22"/>
        </w:rPr>
        <w:t>C denaturation for 15</w:t>
      </w:r>
      <w:r w:rsidR="00F65FCF">
        <w:rPr>
          <w:rFonts w:ascii="Arial" w:hAnsi="Arial" w:cs="Arial" w:eastAsiaTheme="majorEastAsia"/>
          <w:sz w:val="22"/>
          <w:szCs w:val="22"/>
        </w:rPr>
        <w:t xml:space="preserve"> </w:t>
      </w:r>
      <w:r w:rsidRPr="00F65FCF">
        <w:rPr>
          <w:rFonts w:ascii="Arial" w:hAnsi="Arial" w:cs="Arial" w:eastAsiaTheme="majorEastAsia"/>
          <w:sz w:val="22"/>
          <w:szCs w:val="22"/>
        </w:rPr>
        <w:t>s</w:t>
      </w:r>
      <w:r w:rsidR="00F65FCF">
        <w:rPr>
          <w:rFonts w:ascii="Arial" w:hAnsi="Arial" w:cs="Arial" w:eastAsiaTheme="majorEastAsia"/>
          <w:sz w:val="22"/>
          <w:szCs w:val="22"/>
        </w:rPr>
        <w:t>econds</w:t>
      </w:r>
      <w:r w:rsidRPr="00F65FCF">
        <w:rPr>
          <w:rFonts w:ascii="Arial" w:hAnsi="Arial" w:cs="Arial" w:eastAsiaTheme="majorEastAsia"/>
          <w:sz w:val="22"/>
          <w:szCs w:val="22"/>
        </w:rPr>
        <w:t xml:space="preserve"> and 60</w:t>
      </w:r>
      <w:r w:rsidRPr="00F65FCF" w:rsidR="00F95D9A">
        <w:rPr>
          <w:rFonts w:ascii="Arial" w:hAnsi="Arial" w:cs="Arial" w:eastAsiaTheme="majorEastAsia"/>
          <w:sz w:val="22"/>
          <w:szCs w:val="22"/>
          <w:vertAlign w:val="superscript"/>
        </w:rPr>
        <w:t>o</w:t>
      </w:r>
      <w:r w:rsidRPr="00F65FCF">
        <w:rPr>
          <w:rFonts w:ascii="Arial" w:hAnsi="Arial" w:cs="Arial" w:eastAsiaTheme="majorEastAsia"/>
          <w:sz w:val="22"/>
          <w:szCs w:val="22"/>
        </w:rPr>
        <w:t>C annealing and elongation for 30</w:t>
      </w:r>
      <w:r w:rsidR="00813EF9">
        <w:rPr>
          <w:rFonts w:ascii="Arial" w:hAnsi="Arial" w:cs="Arial" w:eastAsiaTheme="majorEastAsia"/>
          <w:sz w:val="22"/>
          <w:szCs w:val="22"/>
        </w:rPr>
        <w:t xml:space="preserve"> </w:t>
      </w:r>
      <w:r w:rsidRPr="00F65FCF">
        <w:rPr>
          <w:rFonts w:ascii="Arial" w:hAnsi="Arial" w:cs="Arial" w:eastAsiaTheme="majorEastAsia"/>
          <w:sz w:val="22"/>
          <w:szCs w:val="22"/>
        </w:rPr>
        <w:t>s</w:t>
      </w:r>
      <w:r w:rsidR="00813EF9">
        <w:rPr>
          <w:rFonts w:ascii="Arial" w:hAnsi="Arial" w:cs="Arial" w:eastAsiaTheme="majorEastAsia"/>
          <w:sz w:val="22"/>
          <w:szCs w:val="22"/>
        </w:rPr>
        <w:t>econds</w:t>
      </w:r>
      <w:r w:rsidRPr="00F65FCF">
        <w:rPr>
          <w:rFonts w:ascii="Arial" w:hAnsi="Arial" w:cs="Arial" w:eastAsiaTheme="majorEastAsia"/>
          <w:sz w:val="22"/>
          <w:szCs w:val="22"/>
        </w:rPr>
        <w:t>. Partitions were imaged with 500</w:t>
      </w:r>
      <w:r w:rsidR="00F65FCF">
        <w:rPr>
          <w:rFonts w:ascii="Arial" w:hAnsi="Arial" w:cs="Arial" w:eastAsiaTheme="majorEastAsia"/>
          <w:sz w:val="22"/>
          <w:szCs w:val="22"/>
        </w:rPr>
        <w:t xml:space="preserve"> </w:t>
      </w:r>
      <w:r w:rsidRPr="00F65FCF">
        <w:rPr>
          <w:rFonts w:ascii="Arial" w:hAnsi="Arial" w:cs="Arial" w:eastAsiaTheme="majorEastAsia"/>
          <w:sz w:val="22"/>
          <w:szCs w:val="22"/>
        </w:rPr>
        <w:t>m</w:t>
      </w:r>
      <w:r w:rsidR="00813EF9">
        <w:rPr>
          <w:rFonts w:ascii="Arial" w:hAnsi="Arial" w:cs="Arial" w:eastAsiaTheme="majorEastAsia"/>
          <w:sz w:val="22"/>
          <w:szCs w:val="22"/>
        </w:rPr>
        <w:t>illi</w:t>
      </w:r>
      <w:r w:rsidRPr="00F65FCF">
        <w:rPr>
          <w:rFonts w:ascii="Arial" w:hAnsi="Arial" w:cs="Arial" w:eastAsiaTheme="majorEastAsia"/>
          <w:sz w:val="22"/>
          <w:szCs w:val="22"/>
        </w:rPr>
        <w:t>s</w:t>
      </w:r>
      <w:r w:rsidR="00813EF9">
        <w:rPr>
          <w:rFonts w:ascii="Arial" w:hAnsi="Arial" w:cs="Arial" w:eastAsiaTheme="majorEastAsia"/>
          <w:sz w:val="22"/>
          <w:szCs w:val="22"/>
        </w:rPr>
        <w:t>econd</w:t>
      </w:r>
      <w:r w:rsidRPr="00F65FCF">
        <w:rPr>
          <w:rFonts w:ascii="Arial" w:hAnsi="Arial" w:cs="Arial" w:eastAsiaTheme="majorEastAsia"/>
          <w:sz w:val="22"/>
          <w:szCs w:val="22"/>
        </w:rPr>
        <w:t xml:space="preserve"> exposure time and with gain set to 6 for both target channels. Raw counts were normalized to GAPDH.</w:t>
      </w:r>
    </w:p>
    <w:p w:rsidRPr="00F65FCF" w:rsidR="00F65FCF" w:rsidP="00813EF9" w:rsidRDefault="00F65FCF" w14:paraId="20B8F879" w14:textId="77777777">
      <w:pPr>
        <w:pStyle w:val="paragraph"/>
        <w:spacing w:before="0" w:beforeAutospacing="0" w:after="0" w:afterAutospacing="0" w:line="480" w:lineRule="auto"/>
        <w:jc w:val="both"/>
        <w:rPr>
          <w:rFonts w:ascii="Arial" w:hAnsi="Arial" w:cs="Arial" w:eastAsiaTheme="majorEastAsia"/>
          <w:sz w:val="22"/>
          <w:szCs w:val="22"/>
        </w:rPr>
      </w:pPr>
    </w:p>
    <w:p w:rsidRPr="00F65FCF" w:rsidR="0091148A" w:rsidP="00813EF9" w:rsidRDefault="0091148A" w14:paraId="3328A0EA" w14:textId="77777777">
      <w:pPr>
        <w:pStyle w:val="paragraph"/>
        <w:spacing w:before="0" w:beforeAutospacing="0" w:after="0" w:afterAutospacing="0" w:line="480" w:lineRule="auto"/>
        <w:jc w:val="both"/>
        <w:rPr>
          <w:rFonts w:ascii="Arial" w:hAnsi="Arial" w:cs="Arial" w:eastAsiaTheme="majorEastAsia"/>
          <w:b/>
          <w:bCs/>
          <w:sz w:val="22"/>
          <w:szCs w:val="22"/>
        </w:rPr>
      </w:pPr>
      <w:r w:rsidRPr="00F65FCF">
        <w:rPr>
          <w:rFonts w:ascii="Arial" w:hAnsi="Arial" w:cs="Arial" w:eastAsiaTheme="majorEastAsia"/>
          <w:b/>
          <w:bCs/>
          <w:sz w:val="22"/>
          <w:szCs w:val="22"/>
        </w:rPr>
        <w:t>Matrigel Coating Protocol</w:t>
      </w:r>
    </w:p>
    <w:p w:rsidR="0091148A" w:rsidP="00813EF9" w:rsidRDefault="0091148A" w14:paraId="1CDC0C1B" w14:textId="1C285532">
      <w:pPr>
        <w:pStyle w:val="paragraph"/>
        <w:spacing w:before="0" w:beforeAutospacing="0" w:after="0" w:afterAutospacing="0" w:line="480" w:lineRule="auto"/>
        <w:jc w:val="both"/>
        <w:rPr>
          <w:rFonts w:ascii="Arial" w:hAnsi="Arial" w:cs="Arial" w:eastAsiaTheme="majorEastAsia"/>
          <w:sz w:val="22"/>
          <w:szCs w:val="22"/>
        </w:rPr>
      </w:pPr>
      <w:r w:rsidRPr="00F65FCF">
        <w:rPr>
          <w:rFonts w:ascii="Arial" w:hAnsi="Arial" w:cs="Arial" w:eastAsiaTheme="majorEastAsia"/>
          <w:sz w:val="22"/>
          <w:szCs w:val="22"/>
        </w:rPr>
        <w:t>96 well plates</w:t>
      </w:r>
      <w:r w:rsidRPr="00F65FCF" w:rsidR="00BB6CD4">
        <w:rPr>
          <w:rFonts w:ascii="Arial" w:hAnsi="Arial" w:cs="Arial" w:eastAsiaTheme="majorEastAsia"/>
          <w:sz w:val="22"/>
          <w:szCs w:val="22"/>
        </w:rPr>
        <w:t xml:space="preserve"> (#353219, Corning, USA)</w:t>
      </w:r>
      <w:r w:rsidRPr="00F65FCF">
        <w:rPr>
          <w:rFonts w:ascii="Arial" w:hAnsi="Arial" w:cs="Arial" w:eastAsiaTheme="majorEastAsia"/>
          <w:sz w:val="22"/>
          <w:szCs w:val="22"/>
        </w:rPr>
        <w:t xml:space="preserve"> or </w:t>
      </w:r>
      <w:proofErr w:type="spellStart"/>
      <w:r w:rsidRPr="00F65FCF" w:rsidR="001C081F">
        <w:rPr>
          <w:rFonts w:ascii="Arial" w:hAnsi="Arial" w:cs="Arial" w:eastAsiaTheme="majorEastAsia"/>
          <w:sz w:val="22"/>
          <w:szCs w:val="22"/>
        </w:rPr>
        <w:t>Flu</w:t>
      </w:r>
      <w:r w:rsidRPr="00F65FCF">
        <w:rPr>
          <w:rFonts w:ascii="Arial" w:hAnsi="Arial" w:cs="Arial" w:eastAsiaTheme="majorEastAsia"/>
          <w:sz w:val="22"/>
          <w:szCs w:val="22"/>
        </w:rPr>
        <w:t>oro</w:t>
      </w:r>
      <w:r w:rsidRPr="00F65FCF" w:rsidR="001C081F">
        <w:rPr>
          <w:rFonts w:ascii="Arial" w:hAnsi="Arial" w:cs="Arial" w:eastAsiaTheme="majorEastAsia"/>
          <w:sz w:val="22"/>
          <w:szCs w:val="22"/>
        </w:rPr>
        <w:t>B</w:t>
      </w:r>
      <w:r w:rsidRPr="00F65FCF">
        <w:rPr>
          <w:rFonts w:ascii="Arial" w:hAnsi="Arial" w:cs="Arial" w:eastAsiaTheme="majorEastAsia"/>
          <w:sz w:val="22"/>
          <w:szCs w:val="22"/>
        </w:rPr>
        <w:t>lok</w:t>
      </w:r>
      <w:proofErr w:type="spellEnd"/>
      <w:r w:rsidRPr="00F65FCF">
        <w:rPr>
          <w:rFonts w:ascii="Arial" w:hAnsi="Arial" w:cs="Arial" w:eastAsiaTheme="majorEastAsia"/>
          <w:sz w:val="22"/>
          <w:szCs w:val="22"/>
        </w:rPr>
        <w:t xml:space="preserve"> </w:t>
      </w:r>
      <w:r w:rsidRPr="00F65FCF" w:rsidR="001C081F">
        <w:rPr>
          <w:rFonts w:ascii="Arial" w:hAnsi="Arial" w:cs="Arial" w:eastAsiaTheme="majorEastAsia"/>
          <w:sz w:val="22"/>
          <w:szCs w:val="22"/>
        </w:rPr>
        <w:t xml:space="preserve"> </w:t>
      </w:r>
      <w:r w:rsidRPr="00F65FCF">
        <w:rPr>
          <w:rFonts w:ascii="Arial" w:hAnsi="Arial" w:cs="Arial" w:eastAsiaTheme="majorEastAsia"/>
          <w:sz w:val="22"/>
          <w:szCs w:val="22"/>
        </w:rPr>
        <w:t>transwell inserts</w:t>
      </w:r>
      <w:r w:rsidRPr="00F65FCF" w:rsidR="001C081F">
        <w:rPr>
          <w:rFonts w:ascii="Arial" w:hAnsi="Arial" w:cs="Arial" w:eastAsiaTheme="majorEastAsia"/>
          <w:sz w:val="22"/>
          <w:szCs w:val="22"/>
        </w:rPr>
        <w:t xml:space="preserve"> (#351152, Corning, USA)</w:t>
      </w:r>
      <w:r w:rsidRPr="00F65FCF">
        <w:rPr>
          <w:rFonts w:ascii="Arial" w:hAnsi="Arial" w:cs="Arial" w:eastAsiaTheme="majorEastAsia"/>
          <w:sz w:val="22"/>
          <w:szCs w:val="22"/>
        </w:rPr>
        <w:t xml:space="preserve"> were coated with 200-300</w:t>
      </w:r>
      <w:r w:rsidR="00813EF9">
        <w:rPr>
          <w:rFonts w:ascii="Arial" w:hAnsi="Arial" w:cs="Arial" w:eastAsiaTheme="majorEastAsia"/>
          <w:sz w:val="22"/>
          <w:szCs w:val="22"/>
        </w:rPr>
        <w:t xml:space="preserve"> </w:t>
      </w:r>
      <w:proofErr w:type="gramStart"/>
      <w:r w:rsidRPr="00F65FCF" w:rsidR="00813EF9">
        <w:rPr>
          <w:rFonts w:ascii="Arial" w:hAnsi="Arial" w:cs="Arial" w:eastAsiaTheme="majorEastAsia"/>
          <w:sz w:val="22"/>
          <w:szCs w:val="22"/>
        </w:rPr>
        <w:t>µ</w:t>
      </w:r>
      <w:r w:rsidRPr="00F65FCF">
        <w:rPr>
          <w:rFonts w:ascii="Arial" w:hAnsi="Arial" w:cs="Arial" w:eastAsiaTheme="majorEastAsia"/>
          <w:sz w:val="22"/>
          <w:szCs w:val="22"/>
        </w:rPr>
        <w:t>g</w:t>
      </w:r>
      <w:proofErr w:type="gramEnd"/>
      <w:r w:rsidRPr="00F65FCF">
        <w:rPr>
          <w:rFonts w:ascii="Arial" w:hAnsi="Arial" w:cs="Arial" w:eastAsiaTheme="majorEastAsia"/>
          <w:sz w:val="22"/>
          <w:szCs w:val="22"/>
        </w:rPr>
        <w:t>/mL of Matrigel in 0.7% NaCl solution with 0.05M Tris at pH 8 and incubated at 37</w:t>
      </w:r>
      <w:r w:rsidRPr="00F65FCF" w:rsidR="00F95D9A">
        <w:rPr>
          <w:rFonts w:ascii="Arial" w:hAnsi="Arial" w:cs="Arial" w:eastAsiaTheme="majorEastAsia"/>
          <w:sz w:val="22"/>
          <w:szCs w:val="22"/>
          <w:vertAlign w:val="superscript"/>
        </w:rPr>
        <w:t>o</w:t>
      </w:r>
      <w:r w:rsidRPr="00F65FCF">
        <w:rPr>
          <w:rFonts w:ascii="Arial" w:hAnsi="Arial" w:cs="Arial" w:eastAsiaTheme="majorEastAsia"/>
          <w:sz w:val="22"/>
          <w:szCs w:val="22"/>
        </w:rPr>
        <w:t xml:space="preserve">C for 30 minutes. Afterwards, the solution was aspirated and washed </w:t>
      </w:r>
      <w:r w:rsidR="00813EF9">
        <w:rPr>
          <w:rFonts w:ascii="Arial" w:hAnsi="Arial" w:cs="Arial" w:eastAsiaTheme="majorEastAsia"/>
          <w:sz w:val="22"/>
          <w:szCs w:val="22"/>
        </w:rPr>
        <w:t>one time</w:t>
      </w:r>
      <w:r w:rsidRPr="00F65FCF">
        <w:rPr>
          <w:rFonts w:ascii="Arial" w:hAnsi="Arial" w:cs="Arial" w:eastAsiaTheme="majorEastAsia"/>
          <w:sz w:val="22"/>
          <w:szCs w:val="22"/>
        </w:rPr>
        <w:t xml:space="preserve"> with PBS.</w:t>
      </w:r>
    </w:p>
    <w:p w:rsidRPr="00F65FCF" w:rsidR="00F65FCF" w:rsidP="00813EF9" w:rsidRDefault="00F65FCF" w14:paraId="54410A77" w14:textId="77777777">
      <w:pPr>
        <w:pStyle w:val="paragraph"/>
        <w:spacing w:before="0" w:beforeAutospacing="0" w:after="0" w:afterAutospacing="0" w:line="480" w:lineRule="auto"/>
        <w:jc w:val="both"/>
        <w:rPr>
          <w:rFonts w:ascii="Arial" w:hAnsi="Arial" w:cs="Arial" w:eastAsiaTheme="majorEastAsia"/>
          <w:sz w:val="22"/>
          <w:szCs w:val="22"/>
        </w:rPr>
      </w:pPr>
    </w:p>
    <w:p w:rsidRPr="00F65FCF" w:rsidR="0091148A" w:rsidP="00813EF9" w:rsidRDefault="0091148A" w14:paraId="40C93BE1" w14:textId="7E796D7D">
      <w:pPr>
        <w:pStyle w:val="paragraph"/>
        <w:spacing w:before="0" w:beforeAutospacing="0" w:after="0" w:afterAutospacing="0" w:line="480" w:lineRule="auto"/>
        <w:jc w:val="both"/>
        <w:rPr>
          <w:rFonts w:ascii="Arial" w:hAnsi="Arial" w:cs="Arial" w:eastAsiaTheme="majorEastAsia"/>
          <w:b/>
          <w:bCs/>
          <w:sz w:val="22"/>
          <w:szCs w:val="22"/>
        </w:rPr>
      </w:pPr>
      <w:r w:rsidRPr="00F65FCF">
        <w:rPr>
          <w:rFonts w:ascii="Arial" w:hAnsi="Arial" w:cs="Arial" w:eastAsiaTheme="majorEastAsia"/>
          <w:b/>
          <w:bCs/>
          <w:sz w:val="22"/>
          <w:szCs w:val="22"/>
        </w:rPr>
        <w:t>Transwell Invasion Assay</w:t>
      </w:r>
    </w:p>
    <w:p w:rsidR="0091148A" w:rsidP="00813EF9" w:rsidRDefault="0091148A" w14:paraId="030AF8F0" w14:textId="4CDD8056">
      <w:pPr>
        <w:pStyle w:val="paragraph"/>
        <w:spacing w:before="0" w:beforeAutospacing="0" w:after="0" w:afterAutospacing="0" w:line="480" w:lineRule="auto"/>
        <w:jc w:val="both"/>
        <w:rPr>
          <w:rFonts w:ascii="Arial" w:hAnsi="Arial" w:cs="Arial" w:eastAsiaTheme="majorEastAsia"/>
          <w:sz w:val="22"/>
          <w:szCs w:val="22"/>
        </w:rPr>
      </w:pPr>
      <w:r w:rsidRPr="00F65FCF">
        <w:rPr>
          <w:rFonts w:ascii="Arial" w:hAnsi="Arial" w:cs="Arial" w:eastAsiaTheme="majorEastAsia"/>
          <w:sz w:val="22"/>
          <w:szCs w:val="22"/>
        </w:rPr>
        <w:t>1x10</w:t>
      </w:r>
      <w:r w:rsidRPr="00F65FCF">
        <w:rPr>
          <w:rFonts w:ascii="Arial" w:hAnsi="Arial" w:cs="Arial" w:eastAsiaTheme="majorEastAsia"/>
          <w:sz w:val="22"/>
          <w:szCs w:val="22"/>
          <w:vertAlign w:val="superscript"/>
        </w:rPr>
        <w:t>5</w:t>
      </w:r>
      <w:r w:rsidRPr="00F65FCF">
        <w:rPr>
          <w:rFonts w:ascii="Arial" w:hAnsi="Arial" w:cs="Arial" w:eastAsiaTheme="majorEastAsia"/>
          <w:sz w:val="22"/>
          <w:szCs w:val="22"/>
        </w:rPr>
        <w:t xml:space="preserve"> NLS-EGFP labeled PDX cells were plated in the upper well of a Matrigel-coated </w:t>
      </w:r>
      <w:proofErr w:type="spellStart"/>
      <w:r w:rsidRPr="00F65FCF">
        <w:rPr>
          <w:rFonts w:ascii="Arial" w:hAnsi="Arial" w:cs="Arial" w:eastAsiaTheme="majorEastAsia"/>
          <w:sz w:val="22"/>
          <w:szCs w:val="22"/>
        </w:rPr>
        <w:t>fluoroblok</w:t>
      </w:r>
      <w:proofErr w:type="spellEnd"/>
      <w:r w:rsidRPr="00F65FCF">
        <w:rPr>
          <w:rFonts w:ascii="Arial" w:hAnsi="Arial" w:cs="Arial" w:eastAsiaTheme="majorEastAsia"/>
          <w:sz w:val="22"/>
          <w:szCs w:val="22"/>
        </w:rPr>
        <w:t xml:space="preserve"> transwell insert in 300</w:t>
      </w:r>
      <w:r w:rsidR="00813EF9">
        <w:rPr>
          <w:rFonts w:ascii="Arial" w:hAnsi="Arial" w:cs="Arial" w:eastAsiaTheme="majorEastAsia"/>
          <w:sz w:val="22"/>
          <w:szCs w:val="22"/>
        </w:rPr>
        <w:t xml:space="preserve"> </w:t>
      </w:r>
      <w:r w:rsidRPr="00F65FCF">
        <w:rPr>
          <w:rFonts w:ascii="Arial" w:hAnsi="Arial" w:cs="Arial" w:eastAsiaTheme="majorEastAsia"/>
          <w:sz w:val="22"/>
          <w:szCs w:val="22"/>
        </w:rPr>
        <w:t>µL of PDX media. 100</w:t>
      </w:r>
      <w:r w:rsidR="00813EF9">
        <w:rPr>
          <w:rFonts w:ascii="Arial" w:hAnsi="Arial" w:cs="Arial" w:eastAsiaTheme="majorEastAsia"/>
          <w:sz w:val="22"/>
          <w:szCs w:val="22"/>
        </w:rPr>
        <w:t xml:space="preserve"> </w:t>
      </w:r>
      <w:r w:rsidRPr="00F65FCF">
        <w:rPr>
          <w:rFonts w:ascii="Arial" w:hAnsi="Arial" w:cs="Arial" w:eastAsiaTheme="majorEastAsia"/>
          <w:sz w:val="22"/>
          <w:szCs w:val="22"/>
        </w:rPr>
        <w:t>µL of conditioned media or fresh media was added to the upper well. The lower well contained 630</w:t>
      </w:r>
      <w:r w:rsidR="00813EF9">
        <w:rPr>
          <w:rFonts w:ascii="Arial" w:hAnsi="Arial" w:cs="Arial" w:eastAsiaTheme="majorEastAsia"/>
          <w:sz w:val="22"/>
          <w:szCs w:val="22"/>
        </w:rPr>
        <w:t xml:space="preserve"> </w:t>
      </w:r>
      <w:r w:rsidRPr="00F65FCF" w:rsidR="00813EF9">
        <w:rPr>
          <w:rFonts w:ascii="Arial" w:hAnsi="Arial" w:cs="Arial" w:eastAsiaTheme="majorEastAsia"/>
          <w:sz w:val="22"/>
          <w:szCs w:val="22"/>
        </w:rPr>
        <w:t>µ</w:t>
      </w:r>
      <w:r w:rsidRPr="00F65FCF">
        <w:rPr>
          <w:rFonts w:ascii="Arial" w:hAnsi="Arial" w:cs="Arial" w:eastAsiaTheme="majorEastAsia"/>
          <w:sz w:val="22"/>
          <w:szCs w:val="22"/>
        </w:rPr>
        <w:t>L of fresh PDX media. At the start of the assay, 70</w:t>
      </w:r>
      <w:r w:rsidR="00813EF9">
        <w:rPr>
          <w:rFonts w:ascii="Arial" w:hAnsi="Arial" w:cs="Arial" w:eastAsiaTheme="majorEastAsia"/>
          <w:sz w:val="22"/>
          <w:szCs w:val="22"/>
        </w:rPr>
        <w:t xml:space="preserve"> </w:t>
      </w:r>
      <w:r w:rsidRPr="00F65FCF" w:rsidR="00813EF9">
        <w:rPr>
          <w:rFonts w:ascii="Arial" w:hAnsi="Arial" w:cs="Arial" w:eastAsiaTheme="majorEastAsia"/>
          <w:sz w:val="22"/>
          <w:szCs w:val="22"/>
        </w:rPr>
        <w:t>µ</w:t>
      </w:r>
      <w:r w:rsidRPr="00F65FCF">
        <w:rPr>
          <w:rFonts w:ascii="Arial" w:hAnsi="Arial" w:cs="Arial" w:eastAsiaTheme="majorEastAsia"/>
          <w:sz w:val="22"/>
          <w:szCs w:val="22"/>
        </w:rPr>
        <w:t>L of FBS was added to the lower well. Images were taken at baseline and every 6 hours</w:t>
      </w:r>
      <w:r w:rsidR="00C141DE">
        <w:rPr>
          <w:rFonts w:ascii="Arial" w:hAnsi="Arial" w:cs="Arial" w:eastAsiaTheme="majorEastAsia"/>
          <w:sz w:val="22"/>
          <w:szCs w:val="22"/>
        </w:rPr>
        <w:t xml:space="preserve"> for 72 hours</w:t>
      </w:r>
      <w:r w:rsidRPr="00F65FCF">
        <w:rPr>
          <w:rFonts w:ascii="Arial" w:hAnsi="Arial" w:cs="Arial" w:eastAsiaTheme="majorEastAsia"/>
          <w:sz w:val="22"/>
          <w:szCs w:val="22"/>
        </w:rPr>
        <w:t xml:space="preserve"> </w:t>
      </w:r>
      <w:r w:rsidRPr="00F65FCF">
        <w:rPr>
          <w:rFonts w:ascii="Arial" w:hAnsi="Arial" w:cs="Arial"/>
          <w:sz w:val="22"/>
          <w:szCs w:val="22"/>
        </w:rPr>
        <w:t xml:space="preserve">using a </w:t>
      </w:r>
      <w:proofErr w:type="spellStart"/>
      <w:r w:rsidRPr="00F65FCF">
        <w:rPr>
          <w:rFonts w:ascii="Arial" w:hAnsi="Arial" w:cs="Arial"/>
          <w:sz w:val="22"/>
          <w:szCs w:val="22"/>
        </w:rPr>
        <w:t>Cytation</w:t>
      </w:r>
      <w:proofErr w:type="spellEnd"/>
      <w:r w:rsidRPr="00F65FCF">
        <w:rPr>
          <w:rFonts w:ascii="Arial" w:hAnsi="Arial" w:cs="Arial"/>
          <w:sz w:val="22"/>
          <w:szCs w:val="22"/>
        </w:rPr>
        <w:t xml:space="preserve"> 5</w:t>
      </w:r>
      <w:r w:rsidR="00813EF9">
        <w:rPr>
          <w:rFonts w:ascii="Arial" w:hAnsi="Arial" w:cs="Arial"/>
          <w:sz w:val="22"/>
          <w:szCs w:val="22"/>
        </w:rPr>
        <w:t xml:space="preserve"> imager</w:t>
      </w:r>
      <w:r w:rsidRPr="00F65FCF">
        <w:rPr>
          <w:rFonts w:ascii="Arial" w:hAnsi="Arial" w:cs="Arial"/>
          <w:sz w:val="22"/>
          <w:szCs w:val="22"/>
        </w:rPr>
        <w:t xml:space="preserve">. The number of GBM cells that migrated through the membrane were analyzed using Gen5 software. </w:t>
      </w:r>
      <w:r w:rsidRPr="00F65FCF">
        <w:rPr>
          <w:rFonts w:ascii="Arial" w:hAnsi="Arial" w:cs="Arial" w:eastAsiaTheme="majorEastAsia"/>
          <w:sz w:val="22"/>
          <w:szCs w:val="22"/>
        </w:rPr>
        <w:t>Experiments were performed in technical quadruplicate using three separate biological donors. Statistical analysis was performed using a one-way ANOVA</w:t>
      </w:r>
      <w:r w:rsidR="00813EF9">
        <w:rPr>
          <w:rFonts w:ascii="Arial" w:hAnsi="Arial" w:cs="Arial" w:eastAsiaTheme="majorEastAsia"/>
          <w:sz w:val="22"/>
          <w:szCs w:val="22"/>
        </w:rPr>
        <w:t xml:space="preserve"> (n=4 per group)</w:t>
      </w:r>
      <w:r w:rsidRPr="00F65FCF">
        <w:rPr>
          <w:rFonts w:ascii="Arial" w:hAnsi="Arial" w:cs="Arial" w:eastAsiaTheme="majorEastAsia"/>
          <w:sz w:val="22"/>
          <w:szCs w:val="22"/>
        </w:rPr>
        <w:t>.</w:t>
      </w:r>
    </w:p>
    <w:p w:rsidRPr="00F65FCF" w:rsidR="00F65FCF" w:rsidP="00813EF9" w:rsidRDefault="00F65FCF" w14:paraId="49082ADD" w14:textId="77777777">
      <w:pPr>
        <w:pStyle w:val="paragraph"/>
        <w:spacing w:before="0" w:beforeAutospacing="0" w:after="0" w:afterAutospacing="0" w:line="480" w:lineRule="auto"/>
        <w:jc w:val="both"/>
        <w:rPr>
          <w:rFonts w:ascii="Arial" w:hAnsi="Arial" w:cs="Arial" w:eastAsiaTheme="majorEastAsia"/>
          <w:sz w:val="22"/>
          <w:szCs w:val="22"/>
        </w:rPr>
      </w:pPr>
    </w:p>
    <w:p w:rsidRPr="00F65FCF" w:rsidR="0091148A" w:rsidP="00813EF9" w:rsidRDefault="0091148A" w14:paraId="6A439D19" w14:textId="5637EFA1">
      <w:pPr>
        <w:pStyle w:val="paragraph"/>
        <w:spacing w:before="0" w:beforeAutospacing="0" w:after="0" w:afterAutospacing="0" w:line="480" w:lineRule="auto"/>
        <w:jc w:val="both"/>
        <w:rPr>
          <w:rFonts w:ascii="Arial" w:hAnsi="Arial" w:cs="Arial" w:eastAsiaTheme="majorEastAsia"/>
          <w:b/>
          <w:bCs/>
          <w:sz w:val="22"/>
          <w:szCs w:val="22"/>
        </w:rPr>
      </w:pPr>
      <w:r w:rsidRPr="00F65FCF">
        <w:rPr>
          <w:rFonts w:ascii="Arial" w:hAnsi="Arial" w:cs="Arial" w:eastAsiaTheme="majorEastAsia"/>
          <w:b/>
          <w:bCs/>
          <w:sz w:val="22"/>
          <w:szCs w:val="22"/>
        </w:rPr>
        <w:t>PDX RT-</w:t>
      </w:r>
      <w:r w:rsidRPr="00F65FCF" w:rsidR="00C141DE">
        <w:rPr>
          <w:rFonts w:ascii="Arial" w:hAnsi="Arial" w:cs="Arial" w:eastAsiaTheme="majorEastAsia"/>
          <w:b/>
          <w:bCs/>
          <w:sz w:val="22"/>
          <w:szCs w:val="22"/>
        </w:rPr>
        <w:t>sensitivity</w:t>
      </w:r>
      <w:r w:rsidRPr="00F65FCF">
        <w:rPr>
          <w:rFonts w:ascii="Arial" w:hAnsi="Arial" w:cs="Arial" w:eastAsiaTheme="majorEastAsia"/>
          <w:b/>
          <w:bCs/>
          <w:sz w:val="22"/>
          <w:szCs w:val="22"/>
        </w:rPr>
        <w:t xml:space="preserve"> Assay</w:t>
      </w:r>
    </w:p>
    <w:p w:rsidRPr="00F65FCF" w:rsidR="0091148A" w:rsidP="00813EF9" w:rsidRDefault="0091148A" w14:paraId="68124A00" w14:textId="304E7410">
      <w:pPr>
        <w:pStyle w:val="paragraph"/>
        <w:spacing w:before="0" w:beforeAutospacing="0" w:after="0" w:afterAutospacing="0" w:line="480" w:lineRule="auto"/>
        <w:jc w:val="both"/>
        <w:rPr>
          <w:rFonts w:ascii="Arial" w:hAnsi="Arial" w:cs="Arial" w:eastAsiaTheme="majorEastAsia"/>
          <w:b/>
          <w:bCs/>
          <w:sz w:val="22"/>
          <w:szCs w:val="22"/>
        </w:rPr>
      </w:pPr>
      <w:r w:rsidRPr="00F65FCF">
        <w:rPr>
          <w:rStyle w:val="normaltextrun"/>
          <w:rFonts w:ascii="Arial" w:hAnsi="Arial" w:cs="Arial" w:eastAsiaTheme="majorEastAsia"/>
          <w:sz w:val="22"/>
          <w:szCs w:val="22"/>
        </w:rPr>
        <w:t xml:space="preserve">2000 PDX cells were seeded in a </w:t>
      </w:r>
      <w:proofErr w:type="spellStart"/>
      <w:r w:rsidRPr="00F65FCF">
        <w:rPr>
          <w:rStyle w:val="normaltextrun"/>
          <w:rFonts w:ascii="Arial" w:hAnsi="Arial" w:cs="Arial" w:eastAsiaTheme="majorEastAsia"/>
          <w:sz w:val="22"/>
          <w:szCs w:val="22"/>
        </w:rPr>
        <w:t>Geltex</w:t>
      </w:r>
      <w:proofErr w:type="spellEnd"/>
      <w:r w:rsidRPr="00F65FCF" w:rsidR="001C081F">
        <w:rPr>
          <w:rStyle w:val="normaltextrun"/>
          <w:rFonts w:ascii="Arial" w:hAnsi="Arial" w:cs="Arial" w:eastAsiaTheme="majorEastAsia"/>
          <w:sz w:val="22"/>
          <w:szCs w:val="22"/>
        </w:rPr>
        <w:t xml:space="preserve"> (#A1569601, </w:t>
      </w:r>
      <w:proofErr w:type="spellStart"/>
      <w:r w:rsidRPr="00F65FCF" w:rsidR="001C081F">
        <w:rPr>
          <w:rStyle w:val="normaltextrun"/>
          <w:rFonts w:ascii="Arial" w:hAnsi="Arial" w:cs="Arial" w:eastAsiaTheme="majorEastAsia"/>
          <w:sz w:val="22"/>
          <w:szCs w:val="22"/>
        </w:rPr>
        <w:t>ThermoFisher</w:t>
      </w:r>
      <w:proofErr w:type="spellEnd"/>
      <w:r w:rsidRPr="00F65FCF" w:rsidR="001C081F">
        <w:rPr>
          <w:rStyle w:val="normaltextrun"/>
          <w:rFonts w:ascii="Arial" w:hAnsi="Arial" w:cs="Arial" w:eastAsiaTheme="majorEastAsia"/>
          <w:sz w:val="22"/>
          <w:szCs w:val="22"/>
        </w:rPr>
        <w:t>, USA)</w:t>
      </w:r>
      <w:r w:rsidRPr="00F65FCF">
        <w:rPr>
          <w:rStyle w:val="normaltextrun"/>
          <w:rFonts w:ascii="Arial" w:hAnsi="Arial" w:cs="Arial" w:eastAsiaTheme="majorEastAsia"/>
          <w:sz w:val="22"/>
          <w:szCs w:val="22"/>
        </w:rPr>
        <w:t>-coated 96 well plate and allowed to rest for 24 hours. Afterwards, they were irradiated with 0, 3, or 5</w:t>
      </w:r>
      <w:r w:rsidR="00813EF9">
        <w:rPr>
          <w:rStyle w:val="normaltextrun"/>
          <w:rFonts w:ascii="Arial" w:hAnsi="Arial" w:cs="Arial" w:eastAsiaTheme="majorEastAsia"/>
          <w:sz w:val="22"/>
          <w:szCs w:val="22"/>
        </w:rPr>
        <w:t xml:space="preserve"> </w:t>
      </w:r>
      <w:r w:rsidRPr="00F65FCF">
        <w:rPr>
          <w:rStyle w:val="normaltextrun"/>
          <w:rFonts w:ascii="Arial" w:hAnsi="Arial" w:cs="Arial" w:eastAsiaTheme="majorEastAsia"/>
          <w:sz w:val="22"/>
          <w:szCs w:val="22"/>
        </w:rPr>
        <w:t xml:space="preserve">Gy radiation. </w:t>
      </w:r>
      <w:proofErr w:type="spellStart"/>
      <w:r w:rsidRPr="00F65FCF">
        <w:rPr>
          <w:rStyle w:val="normaltextrun"/>
          <w:rFonts w:ascii="Arial" w:hAnsi="Arial" w:cs="Arial" w:eastAsiaTheme="majorEastAsia"/>
          <w:sz w:val="22"/>
          <w:szCs w:val="22"/>
        </w:rPr>
        <w:t>CellTiter</w:t>
      </w:r>
      <w:proofErr w:type="spellEnd"/>
      <w:r w:rsidRPr="00F65FCF">
        <w:rPr>
          <w:rStyle w:val="normaltextrun"/>
          <w:rFonts w:ascii="Arial" w:hAnsi="Arial" w:cs="Arial" w:eastAsiaTheme="majorEastAsia"/>
          <w:sz w:val="22"/>
          <w:szCs w:val="22"/>
        </w:rPr>
        <w:t xml:space="preserve">-Glo 2.0 (Promega Cat: G9241) assay was performed 5 days later according to </w:t>
      </w:r>
      <w:r w:rsidRPr="00F65FCF">
        <w:rPr>
          <w:rStyle w:val="normaltextrun"/>
          <w:rFonts w:ascii="Arial" w:hAnsi="Arial" w:cs="Arial" w:eastAsiaTheme="majorEastAsia"/>
          <w:sz w:val="22"/>
          <w:szCs w:val="22"/>
        </w:rPr>
        <w:lastRenderedPageBreak/>
        <w:t>manufacturer protocol. Results were normalized to the 0Gy condition. Statistical analysis was performed using a two-way ANOVA</w:t>
      </w:r>
      <w:r w:rsidR="00C141DE">
        <w:rPr>
          <w:rStyle w:val="normaltextrun"/>
          <w:rFonts w:ascii="Arial" w:hAnsi="Arial" w:cs="Arial" w:eastAsiaTheme="majorEastAsia"/>
          <w:sz w:val="22"/>
          <w:szCs w:val="22"/>
        </w:rPr>
        <w:t xml:space="preserve"> (n = 3-4 per group)</w:t>
      </w:r>
      <w:r w:rsidRPr="00F65FCF">
        <w:rPr>
          <w:rStyle w:val="normaltextrun"/>
          <w:rFonts w:ascii="Arial" w:hAnsi="Arial" w:cs="Arial" w:eastAsiaTheme="majorEastAsia"/>
          <w:sz w:val="22"/>
          <w:szCs w:val="22"/>
        </w:rPr>
        <w:t>.</w:t>
      </w:r>
    </w:p>
    <w:p w:rsidRPr="00F65FCF" w:rsidR="0091148A" w:rsidP="00F65FCF" w:rsidRDefault="0091148A" w14:paraId="04A45A02" w14:textId="77777777">
      <w:pPr>
        <w:spacing w:line="480" w:lineRule="auto"/>
        <w:rPr>
          <w:rFonts w:ascii="Arial" w:hAnsi="Arial" w:cs="Arial"/>
          <w:b/>
          <w:bCs/>
          <w:kern w:val="0"/>
          <w14:ligatures w14:val="none"/>
        </w:rPr>
      </w:pPr>
    </w:p>
    <w:p w:rsidRPr="00F65FCF" w:rsidR="00FD0FAE" w:rsidP="00F65FCF" w:rsidRDefault="00FD0FAE" w14:paraId="7CAC09E2" w14:textId="4333E340">
      <w:pPr>
        <w:spacing w:line="480" w:lineRule="auto"/>
        <w:rPr>
          <w:rFonts w:ascii="Arial" w:hAnsi="Arial" w:cs="Arial"/>
          <w:b/>
          <w:bCs/>
          <w:kern w:val="0"/>
          <w14:ligatures w14:val="none"/>
        </w:rPr>
      </w:pPr>
      <w:r w:rsidRPr="00F65FCF">
        <w:rPr>
          <w:rFonts w:ascii="Arial" w:hAnsi="Arial" w:cs="Arial"/>
          <w:b/>
          <w:bCs/>
          <w:kern w:val="0"/>
          <w14:ligatures w14:val="none"/>
        </w:rPr>
        <w:br w:type="page"/>
      </w:r>
    </w:p>
    <w:p w:rsidRPr="00F65FCF" w:rsidR="00FD0FAE" w:rsidP="00F65FCF" w:rsidRDefault="00FD0FAE" w14:paraId="247E94C2" w14:textId="57B1AA86">
      <w:pPr>
        <w:spacing w:line="480" w:lineRule="auto"/>
        <w:rPr>
          <w:rFonts w:ascii="Arial" w:hAnsi="Arial" w:cs="Arial"/>
          <w:b w:val="1"/>
          <w:bCs w:val="1"/>
        </w:rPr>
      </w:pPr>
      <w:r w:rsidRPr="0F6F0B6D" w:rsidR="0F6F0B6D">
        <w:rPr>
          <w:rFonts w:ascii="Arial" w:hAnsi="Arial" w:cs="Arial"/>
          <w:b w:val="1"/>
          <w:bCs w:val="1"/>
        </w:rPr>
        <w:t>S Fig.</w:t>
      </w:r>
      <w:r w:rsidRPr="0F6F0B6D" w:rsidR="0F6F0B6D">
        <w:rPr>
          <w:rFonts w:ascii="Arial" w:hAnsi="Arial" w:cs="Arial"/>
          <w:b w:val="1"/>
          <w:bCs w:val="1"/>
        </w:rPr>
        <w:t xml:space="preserve"> Legends</w:t>
      </w:r>
    </w:p>
    <w:p w:rsidRPr="00F65FCF" w:rsidR="00FD0FAE" w:rsidP="00F65FCF" w:rsidRDefault="00F95D9A" w14:paraId="0EBC12B5" w14:textId="498B65C9">
      <w:pPr>
        <w:spacing w:line="480" w:lineRule="auto"/>
        <w:rPr>
          <w:rFonts w:ascii="Arial" w:hAnsi="Arial" w:cs="Arial"/>
        </w:rPr>
      </w:pPr>
      <w:r w:rsidRPr="00F65FCF">
        <w:rPr>
          <w:rFonts w:ascii="Arial" w:hAnsi="Arial" w:cs="Arial"/>
          <w:noProof/>
        </w:rPr>
        <w:drawing>
          <wp:inline distT="0" distB="0" distL="0" distR="0" wp14:anchorId="03CCAEBC" wp14:editId="7EAF43D2">
            <wp:extent cx="5943259" cy="7691755"/>
            <wp:effectExtent l="0" t="0" r="635" b="4445"/>
            <wp:docPr id="588444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44446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59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5FCF" w:rsidR="00F95D9A" w:rsidP="00F65FCF" w:rsidRDefault="00FD0FAE" w14:paraId="12AC7289" w14:textId="3E7C60DF">
      <w:pPr>
        <w:spacing w:line="480" w:lineRule="auto"/>
        <w:rPr>
          <w:rFonts w:ascii="Arial" w:hAnsi="Arial" w:cs="Arial"/>
        </w:rPr>
      </w:pPr>
      <w:r w:rsidRPr="00F65FCF">
        <w:rPr>
          <w:rFonts w:ascii="Arial" w:hAnsi="Arial" w:cs="Arial"/>
          <w:b w:val="1"/>
          <w:bCs w:val="1"/>
        </w:rPr>
        <w:t xml:space="preserve">S Fig.</w:t>
      </w:r>
      <w:r w:rsidRPr="00F65FCF">
        <w:rPr>
          <w:rFonts w:ascii="Arial" w:hAnsi="Arial" w:cs="Arial"/>
          <w:b w:val="1"/>
          <w:bCs w:val="1"/>
        </w:rPr>
        <w:lastRenderedPageBreak/>
        <w:t xml:space="preserve"> 1: THP-1-derived M2 macrophages fail to fully mimic canonical M2 phenotypes. (A) </w:t>
      </w:r>
      <w:r w:rsidRPr="00F65FCF">
        <w:rPr>
          <w:rFonts w:ascii="Arial" w:hAnsi="Arial" w:cs="Arial"/>
        </w:rPr>
        <w:t xml:space="preserve">Representative images of THP-1 macrophages stained for CD206 following stimulation with or without IL-4/IL-13. </w:t>
      </w:r>
      <w:r w:rsidRPr="00F65FCF">
        <w:rPr>
          <w:rFonts w:ascii="Arial" w:hAnsi="Arial" w:cs="Arial"/>
          <w:b w:val="1"/>
          <w:bCs w:val="1"/>
        </w:rPr>
        <w:t xml:space="preserve">(B) </w:t>
      </w:r>
      <w:r w:rsidRPr="00F65FCF">
        <w:rPr>
          <w:rFonts w:ascii="Arial" w:hAnsi="Arial" w:cs="Arial"/>
        </w:rPr>
        <w:t xml:space="preserve">Quantification of MFI of CD206. </w:t>
      </w:r>
      <w:r w:rsidRPr="00F65FCF">
        <w:rPr>
          <w:rFonts w:ascii="Arial" w:hAnsi="Arial" w:cs="Arial"/>
          <w:b w:val="1"/>
          <w:bCs w:val="1"/>
        </w:rPr>
        <w:t xml:space="preserve">(C-E) </w:t>
      </w:r>
      <w:r w:rsidRPr="00F65FCF">
        <w:rPr>
          <w:rFonts w:ascii="Arial" w:hAnsi="Arial" w:cs="Arial"/>
        </w:rPr>
        <w:t xml:space="preserve">GAPDH-normalized expression of IL-1β, TNFα, and IL-10 assessed through dPCR. </w:t>
      </w:r>
      <w:r w:rsidRPr="00F65FCF">
        <w:rPr>
          <w:rFonts w:ascii="Arial" w:hAnsi="Arial" w:cs="Arial"/>
          <w:b w:val="1"/>
          <w:bCs w:val="1"/>
        </w:rPr>
        <w:t xml:space="preserve">(F) </w:t>
      </w:r>
      <w:r w:rsidRPr="00F65FCF">
        <w:rPr>
          <w:rFonts w:ascii="Arial" w:hAnsi="Arial" w:cs="Arial"/>
        </w:rPr>
        <w:t>Heatmap showing the absolute concentrations (</w:t>
      </w:r>
      <w:proofErr w:type="spellStart"/>
      <w:r w:rsidRPr="00F65FCF">
        <w:rPr>
          <w:rFonts w:ascii="Arial" w:hAnsi="Arial" w:cs="Arial"/>
        </w:rPr>
        <w:t>pg</w:t>
      </w:r>
      <w:proofErr w:type="spellEnd"/>
      <w:r w:rsidRPr="00F65FCF">
        <w:rPr>
          <w:rFonts w:ascii="Arial" w:hAnsi="Arial" w:cs="Arial"/>
        </w:rPr>
        <w:t xml:space="preserve">/mL) of 20 cytokines produced by THP-1 macrophages polarized to M0, M1, M2, and 39P-RT TAM states. </w:t>
      </w:r>
      <w:r w:rsidRPr="00F65FCF">
        <w:rPr>
          <w:rFonts w:ascii="Arial" w:hAnsi="Arial" w:cs="Arial"/>
          <w:b w:val="1"/>
          <w:bCs w:val="1"/>
        </w:rPr>
        <w:t xml:space="preserve">(G) </w:t>
      </w:r>
      <w:r w:rsidRPr="00F65FCF">
        <w:rPr>
          <w:rFonts w:ascii="Arial" w:hAnsi="Arial" w:cs="Arial"/>
        </w:rPr>
        <w:t xml:space="preserve">Heatmap showing the log-fold change of the 20 cytokines produced by M1, M2, and JX39P-RT macrophages relative to M0. </w:t>
      </w:r>
      <w:r w:rsidRPr="00F65FCF">
        <w:rPr>
          <w:rFonts w:ascii="Arial" w:hAnsi="Arial" w:cs="Arial"/>
          <w:b w:val="1"/>
          <w:bCs w:val="1"/>
        </w:rPr>
        <w:t xml:space="preserve">(H-I) </w:t>
      </w:r>
      <w:r w:rsidRPr="00F65FCF">
        <w:rPr>
          <w:rFonts w:ascii="Arial" w:hAnsi="Arial" w:cs="Arial"/>
        </w:rPr>
        <w:t xml:space="preserve">Percent phagocytosis of THP-1 macrophages polarized to various states against 39P and 39P-RT. </w:t>
      </w:r>
      <w:r w:rsidRPr="00F65FCF">
        <w:rPr>
          <w:rFonts w:ascii="Arial" w:hAnsi="Arial" w:cs="Arial"/>
          <w:b w:val="1"/>
          <w:bCs w:val="1"/>
        </w:rPr>
        <w:t>(J)</w:t>
      </w:r>
      <w:r w:rsidRPr="00F65FCF">
        <w:rPr>
          <w:rFonts w:ascii="Arial" w:hAnsi="Arial" w:cs="Arial"/>
        </w:rPr>
        <w:t xml:space="preserve"> Number of invading NLS-</w:t>
      </w:r>
      <w:proofErr w:type="spellStart"/>
      <w:r w:rsidRPr="00F65FCF">
        <w:rPr>
          <w:rFonts w:ascii="Arial" w:hAnsi="Arial" w:cs="Arial"/>
        </w:rPr>
        <w:t>mC</w:t>
      </w:r>
      <w:proofErr w:type="spellEnd"/>
      <w:r w:rsidRPr="00F65FCF">
        <w:rPr>
          <w:rFonts w:ascii="Arial" w:hAnsi="Arial" w:cs="Arial"/>
        </w:rPr>
        <w:t xml:space="preserve"> labeled 39P cells. Data are displayed as Mean ± SD</w:t>
      </w:r>
      <w:r w:rsidR="00C141DE">
        <w:rPr>
          <w:rFonts w:ascii="Arial" w:hAnsi="Arial" w:cs="Arial"/>
        </w:rPr>
        <w:t xml:space="preserve">. </w:t>
      </w:r>
      <w:r w:rsidRPr="00430DDD" w:rsidR="00C141DE">
        <w:rPr>
          <w:rFonts w:ascii="Arial" w:hAnsi="Arial" w:cs="Arial"/>
        </w:rPr>
        <w:t xml:space="preserve">* </w:t>
      </w:r>
      <w:r w:rsidRPr="0F6F0B6D" w:rsidR="00C141DE">
        <w:rPr>
          <w:rFonts w:ascii="Arial" w:hAnsi="Arial" w:cs="Arial"/>
          <w:i w:val="1"/>
          <w:iCs w:val="1"/>
        </w:rPr>
        <w:t>P&lt;</w:t>
      </w:r>
      <w:r w:rsidRPr="00430DDD" w:rsidR="00C141DE">
        <w:rPr>
          <w:rFonts w:ascii="Arial" w:hAnsi="Arial" w:cs="Arial"/>
        </w:rPr>
        <w:t xml:space="preserve">0.05, ** </w:t>
      </w:r>
      <w:r w:rsidRPr="0F6F0B6D" w:rsidR="00C141DE">
        <w:rPr>
          <w:rFonts w:ascii="Arial" w:hAnsi="Arial" w:cs="Arial"/>
          <w:i w:val="1"/>
          <w:iCs w:val="1"/>
        </w:rPr>
        <w:t>P&lt;</w:t>
      </w:r>
      <w:r w:rsidRPr="00430DDD" w:rsidR="00C141DE">
        <w:rPr>
          <w:rFonts w:ascii="Arial" w:hAnsi="Arial" w:cs="Arial"/>
        </w:rPr>
        <w:t xml:space="preserve">0.01, *** </w:t>
      </w:r>
      <w:r w:rsidRPr="0F6F0B6D" w:rsidR="00C141DE">
        <w:rPr>
          <w:rFonts w:ascii="Arial" w:hAnsi="Arial" w:cs="Arial"/>
          <w:i w:val="1"/>
          <w:iCs w:val="1"/>
        </w:rPr>
        <w:t>P&lt;</w:t>
      </w:r>
      <w:r w:rsidRPr="00430DDD" w:rsidR="00C141DE">
        <w:rPr>
          <w:rFonts w:ascii="Arial" w:hAnsi="Arial" w:cs="Arial"/>
        </w:rPr>
        <w:t xml:space="preserve">0.001, **** </w:t>
      </w:r>
      <w:r w:rsidRPr="0F6F0B6D" w:rsidR="00C141DE">
        <w:rPr>
          <w:rFonts w:ascii="Arial" w:hAnsi="Arial" w:cs="Arial"/>
          <w:i w:val="1"/>
          <w:iCs w:val="1"/>
        </w:rPr>
        <w:t>P&lt;</w:t>
      </w:r>
      <w:r w:rsidRPr="00430DDD" w:rsidR="00C141DE">
        <w:rPr>
          <w:rFonts w:ascii="Arial" w:hAnsi="Arial" w:cs="Arial"/>
        </w:rPr>
        <w:t>0.0001</w:t>
      </w:r>
      <w:r w:rsidRPr="00F65FCF" w:rsidR="00F95D9A">
        <w:rPr>
          <w:rFonts w:ascii="Arial" w:hAnsi="Arial" w:cs="Arial"/>
          <w:noProof/>
        </w:rPr>
        <w:drawing>
          <wp:inline distT="0" distB="0" distL="0" distR="0" wp14:anchorId="03030762" wp14:editId="23D00728">
            <wp:extent cx="5943600" cy="3114921"/>
            <wp:effectExtent l="0" t="0" r="0" b="9525"/>
            <wp:docPr id="678690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69085" name="Picture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" t="14896" r="8" b="44614"/>
                    <a:stretch/>
                  </pic:blipFill>
                  <pic:spPr bwMode="auto">
                    <a:xfrm>
                      <a:off x="0" y="0"/>
                      <a:ext cx="5943600" cy="3114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65FCF" w:rsidR="00753369" w:rsidP="00F65FCF" w:rsidRDefault="00FD0FAE" w14:paraId="7680B218" w14:textId="1B55060C">
      <w:pPr>
        <w:spacing w:line="480" w:lineRule="auto"/>
        <w:rPr>
          <w:rFonts w:ascii="Arial" w:hAnsi="Arial" w:cs="Arial"/>
        </w:rPr>
      </w:pPr>
      <w:r w:rsidRPr="0F6F0B6D" w:rsidR="0F6F0B6D">
        <w:rPr>
          <w:rFonts w:ascii="Arial" w:hAnsi="Arial" w:cs="Arial"/>
          <w:b w:val="1"/>
          <w:bCs w:val="1"/>
        </w:rPr>
        <w:t>S Fig.</w:t>
      </w:r>
      <w:r w:rsidRPr="0F6F0B6D" w:rsidR="0F6F0B6D">
        <w:rPr>
          <w:rFonts w:ascii="Arial" w:hAnsi="Arial" w:cs="Arial"/>
          <w:b w:val="1"/>
          <w:bCs w:val="1"/>
        </w:rPr>
        <w:t xml:space="preserve"> 2: 14P-RT maintains its radiation resistant phenotype in vitro. </w:t>
      </w:r>
      <w:r w:rsidRPr="0F6F0B6D" w:rsidR="0F6F0B6D">
        <w:rPr>
          <w:rFonts w:ascii="Arial" w:hAnsi="Arial" w:cs="Arial"/>
        </w:rPr>
        <w:t xml:space="preserve">Relative viability of 14P and 14P-RT cells measured 5 days after radiation. Data are displayed as Mean ± SD. **** indicates </w:t>
      </w:r>
      <w:r w:rsidRPr="0F6F0B6D" w:rsidR="0F6F0B6D">
        <w:rPr>
          <w:rFonts w:ascii="Arial" w:hAnsi="Arial" w:cs="Arial"/>
          <w:i w:val="1"/>
          <w:iCs w:val="1"/>
        </w:rPr>
        <w:t>P</w:t>
      </w:r>
      <w:r w:rsidRPr="0F6F0B6D" w:rsidR="0F6F0B6D">
        <w:rPr>
          <w:rFonts w:ascii="Arial" w:hAnsi="Arial" w:cs="Arial"/>
        </w:rPr>
        <w:t>&lt;0.0001 while ns indicates non-significant.</w:t>
      </w:r>
    </w:p>
    <w:p w:rsidRPr="00F65FCF" w:rsidR="00FD0FAE" w:rsidP="00F65FCF" w:rsidRDefault="00FD0FAE" w14:paraId="3608275F" w14:textId="423D3FED">
      <w:pPr>
        <w:spacing w:line="480" w:lineRule="auto"/>
        <w:rPr>
          <w:rFonts w:ascii="Arial" w:hAnsi="Arial" w:cs="Arial"/>
        </w:rPr>
      </w:pPr>
    </w:p>
    <w:p w:rsidRPr="00F65FCF" w:rsidR="00F95D9A" w:rsidP="00F65FCF" w:rsidRDefault="00F95D9A" w14:paraId="0A9AF053" w14:textId="52D8AC13">
      <w:pPr>
        <w:spacing w:line="480" w:lineRule="auto"/>
        <w:rPr>
          <w:rFonts w:ascii="Arial" w:hAnsi="Arial" w:cs="Arial"/>
        </w:rPr>
      </w:pPr>
      <w:r w:rsidRPr="00F65FCF">
        <w:rPr>
          <w:rFonts w:ascii="Arial" w:hAnsi="Arial" w:cs="Arial"/>
          <w:noProof/>
        </w:rPr>
        <w:lastRenderedPageBreak/>
        <w:drawing>
          <wp:inline distT="0" distB="0" distL="0" distR="0" wp14:anchorId="5D4E49A4" wp14:editId="1CFCA844">
            <wp:extent cx="5943600" cy="5867098"/>
            <wp:effectExtent l="0" t="0" r="0" b="635"/>
            <wp:docPr id="8064718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471834" name="Picture 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24" t="15930" r="824" b="7871"/>
                    <a:stretch/>
                  </pic:blipFill>
                  <pic:spPr bwMode="auto">
                    <a:xfrm>
                      <a:off x="0" y="0"/>
                      <a:ext cx="5943600" cy="5867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F65FCF" w:rsidR="00FD0FAE" w:rsidP="00F65FCF" w:rsidRDefault="00FD0FAE" w14:paraId="71DB2C71" w14:textId="0E23DF30">
      <w:pPr>
        <w:spacing w:line="480" w:lineRule="auto"/>
        <w:rPr>
          <w:rFonts w:ascii="Arial" w:hAnsi="Arial" w:cs="Arial"/>
        </w:rPr>
      </w:pPr>
      <w:r w:rsidRPr="0F6F0B6D" w:rsidR="0F6F0B6D">
        <w:rPr>
          <w:rFonts w:ascii="Arial" w:hAnsi="Arial" w:cs="Arial"/>
          <w:b w:val="1"/>
          <w:bCs w:val="1"/>
        </w:rPr>
        <w:t>S Fig.</w:t>
      </w:r>
      <w:r w:rsidRPr="0F6F0B6D" w:rsidR="0F6F0B6D">
        <w:rPr>
          <w:rFonts w:ascii="Arial" w:hAnsi="Arial" w:cs="Arial"/>
          <w:b w:val="1"/>
          <w:bCs w:val="1"/>
        </w:rPr>
        <w:t xml:space="preserve"> 3: Differential Kinases are enriched in different polarization states. (A) </w:t>
      </w:r>
      <w:r w:rsidRPr="0F6F0B6D" w:rsidR="0F6F0B6D">
        <w:rPr>
          <w:rFonts w:ascii="Arial" w:hAnsi="Arial" w:cs="Arial"/>
        </w:rPr>
        <w:t xml:space="preserve">Kinase activity enriched in 14P TAMs relative to M2 macrophages. </w:t>
      </w:r>
      <w:r w:rsidRPr="0F6F0B6D" w:rsidR="0F6F0B6D">
        <w:rPr>
          <w:rFonts w:ascii="Arial" w:hAnsi="Arial" w:cs="Arial"/>
          <w:b w:val="1"/>
          <w:bCs w:val="1"/>
        </w:rPr>
        <w:t xml:space="preserve">(B) </w:t>
      </w:r>
      <w:r w:rsidRPr="0F6F0B6D" w:rsidR="0F6F0B6D">
        <w:rPr>
          <w:rFonts w:ascii="Arial" w:hAnsi="Arial" w:cs="Arial"/>
        </w:rPr>
        <w:t xml:space="preserve">Kinase activity enriched in 14P-RT TAMs relative to M2 macrophages. </w:t>
      </w:r>
      <w:r w:rsidRPr="0F6F0B6D" w:rsidR="0F6F0B6D">
        <w:rPr>
          <w:rFonts w:ascii="Arial" w:hAnsi="Arial" w:cs="Arial"/>
          <w:b w:val="1"/>
          <w:bCs w:val="1"/>
        </w:rPr>
        <w:t>(C)</w:t>
      </w:r>
      <w:r w:rsidRPr="0F6F0B6D" w:rsidR="0F6F0B6D">
        <w:rPr>
          <w:rFonts w:ascii="Arial" w:hAnsi="Arial" w:cs="Arial"/>
        </w:rPr>
        <w:t xml:space="preserve"> Kinase activity enriched in 14P-RT TAMs relative to 14P TAMs.</w:t>
      </w:r>
    </w:p>
    <w:p w:rsidRPr="00F65FCF" w:rsidR="00F95D9A" w:rsidP="00F65FCF" w:rsidRDefault="00F95D9A" w14:paraId="193F7041" w14:textId="4B8F18DD">
      <w:pPr>
        <w:spacing w:line="480" w:lineRule="auto"/>
        <w:rPr>
          <w:rFonts w:ascii="Arial" w:hAnsi="Arial" w:cs="Arial"/>
        </w:rPr>
      </w:pPr>
      <w:r w:rsidRPr="00F65FCF">
        <w:rPr>
          <w:rFonts w:ascii="Arial" w:hAnsi="Arial" w:cs="Arial"/>
          <w:noProof/>
        </w:rPr>
        <w:lastRenderedPageBreak/>
        <w:drawing>
          <wp:inline distT="0" distB="0" distL="0" distR="0" wp14:anchorId="4BB9AF26" wp14:editId="3C762F2D">
            <wp:extent cx="5943259" cy="7691755"/>
            <wp:effectExtent l="0" t="0" r="635" b="4445"/>
            <wp:docPr id="11690870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087082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59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5FCF" w:rsidR="00FD0FAE" w:rsidP="00F65FCF" w:rsidRDefault="00FD0FAE" w14:paraId="0044EF74" w14:textId="40FB5619">
      <w:pPr>
        <w:spacing w:line="480" w:lineRule="auto"/>
        <w:rPr>
          <w:rFonts w:ascii="Arial" w:hAnsi="Arial" w:cs="Arial"/>
          <w:b w:val="1"/>
          <w:bCs w:val="1"/>
        </w:rPr>
      </w:pPr>
      <w:bookmarkStart w:name="_Hlk195227815" w:id="0"/>
      <w:r w:rsidRPr="7E2BE55A" w:rsidR="7E2BE55A">
        <w:rPr>
          <w:rFonts w:ascii="Arial" w:hAnsi="Arial" w:cs="Arial"/>
          <w:b w:val="1"/>
          <w:bCs w:val="1"/>
        </w:rPr>
        <w:t xml:space="preserve">S Fig. 4: Macrophages polarized by 14P exhibit distinct transcriptomic </w:t>
      </w:r>
      <w:r w:rsidRPr="7E2BE55A" w:rsidR="7E2BE55A">
        <w:rPr>
          <w:rFonts w:ascii="Arial" w:hAnsi="Arial" w:cs="Arial"/>
          <w:b w:val="1"/>
          <w:bCs w:val="1"/>
        </w:rPr>
        <w:t xml:space="preserve">and cytokine expression profiles from M0 macrophages. (A) </w:t>
      </w:r>
      <w:r w:rsidRPr="7E2BE55A" w:rsidR="7E2BE55A">
        <w:rPr>
          <w:rFonts w:ascii="Arial" w:hAnsi="Arial" w:cs="Arial"/>
        </w:rPr>
        <w:t xml:space="preserve">Pairwise plot of GSEA enrichment scores of 14P TAMs relative to M0 macrophages for the macrophage-subset of the GlioTime-36 matrix. </w:t>
      </w:r>
      <w:r w:rsidRPr="7E2BE55A" w:rsidR="7E2BE55A">
        <w:rPr>
          <w:rFonts w:ascii="Arial" w:hAnsi="Arial" w:cs="Arial"/>
          <w:b w:val="1"/>
          <w:bCs w:val="1"/>
        </w:rPr>
        <w:t xml:space="preserve">(B) </w:t>
      </w:r>
      <w:r w:rsidRPr="7E2BE55A" w:rsidR="7E2BE55A">
        <w:rPr>
          <w:rFonts w:ascii="Arial" w:hAnsi="Arial" w:cs="Arial"/>
        </w:rPr>
        <w:t>Pairwise plot of GSEA enrichment scores of 14P TAMs relative to M0 macrophages for the hallmark gene sets.</w:t>
      </w:r>
      <w:r w:rsidRPr="7E2BE55A" w:rsidR="7E2BE55A">
        <w:rPr>
          <w:rFonts w:ascii="Arial" w:hAnsi="Arial" w:cs="Arial"/>
          <w:b w:val="1"/>
          <w:bCs w:val="1"/>
        </w:rPr>
        <w:t xml:space="preserve"> </w:t>
      </w:r>
      <w:r w:rsidRPr="7E2BE55A" w:rsidR="7E2BE55A">
        <w:rPr>
          <w:rFonts w:ascii="Arial" w:hAnsi="Arial" w:cs="Arial"/>
        </w:rPr>
        <w:t xml:space="preserve">* </w:t>
      </w:r>
      <w:proofErr w:type="gramStart"/>
      <w:r w:rsidRPr="7E2BE55A" w:rsidR="7E2BE55A">
        <w:rPr>
          <w:rFonts w:ascii="Arial" w:hAnsi="Arial" w:cs="Arial"/>
        </w:rPr>
        <w:t>indicates</w:t>
      </w:r>
      <w:proofErr w:type="gramEnd"/>
      <w:r w:rsidRPr="7E2BE55A" w:rsidR="7E2BE55A">
        <w:rPr>
          <w:rFonts w:ascii="Arial" w:hAnsi="Arial" w:cs="Arial"/>
        </w:rPr>
        <w:t xml:space="preserve"> </w:t>
      </w:r>
      <w:r w:rsidRPr="7E2BE55A" w:rsidR="7E2BE55A">
        <w:rPr>
          <w:rFonts w:ascii="Arial" w:hAnsi="Arial" w:cs="Arial"/>
          <w:i w:val="1"/>
          <w:iCs w:val="1"/>
        </w:rPr>
        <w:t>P</w:t>
      </w:r>
      <w:r w:rsidRPr="7E2BE55A" w:rsidR="7E2BE55A">
        <w:rPr>
          <w:rFonts w:ascii="Arial" w:hAnsi="Arial" w:cs="Arial"/>
        </w:rPr>
        <w:t xml:space="preserve">&lt;0.05 in </w:t>
      </w:r>
      <w:r w:rsidRPr="7E2BE55A" w:rsidR="7E2BE55A">
        <w:rPr>
          <w:rFonts w:ascii="Arial" w:hAnsi="Arial" w:cs="Arial"/>
          <w:b w:val="1"/>
          <w:bCs w:val="1"/>
        </w:rPr>
        <w:t>A</w:t>
      </w:r>
      <w:r w:rsidRPr="7E2BE55A" w:rsidR="7E2BE55A">
        <w:rPr>
          <w:rFonts w:ascii="Arial" w:hAnsi="Arial" w:cs="Arial"/>
        </w:rPr>
        <w:t xml:space="preserve">) and </w:t>
      </w:r>
      <w:r w:rsidRPr="7E2BE55A" w:rsidR="7E2BE55A">
        <w:rPr>
          <w:rFonts w:ascii="Arial" w:hAnsi="Arial" w:cs="Arial"/>
          <w:b w:val="1"/>
          <w:bCs w:val="1"/>
        </w:rPr>
        <w:t>B</w:t>
      </w:r>
      <w:r w:rsidRPr="7E2BE55A" w:rsidR="7E2BE55A">
        <w:rPr>
          <w:rFonts w:ascii="Arial" w:hAnsi="Arial" w:cs="Arial"/>
        </w:rPr>
        <w:t>).</w:t>
      </w:r>
      <w:r w:rsidRPr="7E2BE55A" w:rsidR="7E2BE55A">
        <w:rPr>
          <w:rFonts w:ascii="Arial" w:hAnsi="Arial" w:cs="Arial"/>
          <w:b w:val="1"/>
          <w:bCs w:val="1"/>
        </w:rPr>
        <w:t xml:space="preserve"> (C) </w:t>
      </w:r>
      <w:r w:rsidRPr="7E2BE55A" w:rsidR="7E2BE55A">
        <w:rPr>
          <w:rFonts w:ascii="Arial" w:hAnsi="Arial" w:cs="Arial"/>
        </w:rPr>
        <w:t>Volcano plot visualization of differentially secreted cytokines between 14P TAMs and M0 macrophages.</w:t>
      </w:r>
      <w:r w:rsidRPr="7E2BE55A" w:rsidR="7E2BE55A">
        <w:rPr>
          <w:rFonts w:ascii="Arial" w:hAnsi="Arial" w:cs="Arial"/>
          <w:b w:val="1"/>
          <w:bCs w:val="1"/>
        </w:rPr>
        <w:t xml:space="preserve"> (D) </w:t>
      </w:r>
      <w:r w:rsidRPr="7E2BE55A" w:rsidR="7E2BE55A">
        <w:rPr>
          <w:rFonts w:ascii="Arial" w:hAnsi="Arial" w:cs="Arial"/>
        </w:rPr>
        <w:t>Volcano plot visualization of differentially expressed genes between 14P TAMs and M0 macrophages.</w:t>
      </w:r>
      <w:r w:rsidRPr="7E2BE55A" w:rsidR="7E2BE55A">
        <w:rPr>
          <w:rFonts w:ascii="Arial" w:hAnsi="Arial" w:cs="Arial"/>
          <w:b w:val="1"/>
          <w:bCs w:val="1"/>
        </w:rPr>
        <w:t xml:space="preserve"> (E)</w:t>
      </w:r>
      <w:r w:rsidRPr="7E2BE55A" w:rsidR="7E2BE55A">
        <w:rPr>
          <w:rFonts w:ascii="Arial" w:hAnsi="Arial" w:cs="Arial"/>
        </w:rPr>
        <w:t xml:space="preserve"> Unsupervised heatmap of the top 500 variable genes for macrophages polarized to 14P TAM and M0 states</w:t>
      </w:r>
      <w:r w:rsidRPr="7E2BE55A" w:rsidR="7E2BE55A">
        <w:rPr>
          <w:rFonts w:ascii="Arial" w:hAnsi="Arial" w:cs="Arial"/>
          <w:b w:val="1"/>
          <w:bCs w:val="1"/>
        </w:rPr>
        <w:t>.</w:t>
      </w:r>
    </w:p>
    <w:p w:rsidRPr="00F65FCF" w:rsidR="00F95D9A" w:rsidP="00F65FCF" w:rsidRDefault="00F95D9A" w14:paraId="7FFABB55" w14:textId="235F62E2">
      <w:pPr>
        <w:spacing w:line="480" w:lineRule="auto"/>
        <w:rPr>
          <w:rFonts w:ascii="Arial" w:hAnsi="Arial" w:cs="Arial"/>
          <w:b/>
          <w:bCs/>
        </w:rPr>
      </w:pPr>
      <w:r w:rsidRPr="00F65FCF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1D6146DB" wp14:editId="6887CAA6">
            <wp:extent cx="5943259" cy="7691755"/>
            <wp:effectExtent l="0" t="0" r="635" b="4445"/>
            <wp:docPr id="16139138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913824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59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5FCF" w:rsidR="00FD0FAE" w:rsidP="00F65FCF" w:rsidRDefault="00FD0FAE" w14:paraId="6FA2E71D" w14:textId="2FE66FA4">
      <w:pPr>
        <w:spacing w:line="480" w:lineRule="auto"/>
        <w:rPr>
          <w:rFonts w:ascii="Arial" w:hAnsi="Arial" w:cs="Arial"/>
          <w:b w:val="1"/>
          <w:bCs w:val="1"/>
        </w:rPr>
      </w:pPr>
      <w:r w:rsidRPr="7E2BE55A" w:rsidR="7E2BE55A">
        <w:rPr>
          <w:rFonts w:ascii="Arial" w:hAnsi="Arial" w:cs="Arial"/>
          <w:b w:val="1"/>
          <w:bCs w:val="1"/>
        </w:rPr>
        <w:t xml:space="preserve">S Fig. 5: Macrophages polarized by 14P exhibit distinct transcriptomic </w:t>
      </w:r>
      <w:r w:rsidRPr="7E2BE55A" w:rsidR="7E2BE55A">
        <w:rPr>
          <w:rFonts w:ascii="Arial" w:hAnsi="Arial" w:cs="Arial"/>
          <w:b w:val="1"/>
          <w:bCs w:val="1"/>
        </w:rPr>
        <w:t xml:space="preserve">and cytokine expression profiles from M1 macrophages. (A) </w:t>
      </w:r>
      <w:r w:rsidRPr="7E2BE55A" w:rsidR="7E2BE55A">
        <w:rPr>
          <w:rFonts w:ascii="Arial" w:hAnsi="Arial" w:cs="Arial"/>
        </w:rPr>
        <w:t xml:space="preserve">Pairwise plot of GSEA enrichment scores of 14P TAMs relative to M1 macrophages for the macrophage-subset of the GlioTime-36 matrix. </w:t>
      </w:r>
      <w:r w:rsidRPr="7E2BE55A" w:rsidR="7E2BE55A">
        <w:rPr>
          <w:rFonts w:ascii="Arial" w:hAnsi="Arial" w:cs="Arial"/>
          <w:b w:val="1"/>
          <w:bCs w:val="1"/>
        </w:rPr>
        <w:t xml:space="preserve">(B) </w:t>
      </w:r>
      <w:r w:rsidRPr="7E2BE55A" w:rsidR="7E2BE55A">
        <w:rPr>
          <w:rFonts w:ascii="Arial" w:hAnsi="Arial" w:cs="Arial"/>
        </w:rPr>
        <w:t xml:space="preserve">Pairwise plot of GSEA enrichment scores of 14P TAMs relative to M1 macrophages for the hallmark gene sets. * </w:t>
      </w:r>
      <w:proofErr w:type="gramStart"/>
      <w:r w:rsidRPr="7E2BE55A" w:rsidR="7E2BE55A">
        <w:rPr>
          <w:rFonts w:ascii="Arial" w:hAnsi="Arial" w:cs="Arial"/>
        </w:rPr>
        <w:t>indicates</w:t>
      </w:r>
      <w:proofErr w:type="gramEnd"/>
      <w:r w:rsidRPr="7E2BE55A" w:rsidR="7E2BE55A">
        <w:rPr>
          <w:rFonts w:ascii="Arial" w:hAnsi="Arial" w:cs="Arial"/>
        </w:rPr>
        <w:t xml:space="preserve"> </w:t>
      </w:r>
      <w:r w:rsidRPr="7E2BE55A" w:rsidR="7E2BE55A">
        <w:rPr>
          <w:rFonts w:ascii="Arial" w:hAnsi="Arial" w:cs="Arial"/>
          <w:i w:val="1"/>
          <w:iCs w:val="1"/>
        </w:rPr>
        <w:t>P</w:t>
      </w:r>
      <w:r w:rsidRPr="7E2BE55A" w:rsidR="7E2BE55A">
        <w:rPr>
          <w:rFonts w:ascii="Arial" w:hAnsi="Arial" w:cs="Arial"/>
        </w:rPr>
        <w:t xml:space="preserve">&lt;0.05 in </w:t>
      </w:r>
      <w:r w:rsidRPr="7E2BE55A" w:rsidR="7E2BE55A">
        <w:rPr>
          <w:rFonts w:ascii="Arial" w:hAnsi="Arial" w:cs="Arial"/>
          <w:b w:val="1"/>
          <w:bCs w:val="1"/>
        </w:rPr>
        <w:t>A</w:t>
      </w:r>
      <w:r w:rsidRPr="7E2BE55A" w:rsidR="7E2BE55A">
        <w:rPr>
          <w:rFonts w:ascii="Arial" w:hAnsi="Arial" w:cs="Arial"/>
        </w:rPr>
        <w:t xml:space="preserve">) and </w:t>
      </w:r>
      <w:r w:rsidRPr="7E2BE55A" w:rsidR="7E2BE55A">
        <w:rPr>
          <w:rFonts w:ascii="Arial" w:hAnsi="Arial" w:cs="Arial"/>
          <w:b w:val="1"/>
          <w:bCs w:val="1"/>
        </w:rPr>
        <w:t>B</w:t>
      </w:r>
      <w:r w:rsidRPr="7E2BE55A" w:rsidR="7E2BE55A">
        <w:rPr>
          <w:rFonts w:ascii="Arial" w:hAnsi="Arial" w:cs="Arial"/>
        </w:rPr>
        <w:t>).</w:t>
      </w:r>
      <w:r w:rsidRPr="7E2BE55A" w:rsidR="7E2BE55A">
        <w:rPr>
          <w:rFonts w:ascii="Arial" w:hAnsi="Arial" w:cs="Arial"/>
          <w:b w:val="1"/>
          <w:bCs w:val="1"/>
        </w:rPr>
        <w:t xml:space="preserve"> (C) </w:t>
      </w:r>
      <w:r w:rsidRPr="7E2BE55A" w:rsidR="7E2BE55A">
        <w:rPr>
          <w:rFonts w:ascii="Arial" w:hAnsi="Arial" w:cs="Arial"/>
        </w:rPr>
        <w:t>Volcano plot visualization of differentially secreted cytokines between 14P TAMs and M1 macrophages.</w:t>
      </w:r>
      <w:r w:rsidRPr="7E2BE55A" w:rsidR="7E2BE55A">
        <w:rPr>
          <w:rFonts w:ascii="Arial" w:hAnsi="Arial" w:cs="Arial"/>
          <w:b w:val="1"/>
          <w:bCs w:val="1"/>
        </w:rPr>
        <w:t xml:space="preserve"> (D) </w:t>
      </w:r>
      <w:r w:rsidRPr="7E2BE55A" w:rsidR="7E2BE55A">
        <w:rPr>
          <w:rFonts w:ascii="Arial" w:hAnsi="Arial" w:cs="Arial"/>
        </w:rPr>
        <w:t>Volcano plot visualization of differentially expressed genes between 14P TAMs and M1 macrophages.</w:t>
      </w:r>
      <w:r w:rsidRPr="7E2BE55A" w:rsidR="7E2BE55A">
        <w:rPr>
          <w:rFonts w:ascii="Arial" w:hAnsi="Arial" w:cs="Arial"/>
          <w:b w:val="1"/>
          <w:bCs w:val="1"/>
        </w:rPr>
        <w:t xml:space="preserve"> (E)</w:t>
      </w:r>
      <w:r w:rsidRPr="7E2BE55A" w:rsidR="7E2BE55A">
        <w:rPr>
          <w:rFonts w:ascii="Arial" w:hAnsi="Arial" w:cs="Arial"/>
        </w:rPr>
        <w:t xml:space="preserve"> Unsupervised heatmap of the top 500 variable genes for macrophages polarized to 14P TAM and M1 states</w:t>
      </w:r>
      <w:r w:rsidRPr="7E2BE55A" w:rsidR="7E2BE55A">
        <w:rPr>
          <w:rFonts w:ascii="Arial" w:hAnsi="Arial" w:cs="Arial"/>
          <w:b w:val="1"/>
          <w:bCs w:val="1"/>
        </w:rPr>
        <w:t>.</w:t>
      </w:r>
    </w:p>
    <w:p w:rsidRPr="00F65FCF" w:rsidR="00F95D9A" w:rsidP="00F65FCF" w:rsidRDefault="00F95D9A" w14:paraId="7EE58D46" w14:textId="0EC114A6">
      <w:pPr>
        <w:spacing w:line="480" w:lineRule="auto"/>
        <w:rPr>
          <w:rFonts w:ascii="Arial" w:hAnsi="Arial" w:cs="Arial"/>
          <w:b/>
          <w:bCs/>
        </w:rPr>
      </w:pPr>
      <w:r w:rsidRPr="00F65FCF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2041E51F" wp14:editId="67F2CBF8">
            <wp:extent cx="5943259" cy="7691755"/>
            <wp:effectExtent l="0" t="0" r="635" b="4445"/>
            <wp:docPr id="86582949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829494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59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Pr="00F65FCF" w:rsidR="00FD0FAE" w:rsidP="00F65FCF" w:rsidRDefault="00FD0FAE" w14:paraId="578949A8" w14:textId="7C6D4BB1">
      <w:pPr>
        <w:spacing w:line="480" w:lineRule="auto"/>
        <w:rPr>
          <w:rFonts w:ascii="Arial" w:hAnsi="Arial" w:cs="Arial"/>
          <w:b w:val="1"/>
          <w:bCs w:val="1"/>
        </w:rPr>
      </w:pPr>
      <w:r w:rsidRPr="7E2BE55A" w:rsidR="7E2BE55A">
        <w:rPr>
          <w:rFonts w:ascii="Arial" w:hAnsi="Arial" w:cs="Arial"/>
          <w:b w:val="1"/>
          <w:bCs w:val="1"/>
        </w:rPr>
        <w:t xml:space="preserve">S Fig. 6: Macrophages polarized by 14P-RT exhibit distinct transcriptomic </w:t>
      </w:r>
      <w:r w:rsidRPr="7E2BE55A" w:rsidR="7E2BE55A">
        <w:rPr>
          <w:rFonts w:ascii="Arial" w:hAnsi="Arial" w:cs="Arial"/>
          <w:b w:val="1"/>
          <w:bCs w:val="1"/>
        </w:rPr>
        <w:t xml:space="preserve">and cytokine expression profiles from M0 macrophages. (A) </w:t>
      </w:r>
      <w:r w:rsidRPr="7E2BE55A" w:rsidR="7E2BE55A">
        <w:rPr>
          <w:rFonts w:ascii="Arial" w:hAnsi="Arial" w:cs="Arial"/>
        </w:rPr>
        <w:t xml:space="preserve">Pairwise plot of GSEA enrichment scores of 14P-RT TAMs relative to M0 macrophages for the macrophage-subset of the GlioTime-36 matrix. </w:t>
      </w:r>
      <w:r w:rsidRPr="7E2BE55A" w:rsidR="7E2BE55A">
        <w:rPr>
          <w:rFonts w:ascii="Arial" w:hAnsi="Arial" w:cs="Arial"/>
          <w:b w:val="1"/>
          <w:bCs w:val="1"/>
        </w:rPr>
        <w:t xml:space="preserve">(B) </w:t>
      </w:r>
      <w:r w:rsidRPr="7E2BE55A" w:rsidR="7E2BE55A">
        <w:rPr>
          <w:rFonts w:ascii="Arial" w:hAnsi="Arial" w:cs="Arial"/>
        </w:rPr>
        <w:t xml:space="preserve">Pairwise plot of GSEA enrichment scores of 14P-RT TAMs relative to M0 macrophages for the hallmark gene sets. * </w:t>
      </w:r>
      <w:proofErr w:type="gramStart"/>
      <w:r w:rsidRPr="7E2BE55A" w:rsidR="7E2BE55A">
        <w:rPr>
          <w:rFonts w:ascii="Arial" w:hAnsi="Arial" w:cs="Arial"/>
        </w:rPr>
        <w:t>indicates</w:t>
      </w:r>
      <w:proofErr w:type="gramEnd"/>
      <w:r w:rsidRPr="7E2BE55A" w:rsidR="7E2BE55A">
        <w:rPr>
          <w:rFonts w:ascii="Arial" w:hAnsi="Arial" w:cs="Arial"/>
        </w:rPr>
        <w:t xml:space="preserve"> </w:t>
      </w:r>
      <w:r w:rsidRPr="7E2BE55A" w:rsidR="7E2BE55A">
        <w:rPr>
          <w:rFonts w:ascii="Arial" w:hAnsi="Arial" w:cs="Arial"/>
          <w:i w:val="1"/>
          <w:iCs w:val="1"/>
        </w:rPr>
        <w:t>P</w:t>
      </w:r>
      <w:r w:rsidRPr="7E2BE55A" w:rsidR="7E2BE55A">
        <w:rPr>
          <w:rFonts w:ascii="Arial" w:hAnsi="Arial" w:cs="Arial"/>
        </w:rPr>
        <w:t xml:space="preserve">&lt;0.05 in </w:t>
      </w:r>
      <w:r w:rsidRPr="7E2BE55A" w:rsidR="7E2BE55A">
        <w:rPr>
          <w:rFonts w:ascii="Arial" w:hAnsi="Arial" w:cs="Arial"/>
          <w:b w:val="1"/>
          <w:bCs w:val="1"/>
        </w:rPr>
        <w:t>A</w:t>
      </w:r>
      <w:r w:rsidRPr="7E2BE55A" w:rsidR="7E2BE55A">
        <w:rPr>
          <w:rFonts w:ascii="Arial" w:hAnsi="Arial" w:cs="Arial"/>
        </w:rPr>
        <w:t xml:space="preserve">) and </w:t>
      </w:r>
      <w:r w:rsidRPr="7E2BE55A" w:rsidR="7E2BE55A">
        <w:rPr>
          <w:rFonts w:ascii="Arial" w:hAnsi="Arial" w:cs="Arial"/>
          <w:b w:val="1"/>
          <w:bCs w:val="1"/>
        </w:rPr>
        <w:t>B</w:t>
      </w:r>
      <w:r w:rsidRPr="7E2BE55A" w:rsidR="7E2BE55A">
        <w:rPr>
          <w:rFonts w:ascii="Arial" w:hAnsi="Arial" w:cs="Arial"/>
        </w:rPr>
        <w:t>).</w:t>
      </w:r>
      <w:r w:rsidRPr="7E2BE55A" w:rsidR="7E2BE55A">
        <w:rPr>
          <w:rFonts w:ascii="Arial" w:hAnsi="Arial" w:cs="Arial"/>
          <w:b w:val="1"/>
          <w:bCs w:val="1"/>
        </w:rPr>
        <w:t xml:space="preserve"> (C) </w:t>
      </w:r>
      <w:r w:rsidRPr="7E2BE55A" w:rsidR="7E2BE55A">
        <w:rPr>
          <w:rFonts w:ascii="Arial" w:hAnsi="Arial" w:cs="Arial"/>
        </w:rPr>
        <w:t>Volcano plot visualization of differentially secreted cytokines between 14P-RT TAMs and M0 macrophages.</w:t>
      </w:r>
      <w:r w:rsidRPr="7E2BE55A" w:rsidR="7E2BE55A">
        <w:rPr>
          <w:rFonts w:ascii="Arial" w:hAnsi="Arial" w:cs="Arial"/>
          <w:b w:val="1"/>
          <w:bCs w:val="1"/>
        </w:rPr>
        <w:t xml:space="preserve"> (D) </w:t>
      </w:r>
      <w:r w:rsidRPr="7E2BE55A" w:rsidR="7E2BE55A">
        <w:rPr>
          <w:rFonts w:ascii="Arial" w:hAnsi="Arial" w:cs="Arial"/>
        </w:rPr>
        <w:t>Volcano plot visualization of differentially expressed genes between 14P-RT TAMs and M0 macrophages.</w:t>
      </w:r>
      <w:r w:rsidRPr="7E2BE55A" w:rsidR="7E2BE55A">
        <w:rPr>
          <w:rFonts w:ascii="Arial" w:hAnsi="Arial" w:cs="Arial"/>
          <w:b w:val="1"/>
          <w:bCs w:val="1"/>
        </w:rPr>
        <w:t xml:space="preserve"> (E)</w:t>
      </w:r>
      <w:r w:rsidRPr="7E2BE55A" w:rsidR="7E2BE55A">
        <w:rPr>
          <w:rFonts w:ascii="Arial" w:hAnsi="Arial" w:cs="Arial"/>
        </w:rPr>
        <w:t xml:space="preserve"> Unsupervised heatmap of the top 500 variable genes for macrophages polarized to 14P-RT TAM and M0 states</w:t>
      </w:r>
      <w:r w:rsidRPr="7E2BE55A" w:rsidR="7E2BE55A">
        <w:rPr>
          <w:rFonts w:ascii="Arial" w:hAnsi="Arial" w:cs="Arial"/>
          <w:b w:val="1"/>
          <w:bCs w:val="1"/>
        </w:rPr>
        <w:t>.</w:t>
      </w:r>
    </w:p>
    <w:p w:rsidRPr="00F65FCF" w:rsidR="00F95D9A" w:rsidP="00F65FCF" w:rsidRDefault="00F95D9A" w14:paraId="1E3B752F" w14:textId="3851C9F1">
      <w:pPr>
        <w:spacing w:line="480" w:lineRule="auto"/>
        <w:rPr>
          <w:rFonts w:ascii="Arial" w:hAnsi="Arial" w:cs="Arial"/>
          <w:b/>
          <w:bCs/>
        </w:rPr>
      </w:pPr>
      <w:r w:rsidRPr="00F65FCF"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34BD05C2" wp14:editId="3AD3BC7D">
            <wp:extent cx="5943259" cy="7691755"/>
            <wp:effectExtent l="0" t="0" r="635" b="4445"/>
            <wp:docPr id="169216765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67651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59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5FCF" w:rsidR="00FD0FAE" w:rsidP="00F65FCF" w:rsidRDefault="00FD0FAE" w14:paraId="48DB9F80" w14:textId="2E265210">
      <w:pPr>
        <w:spacing w:line="480" w:lineRule="auto"/>
        <w:rPr>
          <w:rFonts w:ascii="Arial" w:hAnsi="Arial" w:cs="Arial"/>
          <w:b w:val="1"/>
          <w:bCs w:val="1"/>
        </w:rPr>
      </w:pPr>
      <w:r w:rsidRPr="7E2BE55A" w:rsidR="7E2BE55A">
        <w:rPr>
          <w:rFonts w:ascii="Arial" w:hAnsi="Arial" w:cs="Arial"/>
          <w:b w:val="1"/>
          <w:bCs w:val="1"/>
        </w:rPr>
        <w:t xml:space="preserve">S Fig. 7: Macrophages polarized by 14P-RT exhibit distinct transcriptomic </w:t>
      </w:r>
      <w:r w:rsidRPr="7E2BE55A" w:rsidR="7E2BE55A">
        <w:rPr>
          <w:rFonts w:ascii="Arial" w:hAnsi="Arial" w:cs="Arial"/>
          <w:b w:val="1"/>
          <w:bCs w:val="1"/>
        </w:rPr>
        <w:t xml:space="preserve">and cytokine expression profiles from M1 macrophages. (A) </w:t>
      </w:r>
      <w:r w:rsidRPr="7E2BE55A" w:rsidR="7E2BE55A">
        <w:rPr>
          <w:rFonts w:ascii="Arial" w:hAnsi="Arial" w:cs="Arial"/>
        </w:rPr>
        <w:t xml:space="preserve">Pairwise plot of GSEA enrichment scores of 14P-RT TAMs relative to M1 macrophages for the macrophage-subset of the GlioTime-36 matrix. </w:t>
      </w:r>
      <w:r w:rsidRPr="7E2BE55A" w:rsidR="7E2BE55A">
        <w:rPr>
          <w:rFonts w:ascii="Arial" w:hAnsi="Arial" w:cs="Arial"/>
          <w:b w:val="1"/>
          <w:bCs w:val="1"/>
        </w:rPr>
        <w:t xml:space="preserve">(B) </w:t>
      </w:r>
      <w:r w:rsidRPr="7E2BE55A" w:rsidR="7E2BE55A">
        <w:rPr>
          <w:rFonts w:ascii="Arial" w:hAnsi="Arial" w:cs="Arial"/>
        </w:rPr>
        <w:t xml:space="preserve">Pairwise plot of GSEA enrichment scores of 14P-RT TAMs relative to M1 macrophages for the hallmark gene sets. * </w:t>
      </w:r>
      <w:proofErr w:type="gramStart"/>
      <w:r w:rsidRPr="7E2BE55A" w:rsidR="7E2BE55A">
        <w:rPr>
          <w:rFonts w:ascii="Arial" w:hAnsi="Arial" w:cs="Arial"/>
        </w:rPr>
        <w:t>indicates</w:t>
      </w:r>
      <w:proofErr w:type="gramEnd"/>
      <w:r w:rsidRPr="7E2BE55A" w:rsidR="7E2BE55A">
        <w:rPr>
          <w:rFonts w:ascii="Arial" w:hAnsi="Arial" w:cs="Arial"/>
        </w:rPr>
        <w:t xml:space="preserve"> </w:t>
      </w:r>
      <w:r w:rsidRPr="7E2BE55A" w:rsidR="7E2BE55A">
        <w:rPr>
          <w:rFonts w:ascii="Arial" w:hAnsi="Arial" w:cs="Arial"/>
          <w:i w:val="1"/>
          <w:iCs w:val="1"/>
        </w:rPr>
        <w:t>P</w:t>
      </w:r>
      <w:r w:rsidRPr="7E2BE55A" w:rsidR="7E2BE55A">
        <w:rPr>
          <w:rFonts w:ascii="Arial" w:hAnsi="Arial" w:cs="Arial"/>
        </w:rPr>
        <w:t xml:space="preserve">&lt;0.05 in </w:t>
      </w:r>
      <w:r w:rsidRPr="7E2BE55A" w:rsidR="7E2BE55A">
        <w:rPr>
          <w:rFonts w:ascii="Arial" w:hAnsi="Arial" w:cs="Arial"/>
          <w:b w:val="1"/>
          <w:bCs w:val="1"/>
        </w:rPr>
        <w:t>A</w:t>
      </w:r>
      <w:r w:rsidRPr="7E2BE55A" w:rsidR="7E2BE55A">
        <w:rPr>
          <w:rFonts w:ascii="Arial" w:hAnsi="Arial" w:cs="Arial"/>
        </w:rPr>
        <w:t xml:space="preserve">) and </w:t>
      </w:r>
      <w:r w:rsidRPr="7E2BE55A" w:rsidR="7E2BE55A">
        <w:rPr>
          <w:rFonts w:ascii="Arial" w:hAnsi="Arial" w:cs="Arial"/>
          <w:b w:val="1"/>
          <w:bCs w:val="1"/>
        </w:rPr>
        <w:t>B</w:t>
      </w:r>
      <w:r w:rsidRPr="7E2BE55A" w:rsidR="7E2BE55A">
        <w:rPr>
          <w:rFonts w:ascii="Arial" w:hAnsi="Arial" w:cs="Arial"/>
        </w:rPr>
        <w:t>).</w:t>
      </w:r>
      <w:r w:rsidRPr="7E2BE55A" w:rsidR="7E2BE55A">
        <w:rPr>
          <w:rFonts w:ascii="Arial" w:hAnsi="Arial" w:cs="Arial"/>
          <w:b w:val="1"/>
          <w:bCs w:val="1"/>
        </w:rPr>
        <w:t xml:space="preserve"> (C) </w:t>
      </w:r>
      <w:r w:rsidRPr="7E2BE55A" w:rsidR="7E2BE55A">
        <w:rPr>
          <w:rFonts w:ascii="Arial" w:hAnsi="Arial" w:cs="Arial"/>
        </w:rPr>
        <w:t>Volcano plot visualization of differentially secreted cytokines between 14P-RT TAMs and M1 macrophages.</w:t>
      </w:r>
      <w:r w:rsidRPr="7E2BE55A" w:rsidR="7E2BE55A">
        <w:rPr>
          <w:rFonts w:ascii="Arial" w:hAnsi="Arial" w:cs="Arial"/>
          <w:b w:val="1"/>
          <w:bCs w:val="1"/>
        </w:rPr>
        <w:t xml:space="preserve"> (D) </w:t>
      </w:r>
      <w:r w:rsidRPr="7E2BE55A" w:rsidR="7E2BE55A">
        <w:rPr>
          <w:rFonts w:ascii="Arial" w:hAnsi="Arial" w:cs="Arial"/>
        </w:rPr>
        <w:t>Volcano plot visualization of differentially expressed genes between 14P-RT TAMs and M1 macrophages.</w:t>
      </w:r>
      <w:r w:rsidRPr="7E2BE55A" w:rsidR="7E2BE55A">
        <w:rPr>
          <w:rFonts w:ascii="Arial" w:hAnsi="Arial" w:cs="Arial"/>
          <w:b w:val="1"/>
          <w:bCs w:val="1"/>
        </w:rPr>
        <w:t xml:space="preserve"> (E)</w:t>
      </w:r>
      <w:r w:rsidRPr="7E2BE55A" w:rsidR="7E2BE55A">
        <w:rPr>
          <w:rFonts w:ascii="Arial" w:hAnsi="Arial" w:cs="Arial"/>
        </w:rPr>
        <w:t xml:space="preserve"> Unsupervised heatmap of the top 500 variable genes for macrophages polarized to 14P-RT TAM and M1 states</w:t>
      </w:r>
      <w:r w:rsidRPr="7E2BE55A" w:rsidR="7E2BE55A">
        <w:rPr>
          <w:rFonts w:ascii="Arial" w:hAnsi="Arial" w:cs="Arial"/>
          <w:b w:val="1"/>
          <w:bCs w:val="1"/>
        </w:rPr>
        <w:t>.</w:t>
      </w:r>
    </w:p>
    <w:p w:rsidRPr="00F65FCF" w:rsidR="00FD0FAE" w:rsidP="00F65FCF" w:rsidRDefault="00FD0FAE" w14:paraId="2C82D9CD" w14:textId="77777777">
      <w:pPr>
        <w:spacing w:line="480" w:lineRule="auto"/>
      </w:pPr>
    </w:p>
    <w:p w:rsidRPr="00F65FCF" w:rsidR="00FD0FAE" w:rsidP="00F65FCF" w:rsidRDefault="00FD0FAE" w14:paraId="32EA6152" w14:textId="77777777">
      <w:pPr>
        <w:spacing w:line="480" w:lineRule="auto"/>
        <w:rPr>
          <w:rFonts w:ascii="Arial" w:hAnsi="Arial" w:cs="Arial"/>
          <w:b/>
          <w:bCs/>
        </w:rPr>
      </w:pPr>
    </w:p>
    <w:p w:rsidRPr="00F65FCF" w:rsidR="00FD0FAE" w:rsidP="00F65FCF" w:rsidRDefault="00FD0FAE" w14:paraId="64A44414" w14:textId="77777777">
      <w:pPr>
        <w:spacing w:line="480" w:lineRule="auto"/>
      </w:pPr>
    </w:p>
    <w:p w:rsidRPr="00F65FCF" w:rsidR="00FD0FAE" w:rsidP="00F65FCF" w:rsidRDefault="00FD0FAE" w14:paraId="0CD4A370" w14:textId="77777777">
      <w:pPr>
        <w:spacing w:line="480" w:lineRule="auto"/>
        <w:rPr>
          <w:rFonts w:ascii="Arial" w:hAnsi="Arial" w:cs="Arial"/>
        </w:rPr>
      </w:pPr>
    </w:p>
    <w:p w:rsidRPr="00F65FCF" w:rsidR="006D5F3D" w:rsidP="00F65FCF" w:rsidRDefault="006D5F3D" w14:paraId="38A1E22C" w14:textId="77777777">
      <w:pPr>
        <w:spacing w:line="480" w:lineRule="auto"/>
        <w:rPr>
          <w:rFonts w:ascii="Arial" w:hAnsi="Arial" w:cs="Arial"/>
          <w:b/>
          <w:bCs/>
          <w:kern w:val="0"/>
          <w14:ligatures w14:val="none"/>
        </w:rPr>
      </w:pPr>
    </w:p>
    <w:sectPr w:rsidRPr="00F65FCF" w:rsidR="006D5F3D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48A"/>
    <w:rsid w:val="001C081F"/>
    <w:rsid w:val="003377FE"/>
    <w:rsid w:val="00472189"/>
    <w:rsid w:val="004B126F"/>
    <w:rsid w:val="005C38BF"/>
    <w:rsid w:val="00667D8B"/>
    <w:rsid w:val="006D5F3D"/>
    <w:rsid w:val="00753369"/>
    <w:rsid w:val="0081036F"/>
    <w:rsid w:val="00813EF9"/>
    <w:rsid w:val="00826134"/>
    <w:rsid w:val="008E5AF7"/>
    <w:rsid w:val="00907D33"/>
    <w:rsid w:val="0091148A"/>
    <w:rsid w:val="009E69A4"/>
    <w:rsid w:val="00BB6CD4"/>
    <w:rsid w:val="00C141DE"/>
    <w:rsid w:val="00C46A13"/>
    <w:rsid w:val="00C65BCF"/>
    <w:rsid w:val="00D40D33"/>
    <w:rsid w:val="00DE25A9"/>
    <w:rsid w:val="00EC503A"/>
    <w:rsid w:val="00F65FCF"/>
    <w:rsid w:val="00F95D9A"/>
    <w:rsid w:val="00FD0FAE"/>
    <w:rsid w:val="08EC9A17"/>
    <w:rsid w:val="0F6F0B6D"/>
    <w:rsid w:val="13FD3F98"/>
    <w:rsid w:val="23F01D61"/>
    <w:rsid w:val="7E2BE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0DE00"/>
  <w15:chartTrackingRefBased/>
  <w15:docId w15:val="{3164165C-B968-45DE-8370-4042A7F7E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148A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148A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14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14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14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14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14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14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14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91148A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91148A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91148A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91148A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91148A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91148A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91148A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91148A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9114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148A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91148A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14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9114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148A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9114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14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14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148A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9114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148A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unhideWhenUsed/>
    <w:rsid w:val="009114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1148A"/>
    <w:pPr>
      <w:spacing w:after="0" w:line="240" w:lineRule="auto"/>
      <w:jc w:val="both"/>
    </w:pPr>
    <w:rPr>
      <w:kern w:val="0"/>
      <w:sz w:val="20"/>
      <w:szCs w:val="20"/>
      <w14:ligatures w14:val="none"/>
    </w:rPr>
  </w:style>
  <w:style w:type="character" w:styleId="CommentTextChar" w:customStyle="1">
    <w:name w:val="Comment Text Char"/>
    <w:basedOn w:val="DefaultParagraphFont"/>
    <w:link w:val="CommentText"/>
    <w:uiPriority w:val="99"/>
    <w:rsid w:val="0091148A"/>
    <w:rPr>
      <w:kern w:val="0"/>
      <w:sz w:val="20"/>
      <w:szCs w:val="20"/>
      <w14:ligatures w14:val="none"/>
    </w:rPr>
  </w:style>
  <w:style w:type="paragraph" w:styleId="paragraph" w:customStyle="1">
    <w:name w:val="paragraph"/>
    <w:basedOn w:val="Normal"/>
    <w:link w:val="paragraphChar"/>
    <w:rsid w:val="0091148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14:ligatures w14:val="none"/>
    </w:rPr>
  </w:style>
  <w:style w:type="character" w:styleId="eop" w:customStyle="1">
    <w:name w:val="eop"/>
    <w:basedOn w:val="DefaultParagraphFont"/>
    <w:rsid w:val="0091148A"/>
  </w:style>
  <w:style w:type="character" w:styleId="paragraphChar" w:customStyle="1">
    <w:name w:val="paragraph Char"/>
    <w:basedOn w:val="DefaultParagraphFont"/>
    <w:link w:val="paragraph"/>
    <w:rsid w:val="0091148A"/>
    <w:rPr>
      <w:rFonts w:ascii="Times New Roman" w:hAnsi="Times New Roman" w:eastAsia="Times New Roman" w:cs="Times New Roman"/>
      <w:kern w:val="0"/>
      <w:sz w:val="24"/>
      <w:szCs w:val="24"/>
      <w14:ligatures w14:val="none"/>
    </w:rPr>
  </w:style>
  <w:style w:type="character" w:styleId="normaltextrun" w:customStyle="1">
    <w:name w:val="normaltextrun"/>
    <w:basedOn w:val="DefaultParagraphFont"/>
    <w:rsid w:val="0091148A"/>
  </w:style>
  <w:style w:type="character" w:styleId="Hyperlink">
    <w:name w:val="Hyperlink"/>
    <w:basedOn w:val="DefaultParagraphFont"/>
    <w:uiPriority w:val="99"/>
    <w:unhideWhenUsed/>
    <w:rsid w:val="0047218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2189"/>
    <w:rPr>
      <w:color w:val="605E5C"/>
      <w:shd w:val="clear" w:color="auto" w:fill="E1DFDD"/>
    </w:rPr>
  </w:style>
  <w:style w:type="paragraph" w:styleId="EndnoteText">
    <w:uiPriority w:val="99"/>
    <w:name w:val="endnote text"/>
    <w:basedOn w:val="Normal"/>
    <w:semiHidden/>
    <w:unhideWhenUsed/>
    <w:rsid w:val="13FD3F98"/>
    <w:rPr>
      <w:sz w:val="20"/>
      <w:szCs w:val="20"/>
    </w:rPr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tiff" Id="rId8" /><Relationship Type="http://schemas.openxmlformats.org/officeDocument/2006/relationships/webSettings" Target="webSettings.xml" Id="rId3" /><Relationship Type="http://schemas.openxmlformats.org/officeDocument/2006/relationships/image" Target="media/image4.tiff" Id="rId7" /><Relationship Type="http://schemas.openxmlformats.org/officeDocument/2006/relationships/theme" Target="theme/theme1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tiff" Id="rId6" /><Relationship Type="http://schemas.openxmlformats.org/officeDocument/2006/relationships/fontTable" Target="fontTable.xml" Id="rId11" /><Relationship Type="http://schemas.openxmlformats.org/officeDocument/2006/relationships/image" Target="media/image2.tiff" Id="rId5" /><Relationship Type="http://schemas.openxmlformats.org/officeDocument/2006/relationships/image" Target="media/image7.tiff" Id="rId10" /><Relationship Type="http://schemas.openxmlformats.org/officeDocument/2006/relationships/image" Target="media/image1.tiff" Id="rId4" /><Relationship Type="http://schemas.openxmlformats.org/officeDocument/2006/relationships/image" Target="media/image6.tiff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Alrefai, Hasan</dc:creator>
  <keywords/>
  <dc:description/>
  <lastModifiedBy>Hasan Alrefai</lastModifiedBy>
  <revision>7</revision>
  <dcterms:created xsi:type="dcterms:W3CDTF">2025-04-28T23:45:00.0000000Z</dcterms:created>
  <dcterms:modified xsi:type="dcterms:W3CDTF">2025-04-29T07:57:27.4956105Z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e7542bc-63e5-412b-b0a0-d9586028a7d0_Enabled">
    <vt:lpwstr>true</vt:lpwstr>
  </property>
  <property fmtid="{D5CDD505-2E9C-101B-9397-08002B2CF9AE}" pid="3" name="MSIP_Label_ae7542bc-63e5-412b-b0a0-d9586028a7d0_SetDate">
    <vt:lpwstr>2025-04-11T02:04:03Z</vt:lpwstr>
  </property>
  <property fmtid="{D5CDD505-2E9C-101B-9397-08002B2CF9AE}" pid="4" name="MSIP_Label_ae7542bc-63e5-412b-b0a0-d9586028a7d0_Method">
    <vt:lpwstr>Standard</vt:lpwstr>
  </property>
  <property fmtid="{D5CDD505-2E9C-101B-9397-08002B2CF9AE}" pid="5" name="MSIP_Label_ae7542bc-63e5-412b-b0a0-d9586028a7d0_Name">
    <vt:lpwstr>Sensitive</vt:lpwstr>
  </property>
  <property fmtid="{D5CDD505-2E9C-101B-9397-08002B2CF9AE}" pid="6" name="MSIP_Label_ae7542bc-63e5-412b-b0a0-d9586028a7d0_SiteId">
    <vt:lpwstr>d8999fe4-76af-40b3-b435-1d8977abc08c</vt:lpwstr>
  </property>
  <property fmtid="{D5CDD505-2E9C-101B-9397-08002B2CF9AE}" pid="7" name="MSIP_Label_ae7542bc-63e5-412b-b0a0-d9586028a7d0_ActionId">
    <vt:lpwstr>da92a92b-3d35-4a94-a546-e573d7780c5a</vt:lpwstr>
  </property>
  <property fmtid="{D5CDD505-2E9C-101B-9397-08002B2CF9AE}" pid="8" name="MSIP_Label_ae7542bc-63e5-412b-b0a0-d9586028a7d0_ContentBits">
    <vt:lpwstr>0</vt:lpwstr>
  </property>
  <property fmtid="{D5CDD505-2E9C-101B-9397-08002B2CF9AE}" pid="9" name="MSIP_Label_ae7542bc-63e5-412b-b0a0-d9586028a7d0_Tag">
    <vt:lpwstr>10, 3, 0, 1</vt:lpwstr>
  </property>
</Properties>
</file>