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F2693D">
      <w:pPr>
        <w:rPr>
          <w:rFonts w:hint="eastAsia" w:ascii="Times" w:hAnsi="Times"/>
          <w:sz w:val="22"/>
          <w:szCs w:val="28"/>
          <w:lang w:val="en-US" w:eastAsia="zh-CN"/>
        </w:rPr>
      </w:pPr>
      <w:r>
        <w:rPr>
          <w:rFonts w:hint="eastAsia" w:ascii="Times" w:hAnsi="Times"/>
          <w:b/>
          <w:bCs/>
          <w:sz w:val="22"/>
          <w:szCs w:val="28"/>
          <w:lang w:val="en-US" w:eastAsia="zh-CN"/>
        </w:rPr>
        <w:t>Title:</w:t>
      </w:r>
      <w:r>
        <w:rPr>
          <w:rFonts w:hint="eastAsia" w:ascii="Times" w:hAnsi="Times"/>
          <w:sz w:val="22"/>
          <w:szCs w:val="28"/>
          <w:lang w:val="en-US" w:eastAsia="zh-CN"/>
        </w:rPr>
        <w:t xml:space="preserve"> Cancer-associated Fibroblasts in Pan-Cancer Drive CXCR2+VNN2+ Neutrophil Reprogramming to Mediate Immunosuppression and Immunotherapy Resistance </w:t>
      </w:r>
    </w:p>
    <w:p w14:paraId="0540363B">
      <w:pPr>
        <w:rPr>
          <w:rFonts w:hint="eastAsia" w:ascii="Times" w:hAnsi="Times"/>
          <w:sz w:val="22"/>
          <w:szCs w:val="28"/>
          <w:lang w:val="en-US" w:eastAsia="zh-CN"/>
        </w:rPr>
      </w:pPr>
    </w:p>
    <w:p w14:paraId="58C3E26B">
      <w:pPr>
        <w:rPr>
          <w:rFonts w:hint="eastAsia" w:ascii="Times" w:hAnsi="Times"/>
          <w:sz w:val="22"/>
          <w:szCs w:val="28"/>
          <w:lang w:val="en-US" w:eastAsia="zh-CN"/>
        </w:rPr>
      </w:pPr>
      <w:r>
        <w:rPr>
          <w:rFonts w:hint="eastAsia" w:ascii="Times" w:hAnsi="Times"/>
          <w:sz w:val="22"/>
          <w:szCs w:val="28"/>
          <w:lang w:val="en-US" w:eastAsia="zh-CN"/>
        </w:rPr>
        <w:drawing>
          <wp:inline distT="0" distB="0" distL="114300" distR="114300">
            <wp:extent cx="5251450" cy="6218555"/>
            <wp:effectExtent l="0" t="0" r="15240" b="5715"/>
            <wp:docPr id="1" name="图片 1" descr="figure 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ure s1"/>
                    <pic:cNvPicPr>
                      <a:picLocks noChangeAspect="1"/>
                    </pic:cNvPicPr>
                  </pic:nvPicPr>
                  <pic:blipFill>
                    <a:blip r:embed="rId6"/>
                    <a:stretch>
                      <a:fillRect/>
                    </a:stretch>
                  </pic:blipFill>
                  <pic:spPr>
                    <a:xfrm>
                      <a:off x="0" y="0"/>
                      <a:ext cx="5251450" cy="6218555"/>
                    </a:xfrm>
                    <a:prstGeom prst="rect">
                      <a:avLst/>
                    </a:prstGeom>
                  </pic:spPr>
                </pic:pic>
              </a:graphicData>
            </a:graphic>
          </wp:inline>
        </w:drawing>
      </w:r>
    </w:p>
    <w:p w14:paraId="0BBC1E6F">
      <w:pPr>
        <w:rPr>
          <w:rFonts w:hint="eastAsia" w:ascii="Times" w:hAnsi="Times"/>
          <w:sz w:val="22"/>
          <w:szCs w:val="28"/>
        </w:rPr>
      </w:pPr>
      <w:r>
        <w:rPr>
          <w:rFonts w:hint="eastAsia" w:ascii="Times" w:hAnsi="Times"/>
          <w:b/>
          <w:bCs/>
          <w:sz w:val="22"/>
          <w:szCs w:val="28"/>
        </w:rPr>
        <w:t xml:space="preserve">Figure </w:t>
      </w:r>
      <w:r>
        <w:rPr>
          <w:rFonts w:hint="eastAsia" w:ascii="Times" w:hAnsi="Times"/>
          <w:b/>
          <w:bCs/>
          <w:sz w:val="22"/>
          <w:szCs w:val="28"/>
          <w:lang w:val="en-US" w:eastAsia="zh-CN"/>
        </w:rPr>
        <w:t>S</w:t>
      </w:r>
      <w:r>
        <w:rPr>
          <w:rFonts w:hint="eastAsia" w:ascii="Times" w:hAnsi="Times"/>
          <w:b/>
          <w:bCs/>
          <w:sz w:val="22"/>
          <w:szCs w:val="28"/>
        </w:rPr>
        <w:t>1</w:t>
      </w:r>
      <w:r>
        <w:rPr>
          <w:rFonts w:hint="eastAsia" w:ascii="Times" w:hAnsi="Times"/>
          <w:sz w:val="22"/>
          <w:szCs w:val="28"/>
        </w:rPr>
        <w:t xml:space="preserve"> A</w:t>
      </w:r>
      <w:r>
        <w:rPr>
          <w:rFonts w:hint="eastAsia" w:ascii="Times" w:hAnsi="Times"/>
          <w:sz w:val="22"/>
          <w:szCs w:val="28"/>
          <w:lang w:val="en-US" w:eastAsia="zh-CN"/>
        </w:rPr>
        <w:t>.</w:t>
      </w:r>
      <w:r>
        <w:rPr>
          <w:rFonts w:hint="eastAsia" w:ascii="Times" w:hAnsi="Times"/>
          <w:sz w:val="22"/>
          <w:szCs w:val="28"/>
        </w:rPr>
        <w:t xml:space="preserve"> Histogram of neutrophil counts in 21 cancer species. B</w:t>
      </w:r>
      <w:r>
        <w:rPr>
          <w:rFonts w:hint="eastAsia" w:ascii="Times" w:hAnsi="Times"/>
          <w:sz w:val="22"/>
          <w:szCs w:val="28"/>
          <w:lang w:val="en-US" w:eastAsia="zh-CN"/>
        </w:rPr>
        <w:t>.</w:t>
      </w:r>
      <w:r>
        <w:rPr>
          <w:rFonts w:hint="eastAsia" w:ascii="Times" w:hAnsi="Times"/>
          <w:sz w:val="22"/>
          <w:szCs w:val="28"/>
        </w:rPr>
        <w:t xml:space="preserve"> Histogram showing the percentage of 8 neutrophil subpopulations in 21 cancer types. C</w:t>
      </w:r>
      <w:r>
        <w:rPr>
          <w:rFonts w:hint="eastAsia" w:ascii="Times" w:hAnsi="Times"/>
          <w:sz w:val="22"/>
          <w:szCs w:val="28"/>
          <w:lang w:val="en-US" w:eastAsia="zh-CN"/>
        </w:rPr>
        <w:t>.</w:t>
      </w:r>
      <w:r>
        <w:rPr>
          <w:rFonts w:hint="eastAsia" w:ascii="Times" w:hAnsi="Times"/>
          <w:sz w:val="22"/>
          <w:szCs w:val="28"/>
        </w:rPr>
        <w:t xml:space="preserve"> Histogram of functional enrichment of SFTPC+ Neu subpopulations in tumor tissues, with darker colors representing smaller p-values and greater significance. D</w:t>
      </w:r>
      <w:r>
        <w:rPr>
          <w:rFonts w:hint="eastAsia" w:ascii="Times" w:hAnsi="Times"/>
          <w:sz w:val="22"/>
          <w:szCs w:val="28"/>
          <w:lang w:val="en-US" w:eastAsia="zh-CN"/>
        </w:rPr>
        <w:t>.</w:t>
      </w:r>
      <w:r>
        <w:rPr>
          <w:rFonts w:hint="eastAsia" w:ascii="Times" w:hAnsi="Times"/>
          <w:sz w:val="22"/>
          <w:szCs w:val="28"/>
        </w:rPr>
        <w:t xml:space="preserve"> Neutrophil subpopulation Monocle analysis of 3 kinds of state display, orange, purple and blue represent 3 kinds of state, respectively. E</w:t>
      </w:r>
      <w:r>
        <w:rPr>
          <w:rFonts w:hint="eastAsia" w:ascii="Times" w:hAnsi="Times"/>
          <w:sz w:val="22"/>
          <w:szCs w:val="28"/>
          <w:lang w:val="en-US" w:eastAsia="zh-CN"/>
        </w:rPr>
        <w:t>.</w:t>
      </w:r>
      <w:r>
        <w:rPr>
          <w:rFonts w:hint="eastAsia" w:ascii="Times" w:hAnsi="Times"/>
          <w:sz w:val="22"/>
          <w:szCs w:val="28"/>
        </w:rPr>
        <w:t xml:space="preserve"> scTour analysis of neutrophil evolution trajectory proposed time sequence display, purple represents the starting point of evolution, green represents the end point of evolution. F</w:t>
      </w:r>
      <w:r>
        <w:rPr>
          <w:rFonts w:hint="eastAsia" w:ascii="Times" w:hAnsi="Times"/>
          <w:sz w:val="22"/>
          <w:szCs w:val="28"/>
          <w:lang w:val="en-US" w:eastAsia="zh-CN"/>
        </w:rPr>
        <w:t>.</w:t>
      </w:r>
      <w:r>
        <w:rPr>
          <w:rFonts w:hint="eastAsia" w:ascii="Times" w:hAnsi="Times"/>
          <w:sz w:val="22"/>
          <w:szCs w:val="28"/>
        </w:rPr>
        <w:t xml:space="preserve"> Mountain range plot demonstrating the expression of the co-suppressor molecule CD86 in 8 neutrophil subpopulations in tumor tissues. G</w:t>
      </w:r>
      <w:r>
        <w:rPr>
          <w:rFonts w:hint="eastAsia" w:ascii="Times" w:hAnsi="Times"/>
          <w:sz w:val="22"/>
          <w:szCs w:val="28"/>
          <w:lang w:val="en-US" w:eastAsia="zh-CN"/>
        </w:rPr>
        <w:t>.</w:t>
      </w:r>
      <w:r>
        <w:rPr>
          <w:rFonts w:hint="eastAsia" w:ascii="Times" w:hAnsi="Times"/>
          <w:sz w:val="22"/>
          <w:szCs w:val="28"/>
        </w:rPr>
        <w:t xml:space="preserve"> Correlation between TIMP1+ EREG+ Neu in pan-cancer species and CD8+ T cell depletion markers.</w:t>
      </w:r>
    </w:p>
    <w:p w14:paraId="1BBE1FA3">
      <w:pPr>
        <w:rPr>
          <w:rFonts w:hint="eastAsia" w:ascii="Times" w:hAnsi="Times"/>
          <w:sz w:val="22"/>
          <w:szCs w:val="28"/>
        </w:rPr>
      </w:pPr>
    </w:p>
    <w:p w14:paraId="4AE8308F">
      <w:pPr>
        <w:rPr>
          <w:rFonts w:ascii="Times" w:hAnsi="Times"/>
          <w:sz w:val="22"/>
          <w:szCs w:val="28"/>
        </w:rPr>
      </w:pPr>
    </w:p>
    <w:p w14:paraId="41715804">
      <w:pPr>
        <w:rPr>
          <w:rFonts w:hint="eastAsia" w:ascii="Times" w:hAnsi="Times" w:eastAsiaTheme="minorEastAsia"/>
          <w:sz w:val="22"/>
          <w:szCs w:val="28"/>
          <w:lang w:eastAsia="zh-CN"/>
        </w:rPr>
      </w:pPr>
      <w:r>
        <w:rPr>
          <w:rFonts w:hint="eastAsia" w:ascii="Times" w:hAnsi="Times" w:eastAsiaTheme="minorEastAsia"/>
          <w:sz w:val="22"/>
          <w:szCs w:val="28"/>
          <w:lang w:eastAsia="zh-CN"/>
        </w:rPr>
        <w:drawing>
          <wp:inline distT="0" distB="0" distL="114300" distR="114300">
            <wp:extent cx="5264785" cy="8279765"/>
            <wp:effectExtent l="0" t="0" r="1905" b="8255"/>
            <wp:docPr id="2" name="图片 2" descr="figure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igure s2"/>
                    <pic:cNvPicPr>
                      <a:picLocks noChangeAspect="1"/>
                    </pic:cNvPicPr>
                  </pic:nvPicPr>
                  <pic:blipFill>
                    <a:blip r:embed="rId7"/>
                    <a:stretch>
                      <a:fillRect/>
                    </a:stretch>
                  </pic:blipFill>
                  <pic:spPr>
                    <a:xfrm>
                      <a:off x="0" y="0"/>
                      <a:ext cx="5264785" cy="8279765"/>
                    </a:xfrm>
                    <a:prstGeom prst="rect">
                      <a:avLst/>
                    </a:prstGeom>
                  </pic:spPr>
                </pic:pic>
              </a:graphicData>
            </a:graphic>
          </wp:inline>
        </w:drawing>
      </w:r>
    </w:p>
    <w:p w14:paraId="489BCC8B">
      <w:pPr>
        <w:rPr>
          <w:rFonts w:ascii="Times" w:hAnsi="Times"/>
          <w:sz w:val="22"/>
          <w:szCs w:val="28"/>
        </w:rPr>
      </w:pPr>
      <w:r>
        <w:rPr>
          <w:rFonts w:hint="eastAsia" w:ascii="Times" w:hAnsi="Times"/>
          <w:b/>
          <w:bCs/>
          <w:sz w:val="22"/>
          <w:szCs w:val="28"/>
        </w:rPr>
        <w:t xml:space="preserve">Figure </w:t>
      </w:r>
      <w:r>
        <w:rPr>
          <w:rFonts w:hint="eastAsia" w:ascii="Times" w:hAnsi="Times"/>
          <w:b/>
          <w:bCs/>
          <w:sz w:val="22"/>
          <w:szCs w:val="28"/>
          <w:lang w:val="en-US" w:eastAsia="zh-CN"/>
        </w:rPr>
        <w:t>S</w:t>
      </w:r>
      <w:r>
        <w:rPr>
          <w:rFonts w:hint="eastAsia" w:ascii="Times" w:hAnsi="Times"/>
          <w:b/>
          <w:bCs/>
          <w:sz w:val="22"/>
          <w:szCs w:val="28"/>
        </w:rPr>
        <w:t>2</w:t>
      </w:r>
      <w:r>
        <w:rPr>
          <w:rFonts w:hint="eastAsia" w:ascii="Times" w:hAnsi="Times"/>
          <w:sz w:val="22"/>
          <w:szCs w:val="28"/>
        </w:rPr>
        <w:t xml:space="preserve"> A</w:t>
      </w:r>
      <w:r>
        <w:rPr>
          <w:rFonts w:hint="eastAsia" w:ascii="Times" w:hAnsi="Times"/>
          <w:sz w:val="22"/>
          <w:szCs w:val="28"/>
          <w:lang w:val="en-US" w:eastAsia="zh-CN"/>
        </w:rPr>
        <w:t>.</w:t>
      </w:r>
      <w:r>
        <w:rPr>
          <w:rFonts w:hint="eastAsia" w:ascii="Times" w:hAnsi="Times"/>
          <w:sz w:val="22"/>
          <w:szCs w:val="28"/>
        </w:rPr>
        <w:t xml:space="preserve"> Changes in Azurophil Granulesb, Specific Granules, Gelatinase Granules, Neutrophil Aging, and Secretory vesicles scores during neutrophil evolution in tumor tissue (left) and normal tissue (right).</w:t>
      </w:r>
    </w:p>
    <w:p w14:paraId="1C02CE3C">
      <w:pPr>
        <w:rPr>
          <w:rFonts w:ascii="Times" w:hAnsi="Times"/>
          <w:sz w:val="22"/>
          <w:szCs w:val="28"/>
        </w:rPr>
      </w:pPr>
    </w:p>
    <w:p w14:paraId="054B3AF4">
      <w:pPr>
        <w:rPr>
          <w:rFonts w:hint="eastAsia" w:ascii="Times" w:hAnsi="Times" w:eastAsiaTheme="minorEastAsia"/>
          <w:sz w:val="22"/>
          <w:szCs w:val="28"/>
          <w:lang w:eastAsia="zh-CN"/>
        </w:rPr>
      </w:pPr>
      <w:r>
        <w:rPr>
          <w:rFonts w:hint="eastAsia" w:ascii="Times" w:hAnsi="Times" w:eastAsiaTheme="minorEastAsia"/>
          <w:sz w:val="22"/>
          <w:szCs w:val="28"/>
          <w:lang w:eastAsia="zh-CN"/>
        </w:rPr>
        <w:drawing>
          <wp:inline distT="0" distB="0" distL="114300" distR="114300">
            <wp:extent cx="5258435" cy="5370195"/>
            <wp:effectExtent l="0" t="0" r="8255" b="12065"/>
            <wp:docPr id="3" name="图片 3" descr="figure 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ure s3"/>
                    <pic:cNvPicPr>
                      <a:picLocks noChangeAspect="1"/>
                    </pic:cNvPicPr>
                  </pic:nvPicPr>
                  <pic:blipFill>
                    <a:blip r:embed="rId8"/>
                    <a:stretch>
                      <a:fillRect/>
                    </a:stretch>
                  </pic:blipFill>
                  <pic:spPr>
                    <a:xfrm>
                      <a:off x="0" y="0"/>
                      <a:ext cx="5258435" cy="5370195"/>
                    </a:xfrm>
                    <a:prstGeom prst="rect">
                      <a:avLst/>
                    </a:prstGeom>
                  </pic:spPr>
                </pic:pic>
              </a:graphicData>
            </a:graphic>
          </wp:inline>
        </w:drawing>
      </w:r>
    </w:p>
    <w:p w14:paraId="32AE9031">
      <w:pPr>
        <w:rPr>
          <w:rFonts w:ascii="Times" w:hAnsi="Times"/>
          <w:sz w:val="22"/>
          <w:szCs w:val="28"/>
        </w:rPr>
      </w:pPr>
      <w:r>
        <w:rPr>
          <w:rFonts w:hint="eastAsia" w:ascii="Times" w:hAnsi="Times"/>
          <w:b/>
          <w:bCs/>
          <w:sz w:val="22"/>
          <w:szCs w:val="28"/>
        </w:rPr>
        <w:t xml:space="preserve">Figure </w:t>
      </w:r>
      <w:r>
        <w:rPr>
          <w:rFonts w:hint="eastAsia" w:ascii="Times" w:hAnsi="Times"/>
          <w:b/>
          <w:bCs/>
          <w:sz w:val="22"/>
          <w:szCs w:val="28"/>
          <w:lang w:val="en-US" w:eastAsia="zh-CN"/>
        </w:rPr>
        <w:t>S</w:t>
      </w:r>
      <w:r>
        <w:rPr>
          <w:rFonts w:hint="eastAsia" w:ascii="Times" w:hAnsi="Times"/>
          <w:b/>
          <w:bCs/>
          <w:sz w:val="22"/>
          <w:szCs w:val="28"/>
        </w:rPr>
        <w:t>3</w:t>
      </w:r>
      <w:r>
        <w:rPr>
          <w:rFonts w:hint="eastAsia" w:ascii="Times" w:hAnsi="Times"/>
          <w:sz w:val="22"/>
          <w:szCs w:val="28"/>
        </w:rPr>
        <w:t xml:space="preserve"> A</w:t>
      </w:r>
      <w:r>
        <w:rPr>
          <w:rFonts w:hint="eastAsia" w:ascii="Times" w:hAnsi="Times"/>
          <w:sz w:val="22"/>
          <w:szCs w:val="28"/>
          <w:lang w:val="en-US" w:eastAsia="zh-CN"/>
        </w:rPr>
        <w:t>.</w:t>
      </w:r>
      <w:r>
        <w:rPr>
          <w:rFonts w:hint="eastAsia" w:ascii="Times" w:hAnsi="Times"/>
          <w:sz w:val="22"/>
          <w:szCs w:val="28"/>
        </w:rPr>
        <w:t xml:space="preserve"> Kaplan-Meier survival curves demonstrating the difference in prognosis between patients with high and low CXCR2+ VNN2+ Neu expression in the TCGA datasets LUAD, CESC, ESCA, BLCA. B</w:t>
      </w:r>
      <w:r>
        <w:rPr>
          <w:rFonts w:hint="eastAsia" w:ascii="Times" w:hAnsi="Times"/>
          <w:sz w:val="22"/>
          <w:szCs w:val="28"/>
          <w:lang w:val="en-US" w:eastAsia="zh-CN"/>
        </w:rPr>
        <w:t>.</w:t>
      </w:r>
      <w:r>
        <w:rPr>
          <w:rFonts w:hint="eastAsia" w:ascii="Times" w:hAnsi="Times"/>
          <w:sz w:val="22"/>
          <w:szCs w:val="28"/>
        </w:rPr>
        <w:t xml:space="preserve"> Kaplan-Meier survival curves demonstrating the difference in prognosis between patients with high and low CXCR2+ VNN2+ Neu expression in the TCGA datasets BRCA, OV, RCC, THCA, STAD, CHOL, PRAD. C</w:t>
      </w:r>
      <w:r>
        <w:rPr>
          <w:rFonts w:hint="eastAsia" w:ascii="Times" w:hAnsi="Times"/>
          <w:sz w:val="22"/>
          <w:szCs w:val="28"/>
          <w:lang w:val="en-US" w:eastAsia="zh-CN"/>
        </w:rPr>
        <w:t>.</w:t>
      </w:r>
      <w:r>
        <w:rPr>
          <w:rFonts w:hint="eastAsia" w:ascii="Times" w:hAnsi="Times"/>
          <w:sz w:val="22"/>
          <w:szCs w:val="28"/>
        </w:rPr>
        <w:t xml:space="preserve"> Kaplan-Meier survival curves demonstrating the difference in prognosis between patients with high and low CXCR2+ VNN2+ Neu expression in the TCGA dataset SKCM, COAD.</w:t>
      </w:r>
    </w:p>
    <w:p w14:paraId="6DDE6AB6">
      <w:pPr>
        <w:rPr>
          <w:rFonts w:ascii="Times" w:hAnsi="Times"/>
          <w:sz w:val="22"/>
          <w:szCs w:val="28"/>
        </w:rPr>
      </w:pPr>
    </w:p>
    <w:p w14:paraId="08B0A9D4">
      <w:pPr>
        <w:rPr>
          <w:rFonts w:ascii="Times" w:hAnsi="Times"/>
          <w:sz w:val="22"/>
          <w:szCs w:val="28"/>
        </w:rPr>
      </w:pPr>
    </w:p>
    <w:p w14:paraId="0C3F8416">
      <w:pPr>
        <w:rPr>
          <w:rFonts w:hint="eastAsia" w:ascii="Times" w:hAnsi="Times" w:eastAsiaTheme="minorEastAsia"/>
          <w:sz w:val="22"/>
          <w:szCs w:val="28"/>
          <w:lang w:eastAsia="zh-CN"/>
        </w:rPr>
      </w:pPr>
      <w:r>
        <w:rPr>
          <w:rFonts w:hint="eastAsia" w:ascii="Times" w:hAnsi="Times" w:eastAsiaTheme="minorEastAsia"/>
          <w:sz w:val="22"/>
          <w:szCs w:val="28"/>
          <w:lang w:eastAsia="zh-CN"/>
        </w:rPr>
        <w:drawing>
          <wp:inline distT="0" distB="0" distL="114300" distR="114300">
            <wp:extent cx="5253990" cy="6572250"/>
            <wp:effectExtent l="0" t="0" r="12700" b="15240"/>
            <wp:docPr id="4" name="图片 4" descr="figure 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igure s4"/>
                    <pic:cNvPicPr>
                      <a:picLocks noChangeAspect="1"/>
                    </pic:cNvPicPr>
                  </pic:nvPicPr>
                  <pic:blipFill>
                    <a:blip r:embed="rId9"/>
                    <a:stretch>
                      <a:fillRect/>
                    </a:stretch>
                  </pic:blipFill>
                  <pic:spPr>
                    <a:xfrm>
                      <a:off x="0" y="0"/>
                      <a:ext cx="5253990" cy="6572250"/>
                    </a:xfrm>
                    <a:prstGeom prst="rect">
                      <a:avLst/>
                    </a:prstGeom>
                  </pic:spPr>
                </pic:pic>
              </a:graphicData>
            </a:graphic>
          </wp:inline>
        </w:drawing>
      </w:r>
    </w:p>
    <w:p w14:paraId="7C6FD818">
      <w:pPr>
        <w:rPr>
          <w:rFonts w:hint="eastAsia" w:ascii="Times" w:hAnsi="Times"/>
          <w:sz w:val="22"/>
          <w:szCs w:val="28"/>
        </w:rPr>
      </w:pPr>
      <w:r>
        <w:rPr>
          <w:rFonts w:hint="eastAsia" w:ascii="Times" w:hAnsi="Times"/>
          <w:b/>
          <w:bCs/>
          <w:sz w:val="22"/>
          <w:szCs w:val="28"/>
        </w:rPr>
        <w:t xml:space="preserve">Figure </w:t>
      </w:r>
      <w:r>
        <w:rPr>
          <w:rFonts w:hint="eastAsia" w:ascii="Times" w:hAnsi="Times"/>
          <w:b/>
          <w:bCs/>
          <w:sz w:val="22"/>
          <w:szCs w:val="28"/>
          <w:lang w:val="en-US" w:eastAsia="zh-CN"/>
        </w:rPr>
        <w:t>S</w:t>
      </w:r>
      <w:r>
        <w:rPr>
          <w:rFonts w:hint="eastAsia" w:ascii="Times" w:hAnsi="Times"/>
          <w:b/>
          <w:bCs/>
          <w:sz w:val="22"/>
          <w:szCs w:val="28"/>
        </w:rPr>
        <w:t>4</w:t>
      </w:r>
      <w:r>
        <w:rPr>
          <w:rFonts w:hint="eastAsia" w:ascii="Times" w:hAnsi="Times"/>
          <w:sz w:val="22"/>
          <w:szCs w:val="28"/>
        </w:rPr>
        <w:t xml:space="preserve"> A</w:t>
      </w:r>
      <w:r>
        <w:rPr>
          <w:rFonts w:hint="eastAsia" w:ascii="Times" w:hAnsi="Times"/>
          <w:sz w:val="22"/>
          <w:szCs w:val="28"/>
          <w:lang w:val="en-US" w:eastAsia="zh-CN"/>
        </w:rPr>
        <w:t>.</w:t>
      </w:r>
      <w:r>
        <w:rPr>
          <w:rFonts w:hint="eastAsia" w:ascii="Times" w:hAnsi="Times"/>
          <w:sz w:val="22"/>
          <w:szCs w:val="28"/>
        </w:rPr>
        <w:t xml:space="preserve"> Kaplan-Meier survival curves for the prognosis of patients in the TIMP1+ EREG+ Neu high group and patients in the low group in the TCGA datasets HNSCC, LGG, LIHC, GBM, LUAD, CESC, PAAD, ESCA. B</w:t>
      </w:r>
      <w:r>
        <w:rPr>
          <w:rFonts w:hint="eastAsia" w:ascii="Times" w:hAnsi="Times"/>
          <w:sz w:val="22"/>
          <w:szCs w:val="28"/>
          <w:lang w:val="en-US" w:eastAsia="zh-CN"/>
        </w:rPr>
        <w:t>.</w:t>
      </w:r>
      <w:r>
        <w:rPr>
          <w:rFonts w:hint="eastAsia" w:ascii="Times" w:hAnsi="Times"/>
          <w:sz w:val="22"/>
          <w:szCs w:val="28"/>
        </w:rPr>
        <w:t xml:space="preserve"> Kaplan-Meier survival curves for the prognosis of patients in the TIMP1+ EREG+ Neu high group and patients in the low group in the TCGA datasets BLCA, LUSC, PRAD, CHOL, THCA, STAD, and RCC. C</w:t>
      </w:r>
      <w:r>
        <w:rPr>
          <w:rFonts w:hint="eastAsia" w:ascii="Times" w:hAnsi="Times"/>
          <w:sz w:val="22"/>
          <w:szCs w:val="28"/>
          <w:lang w:val="en-US" w:eastAsia="zh-CN"/>
        </w:rPr>
        <w:t>.</w:t>
      </w:r>
      <w:r>
        <w:rPr>
          <w:rFonts w:hint="eastAsia" w:ascii="Times" w:hAnsi="Times"/>
          <w:sz w:val="22"/>
          <w:szCs w:val="28"/>
        </w:rPr>
        <w:t xml:space="preserve"> Kaplan-Meier survival curves for the prognosis of patients in the high and low TIMP1+ EREG+ Neu groups in the TCGA dataset OV, BRCA, COAD, and SKCM.</w:t>
      </w:r>
    </w:p>
    <w:p w14:paraId="69C205C1">
      <w:pPr>
        <w:rPr>
          <w:rFonts w:ascii="Times" w:hAnsi="Times"/>
          <w:sz w:val="22"/>
          <w:szCs w:val="28"/>
        </w:rPr>
      </w:pPr>
    </w:p>
    <w:p w14:paraId="5CA6744B">
      <w:pPr>
        <w:rPr>
          <w:rFonts w:hint="eastAsia" w:ascii="Times" w:hAnsi="Times" w:eastAsiaTheme="minorEastAsia"/>
          <w:sz w:val="22"/>
          <w:szCs w:val="28"/>
          <w:lang w:eastAsia="zh-CN"/>
        </w:rPr>
      </w:pPr>
      <w:r>
        <w:rPr>
          <w:rFonts w:hint="eastAsia" w:ascii="Times" w:hAnsi="Times" w:eastAsiaTheme="minorEastAsia"/>
          <w:sz w:val="22"/>
          <w:szCs w:val="28"/>
          <w:lang w:eastAsia="zh-CN"/>
        </w:rPr>
        <w:drawing>
          <wp:inline distT="0" distB="0" distL="114300" distR="114300">
            <wp:extent cx="5260975" cy="5901690"/>
            <wp:effectExtent l="0" t="0" r="5715" b="8890"/>
            <wp:docPr id="5" name="图片 5" descr="figure 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igure s5"/>
                    <pic:cNvPicPr>
                      <a:picLocks noChangeAspect="1"/>
                    </pic:cNvPicPr>
                  </pic:nvPicPr>
                  <pic:blipFill>
                    <a:blip r:embed="rId10"/>
                    <a:stretch>
                      <a:fillRect/>
                    </a:stretch>
                  </pic:blipFill>
                  <pic:spPr>
                    <a:xfrm>
                      <a:off x="0" y="0"/>
                      <a:ext cx="5260975" cy="5901690"/>
                    </a:xfrm>
                    <a:prstGeom prst="rect">
                      <a:avLst/>
                    </a:prstGeom>
                  </pic:spPr>
                </pic:pic>
              </a:graphicData>
            </a:graphic>
          </wp:inline>
        </w:drawing>
      </w:r>
    </w:p>
    <w:p w14:paraId="32D03034">
      <w:pPr>
        <w:rPr>
          <w:rFonts w:ascii="Times" w:hAnsi="Times"/>
          <w:sz w:val="22"/>
          <w:szCs w:val="28"/>
        </w:rPr>
      </w:pPr>
      <w:r>
        <w:rPr>
          <w:rFonts w:hint="eastAsia" w:ascii="Times" w:hAnsi="Times"/>
          <w:b/>
          <w:bCs/>
          <w:sz w:val="22"/>
          <w:szCs w:val="28"/>
        </w:rPr>
        <w:t xml:space="preserve">Figure </w:t>
      </w:r>
      <w:r>
        <w:rPr>
          <w:rFonts w:hint="eastAsia" w:ascii="Times" w:hAnsi="Times"/>
          <w:b/>
          <w:bCs/>
          <w:sz w:val="22"/>
          <w:szCs w:val="28"/>
          <w:lang w:val="en-US" w:eastAsia="zh-CN"/>
        </w:rPr>
        <w:t>S</w:t>
      </w:r>
      <w:r>
        <w:rPr>
          <w:rFonts w:hint="eastAsia" w:ascii="Times" w:hAnsi="Times"/>
          <w:b/>
          <w:bCs/>
          <w:sz w:val="22"/>
          <w:szCs w:val="28"/>
        </w:rPr>
        <w:t>5</w:t>
      </w:r>
      <w:r>
        <w:rPr>
          <w:rFonts w:hint="eastAsia" w:ascii="Times" w:hAnsi="Times"/>
          <w:sz w:val="22"/>
          <w:szCs w:val="28"/>
        </w:rPr>
        <w:t xml:space="preserve"> A</w:t>
      </w:r>
      <w:r>
        <w:rPr>
          <w:rFonts w:hint="eastAsia" w:ascii="Times" w:hAnsi="Times"/>
          <w:sz w:val="22"/>
          <w:szCs w:val="28"/>
          <w:lang w:val="en-US" w:eastAsia="zh-CN"/>
        </w:rPr>
        <w:t>.</w:t>
      </w:r>
      <w:r>
        <w:rPr>
          <w:rFonts w:hint="eastAsia" w:ascii="Times" w:hAnsi="Times"/>
          <w:sz w:val="22"/>
          <w:szCs w:val="28"/>
        </w:rPr>
        <w:t xml:space="preserve"> CGGA301, CGGA325, CGGA693, EMTAB6134, GSE13507, METABRIC, prad-su2c-Prognostic Kaplan-Meier survival curves for patients in the CXCR2+ VNN2+ Neu (orange), TIMP1+ EREG+ Neu (blue) high group and patients in the low group in the 2019 dataset. </w:t>
      </w:r>
    </w:p>
    <w:p w14:paraId="77D615C7">
      <w:pPr>
        <w:rPr>
          <w:rFonts w:ascii="Times" w:hAnsi="Times"/>
          <w:sz w:val="22"/>
          <w:szCs w:val="28"/>
        </w:rPr>
      </w:pPr>
    </w:p>
    <w:p w14:paraId="30FDFF0C">
      <w:pPr>
        <w:rPr>
          <w:rFonts w:hint="eastAsia" w:ascii="Times" w:hAnsi="Times" w:eastAsiaTheme="minorEastAsia"/>
          <w:sz w:val="22"/>
          <w:szCs w:val="28"/>
          <w:lang w:eastAsia="zh-CN"/>
        </w:rPr>
      </w:pPr>
      <w:r>
        <w:rPr>
          <w:rFonts w:hint="eastAsia" w:ascii="Times" w:hAnsi="Times" w:eastAsiaTheme="minorEastAsia"/>
          <w:sz w:val="22"/>
          <w:szCs w:val="28"/>
          <w:lang w:eastAsia="zh-CN"/>
        </w:rPr>
        <w:drawing>
          <wp:inline distT="0" distB="0" distL="114300" distR="114300">
            <wp:extent cx="5273040" cy="4845050"/>
            <wp:effectExtent l="0" t="0" r="10160" b="8890"/>
            <wp:docPr id="6" name="图片 6" descr="figure 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igure s6"/>
                    <pic:cNvPicPr>
                      <a:picLocks noChangeAspect="1"/>
                    </pic:cNvPicPr>
                  </pic:nvPicPr>
                  <pic:blipFill>
                    <a:blip r:embed="rId11"/>
                    <a:stretch>
                      <a:fillRect/>
                    </a:stretch>
                  </pic:blipFill>
                  <pic:spPr>
                    <a:xfrm>
                      <a:off x="0" y="0"/>
                      <a:ext cx="5273040" cy="4845050"/>
                    </a:xfrm>
                    <a:prstGeom prst="rect">
                      <a:avLst/>
                    </a:prstGeom>
                  </pic:spPr>
                </pic:pic>
              </a:graphicData>
            </a:graphic>
          </wp:inline>
        </w:drawing>
      </w:r>
    </w:p>
    <w:p w14:paraId="2097AD2B">
      <w:pPr>
        <w:rPr>
          <w:rFonts w:hint="eastAsia" w:ascii="Times" w:hAnsi="Times"/>
          <w:sz w:val="22"/>
          <w:szCs w:val="28"/>
        </w:rPr>
      </w:pPr>
      <w:r>
        <w:rPr>
          <w:rFonts w:hint="eastAsia" w:ascii="Times" w:hAnsi="Times"/>
          <w:b/>
          <w:bCs/>
          <w:sz w:val="22"/>
          <w:szCs w:val="28"/>
        </w:rPr>
        <w:t xml:space="preserve">Figure </w:t>
      </w:r>
      <w:r>
        <w:rPr>
          <w:rFonts w:hint="eastAsia" w:ascii="Times" w:hAnsi="Times"/>
          <w:b/>
          <w:bCs/>
          <w:sz w:val="22"/>
          <w:szCs w:val="28"/>
          <w:lang w:val="en-US" w:eastAsia="zh-CN"/>
        </w:rPr>
        <w:t>S</w:t>
      </w:r>
      <w:r>
        <w:rPr>
          <w:rFonts w:hint="eastAsia" w:ascii="Times" w:hAnsi="Times"/>
          <w:b/>
          <w:bCs/>
          <w:sz w:val="22"/>
          <w:szCs w:val="28"/>
        </w:rPr>
        <w:t xml:space="preserve">6 </w:t>
      </w:r>
      <w:r>
        <w:rPr>
          <w:rFonts w:hint="eastAsia" w:ascii="Times" w:hAnsi="Times"/>
          <w:sz w:val="22"/>
          <w:szCs w:val="28"/>
        </w:rPr>
        <w:t>A</w:t>
      </w:r>
      <w:r>
        <w:rPr>
          <w:rFonts w:hint="eastAsia" w:ascii="Times" w:hAnsi="Times"/>
          <w:sz w:val="22"/>
          <w:szCs w:val="28"/>
          <w:lang w:val="en-US" w:eastAsia="zh-CN"/>
        </w:rPr>
        <w:t>.</w:t>
      </w:r>
      <w:r>
        <w:rPr>
          <w:rFonts w:hint="eastAsia" w:ascii="Times" w:hAnsi="Times"/>
          <w:sz w:val="22"/>
          <w:szCs w:val="28"/>
        </w:rPr>
        <w:t xml:space="preserve"> Spatial distribution of spatial transcriptome neutrophil subpopulations and neighboring cell subpopulations in PAAD patients.  B</w:t>
      </w:r>
      <w:r>
        <w:rPr>
          <w:rFonts w:hint="eastAsia" w:ascii="Times" w:hAnsi="Times"/>
          <w:sz w:val="22"/>
          <w:szCs w:val="28"/>
          <w:lang w:val="en-US" w:eastAsia="zh-CN"/>
        </w:rPr>
        <w:t xml:space="preserve">. </w:t>
      </w:r>
      <w:r>
        <w:rPr>
          <w:rFonts w:hint="eastAsia" w:ascii="Times" w:hAnsi="Times"/>
          <w:sz w:val="22"/>
          <w:szCs w:val="28"/>
        </w:rPr>
        <w:t>Network diagram showing interactions between neutrophil subpopulations together with other cell cell populations in LIHC, LIVER (normal liver tissue), NSCLC, LUNG (normal lung tissue), HNSCC, OV, COAD, SKCM, with thick lines indicating interactions between CXCR2+ VNN2+ Neu and other cell populations, and the size of the dots indicating the number of cell population interactions.</w:t>
      </w:r>
    </w:p>
    <w:p w14:paraId="75DB1E2A">
      <w:pPr>
        <w:rPr>
          <w:rFonts w:ascii="Times" w:hAnsi="Times"/>
          <w:sz w:val="22"/>
          <w:szCs w:val="28"/>
        </w:rPr>
      </w:pPr>
    </w:p>
    <w:p w14:paraId="6EE6EAB3">
      <w:pPr>
        <w:rPr>
          <w:rFonts w:hint="eastAsia" w:ascii="Times" w:hAnsi="Times" w:eastAsiaTheme="minorEastAsia"/>
          <w:sz w:val="22"/>
          <w:szCs w:val="28"/>
          <w:lang w:eastAsia="zh-CN"/>
        </w:rPr>
      </w:pPr>
      <w:r>
        <w:rPr>
          <w:rFonts w:hint="eastAsia" w:ascii="Times" w:hAnsi="Times" w:eastAsiaTheme="minorEastAsia"/>
          <w:sz w:val="22"/>
          <w:szCs w:val="28"/>
          <w:lang w:eastAsia="zh-CN"/>
        </w:rPr>
        <w:drawing>
          <wp:inline distT="0" distB="0" distL="114300" distR="114300">
            <wp:extent cx="5253990" cy="7173595"/>
            <wp:effectExtent l="0" t="0" r="12700" b="8255"/>
            <wp:docPr id="7" name="图片 7" descr="figure s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igure s7"/>
                    <pic:cNvPicPr>
                      <a:picLocks noChangeAspect="1"/>
                    </pic:cNvPicPr>
                  </pic:nvPicPr>
                  <pic:blipFill>
                    <a:blip r:embed="rId12"/>
                    <a:stretch>
                      <a:fillRect/>
                    </a:stretch>
                  </pic:blipFill>
                  <pic:spPr>
                    <a:xfrm>
                      <a:off x="0" y="0"/>
                      <a:ext cx="5253990" cy="7173595"/>
                    </a:xfrm>
                    <a:prstGeom prst="rect">
                      <a:avLst/>
                    </a:prstGeom>
                  </pic:spPr>
                </pic:pic>
              </a:graphicData>
            </a:graphic>
          </wp:inline>
        </w:drawing>
      </w:r>
    </w:p>
    <w:p w14:paraId="72211F66">
      <w:pPr>
        <w:rPr>
          <w:rFonts w:ascii="Times" w:hAnsi="Times"/>
          <w:sz w:val="22"/>
          <w:szCs w:val="28"/>
        </w:rPr>
      </w:pPr>
      <w:r>
        <w:rPr>
          <w:rFonts w:hint="eastAsia" w:ascii="Times" w:hAnsi="Times"/>
          <w:b/>
          <w:bCs/>
          <w:sz w:val="22"/>
          <w:szCs w:val="28"/>
        </w:rPr>
        <w:t xml:space="preserve">Figure </w:t>
      </w:r>
      <w:r>
        <w:rPr>
          <w:rFonts w:hint="eastAsia" w:ascii="Times" w:hAnsi="Times"/>
          <w:b/>
          <w:bCs/>
          <w:sz w:val="22"/>
          <w:szCs w:val="28"/>
          <w:lang w:val="en-US" w:eastAsia="zh-CN"/>
        </w:rPr>
        <w:t>S</w:t>
      </w:r>
      <w:r>
        <w:rPr>
          <w:rFonts w:hint="eastAsia" w:ascii="Times" w:hAnsi="Times"/>
          <w:b/>
          <w:bCs/>
          <w:sz w:val="22"/>
          <w:szCs w:val="28"/>
        </w:rPr>
        <w:t>7</w:t>
      </w:r>
      <w:r>
        <w:rPr>
          <w:rFonts w:hint="eastAsia" w:ascii="Times" w:hAnsi="Times"/>
          <w:sz w:val="22"/>
          <w:szCs w:val="28"/>
        </w:rPr>
        <w:t xml:space="preserve"> A</w:t>
      </w:r>
      <w:r>
        <w:rPr>
          <w:rFonts w:hint="eastAsia" w:ascii="Times" w:hAnsi="Times"/>
          <w:sz w:val="22"/>
          <w:szCs w:val="28"/>
          <w:lang w:val="en-US" w:eastAsia="zh-CN"/>
        </w:rPr>
        <w:t>.</w:t>
      </w:r>
      <w:r>
        <w:rPr>
          <w:rFonts w:hint="eastAsia" w:ascii="Times" w:hAnsi="Times"/>
          <w:sz w:val="22"/>
          <w:szCs w:val="28"/>
        </w:rPr>
        <w:t xml:space="preserve"> Histogram of functional enrichment analysis of MMP11+ Fibro (blue), CCL4+ Fibro (red), RGS5+ Fibro (green), and RPL38+ Fibro (orange) in tumor tissues relative to normal tissues. B</w:t>
      </w:r>
      <w:r>
        <w:rPr>
          <w:rFonts w:hint="eastAsia" w:ascii="Times" w:hAnsi="Times"/>
          <w:sz w:val="22"/>
          <w:szCs w:val="28"/>
          <w:lang w:val="en-US" w:eastAsia="zh-CN"/>
        </w:rPr>
        <w:t>.</w:t>
      </w:r>
      <w:r>
        <w:rPr>
          <w:rFonts w:hint="eastAsia" w:ascii="Times" w:hAnsi="Times"/>
          <w:sz w:val="22"/>
          <w:szCs w:val="28"/>
        </w:rPr>
        <w:t xml:space="preserve"> Cellular communication between fibroblast subpopulations and neutrophil subpopulations in normal tissues, with the size of the dots representing the amount of communication. C</w:t>
      </w:r>
      <w:r>
        <w:rPr>
          <w:rFonts w:hint="eastAsia" w:ascii="Times" w:hAnsi="Times"/>
          <w:sz w:val="22"/>
          <w:szCs w:val="28"/>
          <w:lang w:val="en-US" w:eastAsia="zh-CN"/>
        </w:rPr>
        <w:t>.</w:t>
      </w:r>
      <w:r>
        <w:rPr>
          <w:rFonts w:hint="eastAsia" w:ascii="Times" w:hAnsi="Times"/>
          <w:sz w:val="22"/>
          <w:szCs w:val="28"/>
        </w:rPr>
        <w:t xml:space="preserve"> Circle diagrams show the distribution of ANNEXIN and COLLAGEN signaling pathways in various cell subpopulations in tumor tissue (left) and normal tissue (right). D</w:t>
      </w:r>
      <w:r>
        <w:rPr>
          <w:rFonts w:hint="eastAsia" w:ascii="Times" w:hAnsi="Times"/>
          <w:sz w:val="22"/>
          <w:szCs w:val="28"/>
          <w:lang w:val="en-US" w:eastAsia="zh-CN"/>
        </w:rPr>
        <w:t>.</w:t>
      </w:r>
      <w:r>
        <w:rPr>
          <w:rFonts w:hint="eastAsia" w:ascii="Times" w:hAnsi="Times"/>
          <w:sz w:val="22"/>
          <w:szCs w:val="28"/>
        </w:rPr>
        <w:t xml:space="preserve"> Sankey diagram demonstrating extracellular vesicle interaction of neutrophil subpopulations and fibroblast subpopulations in normal tissue. E-F</w:t>
      </w:r>
      <w:r>
        <w:rPr>
          <w:rFonts w:hint="eastAsia" w:ascii="Times" w:hAnsi="Times"/>
          <w:sz w:val="22"/>
          <w:szCs w:val="28"/>
          <w:lang w:val="en-US" w:eastAsia="zh-CN"/>
        </w:rPr>
        <w:t>.</w:t>
      </w:r>
      <w:r>
        <w:rPr>
          <w:rFonts w:hint="eastAsia" w:ascii="Times" w:hAnsi="Times"/>
          <w:sz w:val="22"/>
          <w:szCs w:val="28"/>
        </w:rPr>
        <w:t xml:space="preserve"> Histogram of the number of metabolite interactions between neutrophil and fibroblast subpopulations in tumor tissue (E) and normal tissue (F), with purple representing Sender and orange representing Recevier. G</w:t>
      </w:r>
      <w:r>
        <w:rPr>
          <w:rFonts w:hint="eastAsia" w:ascii="Times" w:hAnsi="Times"/>
          <w:sz w:val="22"/>
          <w:szCs w:val="28"/>
          <w:lang w:val="en-US" w:eastAsia="zh-CN"/>
        </w:rPr>
        <w:t>.</w:t>
      </w:r>
      <w:r>
        <w:rPr>
          <w:rFonts w:hint="eastAsia" w:ascii="Times" w:hAnsi="Times"/>
          <w:sz w:val="22"/>
          <w:szCs w:val="28"/>
        </w:rPr>
        <w:t xml:space="preserve"> Network diagram of metabolite interactions in normal tissues, with the thickness of the line representing the intensity of the interaction.</w:t>
      </w:r>
    </w:p>
    <w:p w14:paraId="7BBE8CDA">
      <w:pPr>
        <w:rPr>
          <w:rFonts w:ascii="Times" w:hAnsi="Times"/>
          <w:sz w:val="22"/>
          <w:szCs w:val="28"/>
        </w:rPr>
      </w:pPr>
    </w:p>
    <w:p w14:paraId="6D34BD05">
      <w:pPr>
        <w:rPr>
          <w:rFonts w:hint="eastAsia" w:ascii="Times" w:hAnsi="Times" w:eastAsiaTheme="minorEastAsia"/>
          <w:sz w:val="22"/>
          <w:szCs w:val="28"/>
          <w:lang w:eastAsia="zh-CN"/>
        </w:rPr>
      </w:pPr>
      <w:r>
        <w:rPr>
          <w:rFonts w:hint="eastAsia" w:ascii="Times" w:hAnsi="Times" w:eastAsiaTheme="minorEastAsia"/>
          <w:sz w:val="22"/>
          <w:szCs w:val="28"/>
          <w:lang w:eastAsia="zh-CN"/>
        </w:rPr>
        <w:drawing>
          <wp:inline distT="0" distB="0" distL="114300" distR="114300">
            <wp:extent cx="5262245" cy="6153150"/>
            <wp:effectExtent l="0" t="0" r="4445" b="5080"/>
            <wp:docPr id="8" name="图片 8" descr="figure s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figure s8"/>
                    <pic:cNvPicPr>
                      <a:picLocks noChangeAspect="1"/>
                    </pic:cNvPicPr>
                  </pic:nvPicPr>
                  <pic:blipFill>
                    <a:blip r:embed="rId13"/>
                    <a:stretch>
                      <a:fillRect/>
                    </a:stretch>
                  </pic:blipFill>
                  <pic:spPr>
                    <a:xfrm>
                      <a:off x="0" y="0"/>
                      <a:ext cx="5262245" cy="6153150"/>
                    </a:xfrm>
                    <a:prstGeom prst="rect">
                      <a:avLst/>
                    </a:prstGeom>
                  </pic:spPr>
                </pic:pic>
              </a:graphicData>
            </a:graphic>
          </wp:inline>
        </w:drawing>
      </w:r>
    </w:p>
    <w:p w14:paraId="582E90B0">
      <w:pPr>
        <w:rPr>
          <w:rFonts w:ascii="Times" w:hAnsi="Times"/>
          <w:sz w:val="22"/>
          <w:szCs w:val="28"/>
        </w:rPr>
      </w:pPr>
      <w:r>
        <w:rPr>
          <w:rFonts w:hint="eastAsia" w:ascii="Times" w:hAnsi="Times"/>
          <w:b/>
          <w:bCs/>
          <w:sz w:val="22"/>
          <w:szCs w:val="28"/>
        </w:rPr>
        <w:t xml:space="preserve">Figure </w:t>
      </w:r>
      <w:r>
        <w:rPr>
          <w:rFonts w:hint="eastAsia" w:ascii="Times" w:hAnsi="Times"/>
          <w:b/>
          <w:bCs/>
          <w:sz w:val="22"/>
          <w:szCs w:val="28"/>
          <w:lang w:val="en-US" w:eastAsia="zh-CN"/>
        </w:rPr>
        <w:t>S</w:t>
      </w:r>
      <w:r>
        <w:rPr>
          <w:rFonts w:hint="eastAsia" w:ascii="Times" w:hAnsi="Times"/>
          <w:b/>
          <w:bCs/>
          <w:sz w:val="22"/>
          <w:szCs w:val="28"/>
        </w:rPr>
        <w:t>8</w:t>
      </w:r>
      <w:r>
        <w:rPr>
          <w:rFonts w:hint="eastAsia" w:ascii="Times" w:hAnsi="Times"/>
          <w:sz w:val="22"/>
          <w:szCs w:val="28"/>
        </w:rPr>
        <w:t xml:space="preserve"> A</w:t>
      </w:r>
      <w:r>
        <w:rPr>
          <w:rFonts w:hint="eastAsia" w:ascii="Times" w:hAnsi="Times"/>
          <w:sz w:val="22"/>
          <w:szCs w:val="28"/>
          <w:lang w:val="en-US" w:eastAsia="zh-CN"/>
        </w:rPr>
        <w:t>.</w:t>
      </w:r>
      <w:r>
        <w:rPr>
          <w:rFonts w:hint="eastAsia" w:ascii="Times" w:hAnsi="Times"/>
          <w:sz w:val="22"/>
          <w:szCs w:val="28"/>
        </w:rPr>
        <w:t xml:space="preserve"> Violin plot demonstrating 18 up-regulated genes regulated by MMP11+ Fibro in CXCR2+ VNN2+ Neu of tumor tissues compared to normal tissues, with tumor tissues in purple and normal tissues in orange.</w:t>
      </w:r>
    </w:p>
    <w:p w14:paraId="0D7195C5">
      <w:pPr>
        <w:rPr>
          <w:rFonts w:ascii="Times" w:hAnsi="Times"/>
          <w:sz w:val="22"/>
          <w:szCs w:val="28"/>
        </w:rPr>
      </w:pPr>
    </w:p>
    <w:p w14:paraId="663D72C2">
      <w:pPr>
        <w:rPr>
          <w:rFonts w:hint="eastAsia" w:ascii="Times" w:hAnsi="Times" w:eastAsiaTheme="minorEastAsia"/>
          <w:sz w:val="22"/>
          <w:szCs w:val="28"/>
          <w:lang w:eastAsia="zh-CN"/>
        </w:rPr>
      </w:pPr>
      <w:r>
        <w:rPr>
          <w:rFonts w:hint="eastAsia" w:ascii="Times" w:hAnsi="Times" w:eastAsiaTheme="minorEastAsia"/>
          <w:sz w:val="22"/>
          <w:szCs w:val="28"/>
          <w:lang w:eastAsia="zh-CN"/>
        </w:rPr>
        <w:drawing>
          <wp:inline distT="0" distB="0" distL="114300" distR="114300">
            <wp:extent cx="5253355" cy="6062345"/>
            <wp:effectExtent l="0" t="0" r="13335" b="13335"/>
            <wp:docPr id="9" name="图片 9" descr="figure s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figure s9"/>
                    <pic:cNvPicPr>
                      <a:picLocks noChangeAspect="1"/>
                    </pic:cNvPicPr>
                  </pic:nvPicPr>
                  <pic:blipFill>
                    <a:blip r:embed="rId14"/>
                    <a:stretch>
                      <a:fillRect/>
                    </a:stretch>
                  </pic:blipFill>
                  <pic:spPr>
                    <a:xfrm>
                      <a:off x="0" y="0"/>
                      <a:ext cx="5253355" cy="6062345"/>
                    </a:xfrm>
                    <a:prstGeom prst="rect">
                      <a:avLst/>
                    </a:prstGeom>
                  </pic:spPr>
                </pic:pic>
              </a:graphicData>
            </a:graphic>
          </wp:inline>
        </w:drawing>
      </w:r>
    </w:p>
    <w:p w14:paraId="598B5445">
      <w:pPr>
        <w:rPr>
          <w:rFonts w:ascii="Times" w:hAnsi="Times"/>
          <w:sz w:val="22"/>
          <w:szCs w:val="28"/>
        </w:rPr>
      </w:pPr>
      <w:r>
        <w:rPr>
          <w:rFonts w:hint="eastAsia" w:ascii="Times" w:hAnsi="Times"/>
          <w:b/>
          <w:bCs/>
          <w:sz w:val="22"/>
          <w:szCs w:val="28"/>
        </w:rPr>
        <w:t xml:space="preserve">Figure </w:t>
      </w:r>
      <w:r>
        <w:rPr>
          <w:rFonts w:hint="eastAsia" w:ascii="Times" w:hAnsi="Times"/>
          <w:b/>
          <w:bCs/>
          <w:sz w:val="22"/>
          <w:szCs w:val="28"/>
          <w:lang w:val="en-US" w:eastAsia="zh-CN"/>
        </w:rPr>
        <w:t>S</w:t>
      </w:r>
      <w:r>
        <w:rPr>
          <w:rFonts w:hint="eastAsia" w:ascii="Times" w:hAnsi="Times"/>
          <w:b/>
          <w:bCs/>
          <w:sz w:val="22"/>
          <w:szCs w:val="28"/>
        </w:rPr>
        <w:t xml:space="preserve">9 </w:t>
      </w:r>
      <w:r>
        <w:rPr>
          <w:rFonts w:hint="eastAsia" w:ascii="Times" w:hAnsi="Times"/>
          <w:sz w:val="22"/>
          <w:szCs w:val="28"/>
        </w:rPr>
        <w:t>A</w:t>
      </w:r>
      <w:r>
        <w:rPr>
          <w:rFonts w:hint="eastAsia" w:ascii="Times" w:hAnsi="Times"/>
          <w:sz w:val="22"/>
          <w:szCs w:val="28"/>
          <w:lang w:val="en-US" w:eastAsia="zh-CN"/>
        </w:rPr>
        <w:t>.</w:t>
      </w:r>
      <w:r>
        <w:rPr>
          <w:rFonts w:hint="eastAsia" w:ascii="Times" w:hAnsi="Times"/>
          <w:sz w:val="22"/>
          <w:szCs w:val="28"/>
        </w:rPr>
        <w:t xml:space="preserve"> Violin plot demonstrating 20 down-regulated genes regulated by MMP11+ Fibro in CXCR2+ VNN2+ Neu of tumor tissue compared to normal tissue, with tumor tissue in purple and normal tissue in orange.</w:t>
      </w:r>
    </w:p>
    <w:p w14:paraId="512CD3A0">
      <w:pPr>
        <w:rPr>
          <w:rFonts w:ascii="Times" w:hAnsi="Times"/>
          <w:sz w:val="22"/>
          <w:szCs w:val="28"/>
        </w:rPr>
      </w:pPr>
    </w:p>
    <w:p w14:paraId="4DACC045">
      <w:pPr>
        <w:rPr>
          <w:rFonts w:hint="eastAsia" w:ascii="Times" w:hAnsi="Times" w:eastAsiaTheme="minorEastAsia"/>
          <w:sz w:val="22"/>
          <w:szCs w:val="28"/>
          <w:lang w:eastAsia="zh-CN"/>
        </w:rPr>
      </w:pPr>
      <w:r>
        <w:rPr>
          <w:rFonts w:hint="eastAsia" w:ascii="Times" w:hAnsi="Times" w:eastAsiaTheme="minorEastAsia"/>
          <w:sz w:val="22"/>
          <w:szCs w:val="28"/>
          <w:lang w:eastAsia="zh-CN"/>
        </w:rPr>
        <w:drawing>
          <wp:inline distT="0" distB="0" distL="114300" distR="114300">
            <wp:extent cx="5267960" cy="4331335"/>
            <wp:effectExtent l="0" t="0" r="15240" b="10795"/>
            <wp:docPr id="10" name="图片 10" descr="figure s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figure s10"/>
                    <pic:cNvPicPr>
                      <a:picLocks noChangeAspect="1"/>
                    </pic:cNvPicPr>
                  </pic:nvPicPr>
                  <pic:blipFill>
                    <a:blip r:embed="rId15"/>
                    <a:stretch>
                      <a:fillRect/>
                    </a:stretch>
                  </pic:blipFill>
                  <pic:spPr>
                    <a:xfrm>
                      <a:off x="0" y="0"/>
                      <a:ext cx="5267960" cy="4331335"/>
                    </a:xfrm>
                    <a:prstGeom prst="rect">
                      <a:avLst/>
                    </a:prstGeom>
                  </pic:spPr>
                </pic:pic>
              </a:graphicData>
            </a:graphic>
          </wp:inline>
        </w:drawing>
      </w:r>
    </w:p>
    <w:p w14:paraId="3FBF84EE">
      <w:pPr>
        <w:rPr>
          <w:rFonts w:ascii="Times" w:hAnsi="Times"/>
          <w:sz w:val="22"/>
          <w:szCs w:val="28"/>
        </w:rPr>
      </w:pPr>
      <w:r>
        <w:rPr>
          <w:rFonts w:hint="eastAsia" w:ascii="Times" w:hAnsi="Times"/>
          <w:b/>
          <w:bCs/>
          <w:sz w:val="22"/>
          <w:szCs w:val="28"/>
        </w:rPr>
        <w:t xml:space="preserve">Figure </w:t>
      </w:r>
      <w:r>
        <w:rPr>
          <w:rFonts w:hint="eastAsia" w:ascii="Times" w:hAnsi="Times"/>
          <w:b/>
          <w:bCs/>
          <w:sz w:val="22"/>
          <w:szCs w:val="28"/>
          <w:lang w:val="en-US" w:eastAsia="zh-CN"/>
        </w:rPr>
        <w:t>S</w:t>
      </w:r>
      <w:r>
        <w:rPr>
          <w:rFonts w:hint="eastAsia" w:ascii="Times" w:hAnsi="Times"/>
          <w:b/>
          <w:bCs/>
          <w:sz w:val="22"/>
          <w:szCs w:val="28"/>
        </w:rPr>
        <w:t>10</w:t>
      </w:r>
      <w:r>
        <w:rPr>
          <w:rFonts w:hint="eastAsia" w:ascii="Times" w:hAnsi="Times"/>
          <w:sz w:val="22"/>
          <w:szCs w:val="28"/>
        </w:rPr>
        <w:t xml:space="preserve"> A</w:t>
      </w:r>
      <w:r>
        <w:rPr>
          <w:rFonts w:hint="eastAsia" w:ascii="Times" w:hAnsi="Times"/>
          <w:sz w:val="22"/>
          <w:szCs w:val="28"/>
          <w:lang w:val="en-US" w:eastAsia="zh-CN"/>
        </w:rPr>
        <w:t>.</w:t>
      </w:r>
      <w:r>
        <w:rPr>
          <w:rFonts w:hint="eastAsia" w:ascii="Times" w:hAnsi="Times"/>
          <w:sz w:val="22"/>
          <w:szCs w:val="28"/>
        </w:rPr>
        <w:t xml:space="preserve"> Violin plots demonstrating the differences in the expression of nine genes in CXCR2+ VNN2+ Neu regulated by fibroblasts through extracellular vesicles in tumor and normal tissues, with tumor tissues in purple and normal tissues in orange. B</w:t>
      </w:r>
      <w:r>
        <w:rPr>
          <w:rFonts w:hint="eastAsia" w:ascii="Times" w:hAnsi="Times"/>
          <w:sz w:val="22"/>
          <w:szCs w:val="28"/>
          <w:lang w:val="en-US" w:eastAsia="zh-CN"/>
        </w:rPr>
        <w:t>.</w:t>
      </w:r>
      <w:r>
        <w:rPr>
          <w:rFonts w:hint="eastAsia" w:ascii="Times" w:hAnsi="Times"/>
          <w:sz w:val="22"/>
          <w:szCs w:val="28"/>
        </w:rPr>
        <w:t xml:space="preserve"> Regulation of CXCR2+ VNN2+ Neu-related genes by RGS5+ Fibro (green) as well as CCL4+ Fibro (red) in normal tissues.</w:t>
      </w:r>
    </w:p>
    <w:p w14:paraId="315B7634">
      <w:pPr>
        <w:rPr>
          <w:rFonts w:ascii="Times" w:hAnsi="Times"/>
          <w:sz w:val="22"/>
          <w:szCs w:val="28"/>
        </w:rPr>
      </w:pPr>
    </w:p>
    <w:p w14:paraId="77ECDD57">
      <w:pPr>
        <w:rPr>
          <w:rFonts w:hint="eastAsia" w:ascii="Times" w:hAnsi="Times" w:eastAsiaTheme="minorEastAsia"/>
          <w:sz w:val="22"/>
          <w:szCs w:val="28"/>
          <w:lang w:eastAsia="zh-CN"/>
        </w:rPr>
      </w:pPr>
      <w:r>
        <w:rPr>
          <w:rFonts w:hint="eastAsia" w:ascii="Times" w:hAnsi="Times" w:eastAsiaTheme="minorEastAsia"/>
          <w:sz w:val="22"/>
          <w:szCs w:val="28"/>
          <w:lang w:eastAsia="zh-CN"/>
        </w:rPr>
        <w:drawing>
          <wp:inline distT="0" distB="0" distL="114300" distR="114300">
            <wp:extent cx="5270500" cy="4779645"/>
            <wp:effectExtent l="0" t="0" r="12700" b="8255"/>
            <wp:docPr id="11" name="图片 11" descr="figure s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figure s11"/>
                    <pic:cNvPicPr>
                      <a:picLocks noChangeAspect="1"/>
                    </pic:cNvPicPr>
                  </pic:nvPicPr>
                  <pic:blipFill>
                    <a:blip r:embed="rId16"/>
                    <a:stretch>
                      <a:fillRect/>
                    </a:stretch>
                  </pic:blipFill>
                  <pic:spPr>
                    <a:xfrm>
                      <a:off x="0" y="0"/>
                      <a:ext cx="5270500" cy="4779645"/>
                    </a:xfrm>
                    <a:prstGeom prst="rect">
                      <a:avLst/>
                    </a:prstGeom>
                  </pic:spPr>
                </pic:pic>
              </a:graphicData>
            </a:graphic>
          </wp:inline>
        </w:drawing>
      </w:r>
    </w:p>
    <w:p w14:paraId="1CD27745">
      <w:pPr>
        <w:rPr>
          <w:rFonts w:ascii="Times" w:hAnsi="Times"/>
          <w:sz w:val="22"/>
          <w:szCs w:val="28"/>
        </w:rPr>
      </w:pPr>
      <w:r>
        <w:rPr>
          <w:rFonts w:hint="eastAsia" w:ascii="Times" w:hAnsi="Times"/>
          <w:b/>
          <w:bCs/>
          <w:sz w:val="22"/>
          <w:szCs w:val="28"/>
        </w:rPr>
        <w:t xml:space="preserve">Figure </w:t>
      </w:r>
      <w:r>
        <w:rPr>
          <w:rFonts w:hint="eastAsia" w:ascii="Times" w:hAnsi="Times"/>
          <w:b/>
          <w:bCs/>
          <w:sz w:val="22"/>
          <w:szCs w:val="28"/>
          <w:lang w:val="en-US" w:eastAsia="zh-CN"/>
        </w:rPr>
        <w:t>S</w:t>
      </w:r>
      <w:r>
        <w:rPr>
          <w:rFonts w:hint="eastAsia" w:ascii="Times" w:hAnsi="Times"/>
          <w:b/>
          <w:bCs/>
          <w:sz w:val="22"/>
          <w:szCs w:val="28"/>
        </w:rPr>
        <w:t>11</w:t>
      </w:r>
      <w:r>
        <w:rPr>
          <w:rFonts w:hint="eastAsia" w:ascii="Times" w:hAnsi="Times"/>
          <w:sz w:val="22"/>
          <w:szCs w:val="28"/>
        </w:rPr>
        <w:t xml:space="preserve"> A Bar graph demonstrating the expression changes of 3 immunosuppressive pathway related genes in BLCA, BRCA, CESC, COAD, HNSCC, OV, STAD with knockdown of GTF2IRD1, GO:0001915 (red), GO:0002698 (blue) and GO:0002683 yellow). B Bar graph demonstrating the expression changes of 3 immunosuppressive pathway-related genes in BLCA, BRCA, CESC, COAD, HNSCC, OV, and STAD with knockdown of BACH1, GO:0001915(red), GO:0002698(blue) and GO:0002683 yellow). C Bar graph showing the expression changes of 3 immunosuppressive pathway-related genes in BLCA, BRCA, CESC, COAD, HNSCC, OV, and STAD with knockdown of ATF2, GO:0001915(red), GO:0002698(blue) and GO:0002683 yellow).</w:t>
      </w:r>
    </w:p>
    <w:p w14:paraId="51364564">
      <w:pPr>
        <w:rPr>
          <w:rFonts w:ascii="Times" w:hAnsi="Times"/>
          <w:sz w:val="22"/>
          <w:szCs w:val="28"/>
        </w:rPr>
      </w:pPr>
    </w:p>
    <w:p w14:paraId="650105D4">
      <w:pPr>
        <w:rPr>
          <w:rFonts w:hint="eastAsia" w:ascii="Times" w:hAnsi="Times" w:eastAsiaTheme="minorEastAsia"/>
          <w:sz w:val="22"/>
          <w:szCs w:val="28"/>
          <w:lang w:eastAsia="zh-CN"/>
        </w:rPr>
      </w:pPr>
      <w:r>
        <w:rPr>
          <w:rFonts w:hint="eastAsia" w:ascii="Times" w:hAnsi="Times" w:eastAsiaTheme="minorEastAsia"/>
          <w:sz w:val="22"/>
          <w:szCs w:val="28"/>
          <w:lang w:eastAsia="zh-CN"/>
        </w:rPr>
        <w:drawing>
          <wp:inline distT="0" distB="0" distL="114300" distR="114300">
            <wp:extent cx="5273040" cy="5512435"/>
            <wp:effectExtent l="0" t="0" r="10160" b="1905"/>
            <wp:docPr id="12" name="图片 12" descr="figure s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figure s12"/>
                    <pic:cNvPicPr>
                      <a:picLocks noChangeAspect="1"/>
                    </pic:cNvPicPr>
                  </pic:nvPicPr>
                  <pic:blipFill>
                    <a:blip r:embed="rId17"/>
                    <a:stretch>
                      <a:fillRect/>
                    </a:stretch>
                  </pic:blipFill>
                  <pic:spPr>
                    <a:xfrm>
                      <a:off x="0" y="0"/>
                      <a:ext cx="5273040" cy="5512435"/>
                    </a:xfrm>
                    <a:prstGeom prst="rect">
                      <a:avLst/>
                    </a:prstGeom>
                  </pic:spPr>
                </pic:pic>
              </a:graphicData>
            </a:graphic>
          </wp:inline>
        </w:drawing>
      </w:r>
    </w:p>
    <w:p w14:paraId="2A10F76E">
      <w:pPr>
        <w:rPr>
          <w:rFonts w:ascii="Times" w:hAnsi="Times"/>
          <w:sz w:val="22"/>
          <w:szCs w:val="28"/>
        </w:rPr>
      </w:pPr>
      <w:r>
        <w:rPr>
          <w:rFonts w:hint="eastAsia" w:ascii="Times" w:hAnsi="Times"/>
          <w:b/>
          <w:bCs/>
          <w:sz w:val="22"/>
          <w:szCs w:val="28"/>
        </w:rPr>
        <w:t xml:space="preserve">Figure </w:t>
      </w:r>
      <w:r>
        <w:rPr>
          <w:rFonts w:hint="eastAsia" w:ascii="Times" w:hAnsi="Times"/>
          <w:b/>
          <w:bCs/>
          <w:sz w:val="22"/>
          <w:szCs w:val="28"/>
          <w:lang w:val="en-US" w:eastAsia="zh-CN"/>
        </w:rPr>
        <w:t>S</w:t>
      </w:r>
      <w:r>
        <w:rPr>
          <w:rFonts w:hint="eastAsia" w:ascii="Times" w:hAnsi="Times"/>
          <w:b/>
          <w:bCs/>
          <w:sz w:val="22"/>
          <w:szCs w:val="28"/>
        </w:rPr>
        <w:t>12</w:t>
      </w:r>
      <w:r>
        <w:rPr>
          <w:rFonts w:hint="eastAsia" w:ascii="Times" w:hAnsi="Times"/>
          <w:sz w:val="22"/>
          <w:szCs w:val="28"/>
        </w:rPr>
        <w:t xml:space="preserve"> A</w:t>
      </w:r>
      <w:r>
        <w:rPr>
          <w:rFonts w:hint="eastAsia" w:ascii="Times" w:hAnsi="Times"/>
          <w:sz w:val="22"/>
          <w:szCs w:val="28"/>
          <w:lang w:val="en-US" w:eastAsia="zh-CN"/>
        </w:rPr>
        <w:t>.</w:t>
      </w:r>
      <w:r>
        <w:rPr>
          <w:rFonts w:hint="eastAsia" w:ascii="Times" w:hAnsi="Times"/>
          <w:sz w:val="22"/>
          <w:szCs w:val="28"/>
        </w:rPr>
        <w:t xml:space="preserve"> UMAP plot of the distribution of neutrophils in the immunotherapy cohort across cancer types (left) and in treatment-responsive and non-responsive patients (right). B</w:t>
      </w:r>
      <w:r>
        <w:rPr>
          <w:rFonts w:hint="eastAsia" w:ascii="Times" w:hAnsi="Times"/>
          <w:sz w:val="22"/>
          <w:szCs w:val="28"/>
          <w:lang w:val="en-US" w:eastAsia="zh-CN"/>
        </w:rPr>
        <w:t>.</w:t>
      </w:r>
      <w:r>
        <w:rPr>
          <w:rFonts w:hint="eastAsia" w:ascii="Times" w:hAnsi="Times"/>
          <w:sz w:val="22"/>
          <w:szCs w:val="28"/>
        </w:rPr>
        <w:t xml:space="preserve"> Bar graph showing the distribution of the 8 neutrophil subpopulations across cancer types. C</w:t>
      </w:r>
      <w:r>
        <w:rPr>
          <w:rFonts w:hint="eastAsia" w:ascii="Times" w:hAnsi="Times"/>
          <w:sz w:val="22"/>
          <w:szCs w:val="28"/>
          <w:lang w:val="en-US" w:eastAsia="zh-CN"/>
        </w:rPr>
        <w:t>.</w:t>
      </w:r>
      <w:r>
        <w:rPr>
          <w:rFonts w:hint="eastAsia" w:ascii="Times" w:hAnsi="Times"/>
          <w:sz w:val="22"/>
          <w:szCs w:val="28"/>
        </w:rPr>
        <w:t xml:space="preserve"> </w:t>
      </w:r>
      <w:r>
        <w:rPr>
          <w:rFonts w:ascii="Times" w:hAnsi="Times"/>
          <w:sz w:val="22"/>
          <w:szCs w:val="28"/>
        </w:rPr>
        <w:t>Functional enrichment analysis of C0_Neu in treatment non-responders (red) and responders (blue)</w:t>
      </w:r>
      <w:r>
        <w:rPr>
          <w:rFonts w:hint="eastAsia" w:ascii="Times" w:hAnsi="Times"/>
          <w:sz w:val="22"/>
          <w:szCs w:val="28"/>
        </w:rPr>
        <w:t>. D</w:t>
      </w:r>
      <w:r>
        <w:rPr>
          <w:rFonts w:hint="eastAsia" w:ascii="Times" w:hAnsi="Times"/>
          <w:sz w:val="22"/>
          <w:szCs w:val="28"/>
          <w:lang w:val="en-US" w:eastAsia="zh-CN"/>
        </w:rPr>
        <w:t>.</w:t>
      </w:r>
      <w:r>
        <w:rPr>
          <w:rFonts w:hint="eastAsia" w:ascii="Times" w:hAnsi="Times"/>
          <w:sz w:val="22"/>
          <w:szCs w:val="28"/>
        </w:rPr>
        <w:t xml:space="preserve"> UMAP plot of the distribution of immunotherapy cohort fibroblasts in different cancer types (left) as well as in </w:t>
      </w:r>
      <w:r>
        <w:rPr>
          <w:rFonts w:hint="eastAsia" w:ascii="Times" w:hAnsi="Times"/>
          <w:sz w:val="22"/>
          <w:szCs w:val="28"/>
          <w:highlight w:val="none"/>
        </w:rPr>
        <w:t>treatment-responsive and non-responsive patients</w:t>
      </w:r>
      <w:r>
        <w:rPr>
          <w:rFonts w:hint="eastAsia" w:ascii="Times" w:hAnsi="Times"/>
          <w:sz w:val="22"/>
          <w:szCs w:val="28"/>
        </w:rPr>
        <w:t xml:space="preserve"> (right). E</w:t>
      </w:r>
      <w:r>
        <w:rPr>
          <w:rFonts w:hint="eastAsia" w:ascii="Times" w:hAnsi="Times"/>
          <w:sz w:val="22"/>
          <w:szCs w:val="28"/>
          <w:lang w:val="en-US" w:eastAsia="zh-CN"/>
        </w:rPr>
        <w:t>.</w:t>
      </w:r>
      <w:r>
        <w:rPr>
          <w:rFonts w:hint="eastAsia" w:ascii="Times" w:hAnsi="Times"/>
          <w:sz w:val="22"/>
          <w:szCs w:val="28"/>
        </w:rPr>
        <w:t xml:space="preserve"> Bar graph showing the distribution of 8 fibroblast subpopulations in different cancer types. F</w:t>
      </w:r>
      <w:r>
        <w:rPr>
          <w:rFonts w:hint="eastAsia" w:ascii="Times" w:hAnsi="Times"/>
          <w:sz w:val="22"/>
          <w:szCs w:val="28"/>
          <w:lang w:val="en-US" w:eastAsia="zh-CN"/>
        </w:rPr>
        <w:t>.</w:t>
      </w:r>
      <w:r>
        <w:rPr>
          <w:rFonts w:hint="eastAsia" w:ascii="Times" w:hAnsi="Times"/>
          <w:sz w:val="22"/>
          <w:szCs w:val="28"/>
        </w:rPr>
        <w:t xml:space="preserve"> Bubble diagram showing marker genes of the 8 fibroblast subpopulations. G</w:t>
      </w:r>
      <w:r>
        <w:rPr>
          <w:rFonts w:hint="eastAsia" w:ascii="Times" w:hAnsi="Times"/>
          <w:sz w:val="22"/>
          <w:szCs w:val="28"/>
          <w:lang w:val="en-US" w:eastAsia="zh-CN"/>
        </w:rPr>
        <w:t xml:space="preserve">. </w:t>
      </w:r>
      <w:r>
        <w:rPr>
          <w:rFonts w:hint="eastAsia" w:ascii="Times" w:hAnsi="Times"/>
          <w:sz w:val="22"/>
          <w:szCs w:val="28"/>
        </w:rPr>
        <w:t>Cellular communication between fibroblast subpopulations and C0_Neu and C1_Neu in patients responding to immunotherapy. H</w:t>
      </w:r>
      <w:r>
        <w:rPr>
          <w:rFonts w:hint="eastAsia" w:ascii="Times" w:hAnsi="Times"/>
          <w:sz w:val="22"/>
          <w:szCs w:val="28"/>
          <w:lang w:val="en-US" w:eastAsia="zh-CN"/>
        </w:rPr>
        <w:t>.</w:t>
      </w:r>
      <w:r>
        <w:rPr>
          <w:rFonts w:hint="eastAsia" w:ascii="Times" w:hAnsi="Times"/>
          <w:sz w:val="22"/>
          <w:szCs w:val="28"/>
        </w:rPr>
        <w:t xml:space="preserve"> Sankey diagram of extracellular vesicle-mediated cellular interactions between neutrophils and fibroblast subpopulations in patients responding to immunotherapy. </w:t>
      </w:r>
    </w:p>
    <w:p w14:paraId="67F0F23A">
      <w:pPr>
        <w:rPr>
          <w:rFonts w:ascii="Times" w:hAnsi="Times"/>
          <w:sz w:val="22"/>
          <w:szCs w:val="28"/>
        </w:rPr>
      </w:pPr>
    </w:p>
    <w:p w14:paraId="35B5DC08">
      <w:pPr>
        <w:rPr>
          <w:rFonts w:hint="eastAsia" w:ascii="Times" w:hAnsi="Times" w:eastAsiaTheme="minorEastAsia"/>
          <w:sz w:val="22"/>
          <w:szCs w:val="28"/>
          <w:lang w:eastAsia="zh-CN"/>
        </w:rPr>
      </w:pPr>
      <w:r>
        <w:rPr>
          <w:rFonts w:hint="eastAsia" w:ascii="Times" w:hAnsi="Times" w:eastAsiaTheme="minorEastAsia"/>
          <w:sz w:val="22"/>
          <w:szCs w:val="28"/>
          <w:lang w:eastAsia="zh-CN"/>
        </w:rPr>
        <w:drawing>
          <wp:inline distT="0" distB="0" distL="114300" distR="114300">
            <wp:extent cx="5262880" cy="5038090"/>
            <wp:effectExtent l="0" t="0" r="3810" b="13970"/>
            <wp:docPr id="13" name="图片 13" descr="figure s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figure s13"/>
                    <pic:cNvPicPr>
                      <a:picLocks noChangeAspect="1"/>
                    </pic:cNvPicPr>
                  </pic:nvPicPr>
                  <pic:blipFill>
                    <a:blip r:embed="rId18"/>
                    <a:stretch>
                      <a:fillRect/>
                    </a:stretch>
                  </pic:blipFill>
                  <pic:spPr>
                    <a:xfrm>
                      <a:off x="0" y="0"/>
                      <a:ext cx="5262880" cy="5038090"/>
                    </a:xfrm>
                    <a:prstGeom prst="rect">
                      <a:avLst/>
                    </a:prstGeom>
                  </pic:spPr>
                </pic:pic>
              </a:graphicData>
            </a:graphic>
          </wp:inline>
        </w:drawing>
      </w:r>
    </w:p>
    <w:p w14:paraId="21898EE9">
      <w:pPr>
        <w:rPr>
          <w:rFonts w:ascii="Times" w:hAnsi="Times"/>
          <w:sz w:val="22"/>
          <w:szCs w:val="28"/>
        </w:rPr>
      </w:pPr>
      <w:r>
        <w:rPr>
          <w:rFonts w:hint="eastAsia" w:ascii="Times" w:hAnsi="Times"/>
          <w:b/>
          <w:bCs/>
          <w:sz w:val="22"/>
          <w:szCs w:val="28"/>
        </w:rPr>
        <w:t xml:space="preserve">Figure </w:t>
      </w:r>
      <w:r>
        <w:rPr>
          <w:rFonts w:hint="eastAsia" w:ascii="Times" w:hAnsi="Times"/>
          <w:b/>
          <w:bCs/>
          <w:sz w:val="22"/>
          <w:szCs w:val="28"/>
          <w:lang w:val="en-US" w:eastAsia="zh-CN"/>
        </w:rPr>
        <w:t>S</w:t>
      </w:r>
      <w:r>
        <w:rPr>
          <w:rFonts w:hint="eastAsia" w:ascii="Times" w:hAnsi="Times"/>
          <w:b/>
          <w:bCs/>
          <w:sz w:val="22"/>
          <w:szCs w:val="28"/>
        </w:rPr>
        <w:t>13</w:t>
      </w:r>
      <w:r>
        <w:rPr>
          <w:rFonts w:hint="eastAsia" w:ascii="Times" w:hAnsi="Times"/>
          <w:sz w:val="22"/>
          <w:szCs w:val="28"/>
        </w:rPr>
        <w:t xml:space="preserve"> A-B</w:t>
      </w:r>
      <w:r>
        <w:rPr>
          <w:rFonts w:hint="eastAsia" w:ascii="Times" w:hAnsi="Times"/>
          <w:sz w:val="22"/>
          <w:szCs w:val="28"/>
          <w:lang w:val="en-US" w:eastAsia="zh-CN"/>
        </w:rPr>
        <w:t>.</w:t>
      </w:r>
      <w:r>
        <w:rPr>
          <w:rFonts w:hint="eastAsia" w:ascii="Times" w:hAnsi="Times"/>
          <w:sz w:val="22"/>
          <w:szCs w:val="28"/>
        </w:rPr>
        <w:t xml:space="preserve"> Histogram of the number of metabolite-mediated cell interactions in immunotherapy non-responding patients (left) and immunotherapy responding patients (right). C-D</w:t>
      </w:r>
      <w:r>
        <w:rPr>
          <w:rFonts w:hint="eastAsia" w:ascii="Times" w:hAnsi="Times"/>
          <w:sz w:val="22"/>
          <w:szCs w:val="28"/>
          <w:lang w:val="en-US" w:eastAsia="zh-CN"/>
        </w:rPr>
        <w:t>.</w:t>
      </w:r>
      <w:r>
        <w:rPr>
          <w:rFonts w:hint="eastAsia" w:ascii="Times" w:hAnsi="Times"/>
          <w:sz w:val="22"/>
          <w:szCs w:val="28"/>
        </w:rPr>
        <w:t xml:space="preserve"> Network diagram showing metabolite-mediated cell interactions in </w:t>
      </w:r>
      <w:r>
        <w:rPr>
          <w:rFonts w:hint="eastAsia" w:ascii="Times" w:hAnsi="Times"/>
          <w:sz w:val="22"/>
          <w:szCs w:val="28"/>
          <w:highlight w:val="none"/>
        </w:rPr>
        <w:t>immunotherapy-non responding patients (left) and immunotherapy-responding patients (right</w:t>
      </w:r>
      <w:r>
        <w:rPr>
          <w:rFonts w:hint="eastAsia" w:ascii="Times" w:hAnsi="Times"/>
          <w:sz w:val="22"/>
          <w:szCs w:val="28"/>
        </w:rPr>
        <w:t>), from left to right, signaling SENDER, METABOLITE, SENSOR, and SIGNALING RECEIVER. E</w:t>
      </w:r>
      <w:r>
        <w:rPr>
          <w:rFonts w:hint="eastAsia" w:ascii="Times" w:hAnsi="Times"/>
          <w:sz w:val="22"/>
          <w:szCs w:val="28"/>
          <w:lang w:val="en-US" w:eastAsia="zh-CN"/>
        </w:rPr>
        <w:t>.</w:t>
      </w:r>
      <w:r>
        <w:rPr>
          <w:rFonts w:hint="eastAsia" w:ascii="Times" w:hAnsi="Times"/>
          <w:sz w:val="22"/>
          <w:szCs w:val="28"/>
        </w:rPr>
        <w:t xml:space="preserve"> prad-su2c-2019 cohort constitutes the test set, with patients in the high-scoring group (red) and patients in the low-scoring group (blue) prognostic Kaplan-Meier survival curves.</w:t>
      </w:r>
    </w:p>
    <w:p w14:paraId="353C5371">
      <w:pPr>
        <w:rPr>
          <w:rFonts w:ascii="Times" w:hAnsi="Times"/>
          <w:sz w:val="22"/>
          <w:szCs w:val="28"/>
        </w:rPr>
      </w:pPr>
      <w:bookmarkStart w:id="0" w:name="_GoBack"/>
      <w:bookmarkEnd w:id="0"/>
    </w:p>
    <w:p w14:paraId="10F70E9D">
      <w:pPr>
        <w:rPr>
          <w:rFonts w:hint="eastAsia"/>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Times">
    <w:altName w:val="Times New Roman"/>
    <w:panose1 w:val="02020603050405020304"/>
    <w:charset w:val="00"/>
    <w:family w:val="roman"/>
    <w:pitch w:val="default"/>
    <w:sig w:usb0="00000000" w:usb1="00000000" w:usb2="00000000"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04F5"/>
    <w:rsid w:val="00082C4C"/>
    <w:rsid w:val="000A677E"/>
    <w:rsid w:val="000C1F1F"/>
    <w:rsid w:val="001223D8"/>
    <w:rsid w:val="00224C7C"/>
    <w:rsid w:val="002261FA"/>
    <w:rsid w:val="00387A66"/>
    <w:rsid w:val="003A60B3"/>
    <w:rsid w:val="00664230"/>
    <w:rsid w:val="00787203"/>
    <w:rsid w:val="007A7300"/>
    <w:rsid w:val="007E2401"/>
    <w:rsid w:val="00800F2D"/>
    <w:rsid w:val="008A6EA7"/>
    <w:rsid w:val="008C67FE"/>
    <w:rsid w:val="008D7C9A"/>
    <w:rsid w:val="00A504E6"/>
    <w:rsid w:val="00AF7FB8"/>
    <w:rsid w:val="00B95F7E"/>
    <w:rsid w:val="00D65776"/>
    <w:rsid w:val="00E2727B"/>
    <w:rsid w:val="00F704F5"/>
    <w:rsid w:val="00FE0124"/>
    <w:rsid w:val="2A9F0B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after="0" w:line="240" w:lineRule="auto"/>
      <w:jc w:val="both"/>
    </w:pPr>
    <w:rPr>
      <w:rFonts w:asciiTheme="minorHAnsi" w:hAnsiTheme="minorHAnsi" w:eastAsiaTheme="minorEastAsia" w:cstheme="minorBidi"/>
      <w:kern w:val="2"/>
      <w:sz w:val="21"/>
      <w:szCs w:val="24"/>
      <w:lang w:val="en-US" w:eastAsia="zh-CN" w:bidi="ar-SA"/>
      <w14:ligatures w14:val="none"/>
    </w:rPr>
  </w:style>
  <w:style w:type="paragraph" w:styleId="2">
    <w:name w:val="heading 1"/>
    <w:basedOn w:val="1"/>
    <w:next w:val="1"/>
    <w:link w:val="17"/>
    <w:qFormat/>
    <w:uiPriority w:val="9"/>
    <w:pPr>
      <w:keepNext/>
      <w:keepLines/>
      <w:spacing w:before="480" w:after="80" w:line="278" w:lineRule="auto"/>
      <w:jc w:val="left"/>
      <w:outlineLvl w:val="0"/>
    </w:pPr>
    <w:rPr>
      <w:rFonts w:asciiTheme="majorHAnsi" w:hAnsiTheme="majorHAnsi" w:eastAsiaTheme="majorEastAsia" w:cstheme="majorBidi"/>
      <w:color w:val="104862" w:themeColor="accent1" w:themeShade="BF"/>
      <w:sz w:val="48"/>
      <w:szCs w:val="48"/>
      <w14:ligatures w14:val="standardContextual"/>
    </w:rPr>
  </w:style>
  <w:style w:type="paragraph" w:styleId="3">
    <w:name w:val="heading 2"/>
    <w:basedOn w:val="1"/>
    <w:next w:val="1"/>
    <w:link w:val="18"/>
    <w:semiHidden/>
    <w:unhideWhenUsed/>
    <w:qFormat/>
    <w:uiPriority w:val="9"/>
    <w:pPr>
      <w:keepNext/>
      <w:keepLines/>
      <w:spacing w:before="160" w:after="80" w:line="278" w:lineRule="auto"/>
      <w:jc w:val="left"/>
      <w:outlineLvl w:val="1"/>
    </w:pPr>
    <w:rPr>
      <w:rFonts w:asciiTheme="majorHAnsi" w:hAnsiTheme="majorHAnsi" w:eastAsiaTheme="majorEastAsia" w:cstheme="majorBidi"/>
      <w:color w:val="104862" w:themeColor="accent1" w:themeShade="BF"/>
      <w:sz w:val="40"/>
      <w:szCs w:val="40"/>
      <w14:ligatures w14:val="standardContextual"/>
    </w:rPr>
  </w:style>
  <w:style w:type="paragraph" w:styleId="4">
    <w:name w:val="heading 3"/>
    <w:basedOn w:val="1"/>
    <w:next w:val="1"/>
    <w:link w:val="19"/>
    <w:semiHidden/>
    <w:unhideWhenUsed/>
    <w:qFormat/>
    <w:uiPriority w:val="9"/>
    <w:pPr>
      <w:keepNext/>
      <w:keepLines/>
      <w:spacing w:before="160" w:after="80" w:line="278" w:lineRule="auto"/>
      <w:jc w:val="left"/>
      <w:outlineLvl w:val="2"/>
    </w:pPr>
    <w:rPr>
      <w:rFonts w:asciiTheme="majorHAnsi" w:hAnsiTheme="majorHAnsi" w:eastAsiaTheme="majorEastAsia" w:cstheme="majorBidi"/>
      <w:color w:val="104862" w:themeColor="accent1" w:themeShade="BF"/>
      <w:sz w:val="32"/>
      <w:szCs w:val="32"/>
      <w14:ligatures w14:val="standardContextual"/>
    </w:rPr>
  </w:style>
  <w:style w:type="paragraph" w:styleId="5">
    <w:name w:val="heading 4"/>
    <w:basedOn w:val="1"/>
    <w:next w:val="1"/>
    <w:link w:val="20"/>
    <w:semiHidden/>
    <w:unhideWhenUsed/>
    <w:qFormat/>
    <w:uiPriority w:val="9"/>
    <w:pPr>
      <w:keepNext/>
      <w:keepLines/>
      <w:spacing w:before="80" w:after="40" w:line="278" w:lineRule="auto"/>
      <w:jc w:val="left"/>
      <w:outlineLvl w:val="3"/>
    </w:pPr>
    <w:rPr>
      <w:rFonts w:cstheme="majorBidi"/>
      <w:color w:val="104862" w:themeColor="accent1" w:themeShade="BF"/>
      <w:sz w:val="28"/>
      <w:szCs w:val="28"/>
      <w14:ligatures w14:val="standardContextual"/>
    </w:rPr>
  </w:style>
  <w:style w:type="paragraph" w:styleId="6">
    <w:name w:val="heading 5"/>
    <w:basedOn w:val="1"/>
    <w:next w:val="1"/>
    <w:link w:val="21"/>
    <w:semiHidden/>
    <w:unhideWhenUsed/>
    <w:qFormat/>
    <w:uiPriority w:val="9"/>
    <w:pPr>
      <w:keepNext/>
      <w:keepLines/>
      <w:spacing w:before="80" w:after="40" w:line="278" w:lineRule="auto"/>
      <w:jc w:val="left"/>
      <w:outlineLvl w:val="4"/>
    </w:pPr>
    <w:rPr>
      <w:rFonts w:cstheme="majorBidi"/>
      <w:color w:val="104862" w:themeColor="accent1" w:themeShade="BF"/>
      <w:sz w:val="24"/>
      <w14:ligatures w14:val="standardContextual"/>
    </w:rPr>
  </w:style>
  <w:style w:type="paragraph" w:styleId="7">
    <w:name w:val="heading 6"/>
    <w:basedOn w:val="1"/>
    <w:next w:val="1"/>
    <w:link w:val="22"/>
    <w:semiHidden/>
    <w:unhideWhenUsed/>
    <w:qFormat/>
    <w:uiPriority w:val="9"/>
    <w:pPr>
      <w:keepNext/>
      <w:keepLines/>
      <w:spacing w:before="40" w:line="278" w:lineRule="auto"/>
      <w:jc w:val="left"/>
      <w:outlineLvl w:val="5"/>
    </w:pPr>
    <w:rPr>
      <w:rFonts w:cstheme="majorBidi"/>
      <w:b/>
      <w:bCs/>
      <w:color w:val="104862" w:themeColor="accent1" w:themeShade="BF"/>
      <w:sz w:val="22"/>
      <w14:ligatures w14:val="standardContextual"/>
    </w:rPr>
  </w:style>
  <w:style w:type="paragraph" w:styleId="8">
    <w:name w:val="heading 7"/>
    <w:basedOn w:val="1"/>
    <w:next w:val="1"/>
    <w:link w:val="23"/>
    <w:semiHidden/>
    <w:unhideWhenUsed/>
    <w:qFormat/>
    <w:uiPriority w:val="9"/>
    <w:pPr>
      <w:keepNext/>
      <w:keepLines/>
      <w:spacing w:before="40" w:line="278" w:lineRule="auto"/>
      <w:jc w:val="left"/>
      <w:outlineLvl w:val="6"/>
    </w:pPr>
    <w:rPr>
      <w:rFonts w:cstheme="majorBidi"/>
      <w:b/>
      <w:bCs/>
      <w:color w:val="595959" w:themeColor="text1" w:themeTint="A6"/>
      <w:sz w:val="22"/>
      <w14:textFill>
        <w14:solidFill>
          <w14:schemeClr w14:val="tx1">
            <w14:lumMod w14:val="65000"/>
            <w14:lumOff w14:val="35000"/>
          </w14:schemeClr>
        </w14:solidFill>
      </w14:textFill>
      <w14:ligatures w14:val="standardContextual"/>
    </w:rPr>
  </w:style>
  <w:style w:type="paragraph" w:styleId="9">
    <w:name w:val="heading 8"/>
    <w:basedOn w:val="1"/>
    <w:next w:val="1"/>
    <w:link w:val="24"/>
    <w:semiHidden/>
    <w:unhideWhenUsed/>
    <w:qFormat/>
    <w:uiPriority w:val="9"/>
    <w:pPr>
      <w:keepNext/>
      <w:keepLines/>
      <w:spacing w:line="278" w:lineRule="auto"/>
      <w:jc w:val="left"/>
      <w:outlineLvl w:val="7"/>
    </w:pPr>
    <w:rPr>
      <w:rFonts w:cstheme="majorBidi"/>
      <w:color w:val="595959" w:themeColor="text1" w:themeTint="A6"/>
      <w:sz w:val="22"/>
      <w14:textFill>
        <w14:solidFill>
          <w14:schemeClr w14:val="tx1">
            <w14:lumMod w14:val="65000"/>
            <w14:lumOff w14:val="35000"/>
          </w14:schemeClr>
        </w14:solidFill>
      </w14:textFill>
      <w14:ligatures w14:val="standardContextual"/>
    </w:rPr>
  </w:style>
  <w:style w:type="paragraph" w:styleId="10">
    <w:name w:val="heading 9"/>
    <w:basedOn w:val="1"/>
    <w:next w:val="1"/>
    <w:link w:val="25"/>
    <w:semiHidden/>
    <w:unhideWhenUsed/>
    <w:qFormat/>
    <w:uiPriority w:val="9"/>
    <w:pPr>
      <w:keepNext/>
      <w:keepLines/>
      <w:spacing w:line="278" w:lineRule="auto"/>
      <w:jc w:val="left"/>
      <w:outlineLvl w:val="8"/>
    </w:pPr>
    <w:rPr>
      <w:rFonts w:eastAsiaTheme="majorEastAsia" w:cstheme="majorBidi"/>
      <w:color w:val="595959" w:themeColor="text1" w:themeTint="A6"/>
      <w:sz w:val="22"/>
      <w14:textFill>
        <w14:solidFill>
          <w14:schemeClr w14:val="tx1">
            <w14:lumMod w14:val="65000"/>
            <w14:lumOff w14:val="35000"/>
          </w14:schemeClr>
        </w14:solidFill>
      </w14:textFill>
      <w14:ligatures w14:val="standardContextual"/>
    </w:rPr>
  </w:style>
  <w:style w:type="character" w:default="1" w:styleId="16">
    <w:name w:val="Default Paragraph Font"/>
    <w:semiHidden/>
    <w:unhideWhenUsed/>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11">
    <w:name w:val="footer"/>
    <w:basedOn w:val="1"/>
    <w:link w:val="36"/>
    <w:unhideWhenUsed/>
    <w:qFormat/>
    <w:uiPriority w:val="99"/>
    <w:pPr>
      <w:tabs>
        <w:tab w:val="center" w:pos="4153"/>
        <w:tab w:val="right" w:pos="8306"/>
      </w:tabs>
      <w:snapToGrid w:val="0"/>
      <w:spacing w:after="160"/>
      <w:jc w:val="left"/>
    </w:pPr>
    <w:rPr>
      <w:sz w:val="18"/>
      <w:szCs w:val="18"/>
      <w14:ligatures w14:val="standardContextual"/>
    </w:rPr>
  </w:style>
  <w:style w:type="paragraph" w:styleId="12">
    <w:name w:val="header"/>
    <w:basedOn w:val="1"/>
    <w:link w:val="35"/>
    <w:unhideWhenUsed/>
    <w:uiPriority w:val="99"/>
    <w:pPr>
      <w:tabs>
        <w:tab w:val="center" w:pos="4153"/>
        <w:tab w:val="right" w:pos="8306"/>
      </w:tabs>
      <w:snapToGrid w:val="0"/>
      <w:spacing w:after="160"/>
      <w:jc w:val="center"/>
    </w:pPr>
    <w:rPr>
      <w:sz w:val="18"/>
      <w:szCs w:val="18"/>
      <w14:ligatures w14:val="standardContextual"/>
    </w:rPr>
  </w:style>
  <w:style w:type="paragraph" w:styleId="13">
    <w:name w:val="Subtitle"/>
    <w:basedOn w:val="1"/>
    <w:next w:val="1"/>
    <w:link w:val="27"/>
    <w:qFormat/>
    <w:uiPriority w:val="11"/>
    <w:pPr>
      <w:spacing w:after="160" w:line="278" w:lineRule="auto"/>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14:ligatures w14:val="standardContextual"/>
    </w:rPr>
  </w:style>
  <w:style w:type="paragraph" w:styleId="14">
    <w:name w:val="Title"/>
    <w:basedOn w:val="1"/>
    <w:next w:val="1"/>
    <w:link w:val="26"/>
    <w:qFormat/>
    <w:uiPriority w:val="10"/>
    <w:pPr>
      <w:spacing w:after="80"/>
      <w:contextualSpacing/>
      <w:jc w:val="center"/>
    </w:pPr>
    <w:rPr>
      <w:rFonts w:asciiTheme="majorHAnsi" w:hAnsiTheme="majorHAnsi" w:eastAsiaTheme="majorEastAsia" w:cstheme="majorBidi"/>
      <w:spacing w:val="-10"/>
      <w:kern w:val="28"/>
      <w:sz w:val="56"/>
      <w:szCs w:val="56"/>
      <w14:ligatures w14:val="standardContextual"/>
    </w:rPr>
  </w:style>
  <w:style w:type="character" w:customStyle="1" w:styleId="17">
    <w:name w:val="标题 1 字符"/>
    <w:basedOn w:val="16"/>
    <w:link w:val="2"/>
    <w:qFormat/>
    <w:uiPriority w:val="9"/>
    <w:rPr>
      <w:rFonts w:asciiTheme="majorHAnsi" w:hAnsiTheme="majorHAnsi" w:eastAsiaTheme="majorEastAsia" w:cstheme="majorBidi"/>
      <w:color w:val="104862" w:themeColor="accent1" w:themeShade="BF"/>
      <w:sz w:val="48"/>
      <w:szCs w:val="48"/>
    </w:rPr>
  </w:style>
  <w:style w:type="character" w:customStyle="1" w:styleId="18">
    <w:name w:val="标题 2 字符"/>
    <w:basedOn w:val="16"/>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19">
    <w:name w:val="标题 3 字符"/>
    <w:basedOn w:val="16"/>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20">
    <w:name w:val="标题 4 字符"/>
    <w:basedOn w:val="16"/>
    <w:link w:val="5"/>
    <w:semiHidden/>
    <w:qFormat/>
    <w:uiPriority w:val="9"/>
    <w:rPr>
      <w:rFonts w:cstheme="majorBidi"/>
      <w:color w:val="104862" w:themeColor="accent1" w:themeShade="BF"/>
      <w:sz w:val="28"/>
      <w:szCs w:val="28"/>
    </w:rPr>
  </w:style>
  <w:style w:type="character" w:customStyle="1" w:styleId="21">
    <w:name w:val="标题 5 字符"/>
    <w:basedOn w:val="16"/>
    <w:link w:val="6"/>
    <w:semiHidden/>
    <w:qFormat/>
    <w:uiPriority w:val="9"/>
    <w:rPr>
      <w:rFonts w:cstheme="majorBidi"/>
      <w:color w:val="104862" w:themeColor="accent1" w:themeShade="BF"/>
      <w:sz w:val="24"/>
    </w:rPr>
  </w:style>
  <w:style w:type="character" w:customStyle="1" w:styleId="22">
    <w:name w:val="标题 6 字符"/>
    <w:basedOn w:val="16"/>
    <w:link w:val="7"/>
    <w:semiHidden/>
    <w:qFormat/>
    <w:uiPriority w:val="9"/>
    <w:rPr>
      <w:rFonts w:cstheme="majorBidi"/>
      <w:b/>
      <w:bCs/>
      <w:color w:val="104862" w:themeColor="accent1" w:themeShade="BF"/>
    </w:rPr>
  </w:style>
  <w:style w:type="character" w:customStyle="1" w:styleId="23">
    <w:name w:val="标题 7 字符"/>
    <w:basedOn w:val="16"/>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4">
    <w:name w:val="标题 8 字符"/>
    <w:basedOn w:val="16"/>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5">
    <w:name w:val="标题 9 字符"/>
    <w:basedOn w:val="16"/>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6">
    <w:name w:val="标题 字符"/>
    <w:basedOn w:val="16"/>
    <w:link w:val="14"/>
    <w:qFormat/>
    <w:uiPriority w:val="10"/>
    <w:rPr>
      <w:rFonts w:asciiTheme="majorHAnsi" w:hAnsiTheme="majorHAnsi" w:eastAsiaTheme="majorEastAsia" w:cstheme="majorBidi"/>
      <w:spacing w:val="-10"/>
      <w:kern w:val="28"/>
      <w:sz w:val="56"/>
      <w:szCs w:val="56"/>
    </w:rPr>
  </w:style>
  <w:style w:type="character" w:customStyle="1" w:styleId="27">
    <w:name w:val="副标题 字符"/>
    <w:basedOn w:val="16"/>
    <w:link w:val="13"/>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8">
    <w:name w:val="Quote"/>
    <w:basedOn w:val="1"/>
    <w:next w:val="1"/>
    <w:link w:val="29"/>
    <w:qFormat/>
    <w:uiPriority w:val="29"/>
    <w:pPr>
      <w:spacing w:before="160" w:after="160" w:line="278" w:lineRule="auto"/>
      <w:jc w:val="center"/>
    </w:pPr>
    <w:rPr>
      <w:i/>
      <w:iCs/>
      <w:color w:val="404040" w:themeColor="text1" w:themeTint="BF"/>
      <w:sz w:val="22"/>
      <w14:textFill>
        <w14:solidFill>
          <w14:schemeClr w14:val="tx1">
            <w14:lumMod w14:val="75000"/>
            <w14:lumOff w14:val="25000"/>
          </w14:schemeClr>
        </w14:solidFill>
      </w14:textFill>
      <w14:ligatures w14:val="standardContextual"/>
    </w:rPr>
  </w:style>
  <w:style w:type="character" w:customStyle="1" w:styleId="29">
    <w:name w:val="引用 字符"/>
    <w:basedOn w:val="16"/>
    <w:link w:val="28"/>
    <w:qFormat/>
    <w:uiPriority w:val="29"/>
    <w:rPr>
      <w:i/>
      <w:iCs/>
      <w:color w:val="404040" w:themeColor="text1" w:themeTint="BF"/>
      <w14:textFill>
        <w14:solidFill>
          <w14:schemeClr w14:val="tx1">
            <w14:lumMod w14:val="75000"/>
            <w14:lumOff w14:val="25000"/>
          </w14:schemeClr>
        </w14:solidFill>
      </w14:textFill>
    </w:rPr>
  </w:style>
  <w:style w:type="paragraph" w:styleId="30">
    <w:name w:val="List Paragraph"/>
    <w:basedOn w:val="1"/>
    <w:qFormat/>
    <w:uiPriority w:val="34"/>
    <w:pPr>
      <w:spacing w:after="160" w:line="278" w:lineRule="auto"/>
      <w:ind w:left="720"/>
      <w:contextualSpacing/>
      <w:jc w:val="left"/>
    </w:pPr>
    <w:rPr>
      <w:sz w:val="22"/>
      <w14:ligatures w14:val="standardContextual"/>
    </w:rPr>
  </w:style>
  <w:style w:type="character" w:customStyle="1" w:styleId="31">
    <w:name w:val="Intense Emphasis"/>
    <w:basedOn w:val="16"/>
    <w:qFormat/>
    <w:uiPriority w:val="21"/>
    <w:rPr>
      <w:i/>
      <w:iCs/>
      <w:color w:val="104862" w:themeColor="accent1" w:themeShade="BF"/>
    </w:rPr>
  </w:style>
  <w:style w:type="paragraph" w:styleId="32">
    <w:name w:val="Intense Quote"/>
    <w:basedOn w:val="1"/>
    <w:next w:val="1"/>
    <w:link w:val="33"/>
    <w:qFormat/>
    <w:uiPriority w:val="30"/>
    <w:pPr>
      <w:pBdr>
        <w:top w:val="single" w:color="0F4761" w:themeColor="accent1" w:themeShade="BF" w:sz="4" w:space="10"/>
        <w:bottom w:val="single" w:color="0F4761" w:themeColor="accent1" w:themeShade="BF" w:sz="4" w:space="10"/>
      </w:pBdr>
      <w:spacing w:before="360" w:after="360" w:line="278" w:lineRule="auto"/>
      <w:ind w:left="864" w:right="864"/>
      <w:jc w:val="center"/>
    </w:pPr>
    <w:rPr>
      <w:i/>
      <w:iCs/>
      <w:color w:val="104862" w:themeColor="accent1" w:themeShade="BF"/>
      <w:sz w:val="22"/>
      <w14:ligatures w14:val="standardContextual"/>
    </w:rPr>
  </w:style>
  <w:style w:type="character" w:customStyle="1" w:styleId="33">
    <w:name w:val="明显引用 字符"/>
    <w:basedOn w:val="16"/>
    <w:link w:val="32"/>
    <w:uiPriority w:val="30"/>
    <w:rPr>
      <w:i/>
      <w:iCs/>
      <w:color w:val="104862" w:themeColor="accent1" w:themeShade="BF"/>
    </w:rPr>
  </w:style>
  <w:style w:type="character" w:customStyle="1" w:styleId="34">
    <w:name w:val="Intense Reference"/>
    <w:basedOn w:val="16"/>
    <w:qFormat/>
    <w:uiPriority w:val="32"/>
    <w:rPr>
      <w:b/>
      <w:bCs/>
      <w:smallCaps/>
      <w:color w:val="104862" w:themeColor="accent1" w:themeShade="BF"/>
      <w:spacing w:val="5"/>
    </w:rPr>
  </w:style>
  <w:style w:type="character" w:customStyle="1" w:styleId="35">
    <w:name w:val="页眉 字符"/>
    <w:basedOn w:val="16"/>
    <w:link w:val="12"/>
    <w:qFormat/>
    <w:uiPriority w:val="99"/>
    <w:rPr>
      <w:sz w:val="18"/>
      <w:szCs w:val="18"/>
    </w:rPr>
  </w:style>
  <w:style w:type="character" w:customStyle="1" w:styleId="36">
    <w:name w:val="页脚 字符"/>
    <w:basedOn w:val="16"/>
    <w:link w:val="11"/>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image" Target="media/image13.jpeg"/><Relationship Id="rId17" Type="http://schemas.openxmlformats.org/officeDocument/2006/relationships/image" Target="media/image12.jpeg"/><Relationship Id="rId16" Type="http://schemas.openxmlformats.org/officeDocument/2006/relationships/image" Target="media/image11.jpeg"/><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2375</Words>
  <Characters>14481</Characters>
  <Lines>545</Lines>
  <Paragraphs>482</Paragraphs>
  <TotalTime>120</TotalTime>
  <ScaleCrop>false</ScaleCrop>
  <LinksUpToDate>false</LinksUpToDate>
  <CharactersWithSpaces>16853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2025-04-09T09:51:00Z</dcterms:created>
  <dc:creator>商务</dc:creator>
  <cp:lastModifiedBy>五星红旗迎风飘扬</cp:lastModifiedBy>
  <dcterms:modified xsi:type="dcterms:W3CDTF">2025-04-11T17:42:37Z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eyJoZGlkIjoiMGM5NTQ0YTU4MjA0YmUyMDQxYzJiZjY2MTgzOGZjZDciLCJ1c2VySWQiOiIzOTA5MTM2MDQifQ==</vt:lpwstr>
  </property>
  <property fmtid="{D5CDD505-2E9C-101B-9397-08002B2CF9AE}" pid="3" name="KSOProductBuildVer">
    <vt:lpwstr>2052-12.1.0.20784</vt:lpwstr>
  </property>
  <property fmtid="{D5CDD505-2E9C-101B-9397-08002B2CF9AE}" pid="4" name="ICV">
    <vt:lpwstr>AD6110D4B4AA4D5ABEDA4E4CDEFADD84_12</vt:lpwstr>
  </property>
</Properties>
</file>