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BF139" w14:textId="77777777" w:rsidR="00AC577F" w:rsidRDefault="00AC577F" w:rsidP="00AC577F">
      <w:r w:rsidRPr="00EF30B3">
        <w:rPr>
          <w:noProof/>
        </w:rPr>
        <w:drawing>
          <wp:inline distT="0" distB="0" distL="0" distR="0" wp14:anchorId="739370C4" wp14:editId="7A5A1074">
            <wp:extent cx="6153150" cy="8384982"/>
            <wp:effectExtent l="0" t="0" r="0" b="0"/>
            <wp:docPr id="14476999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54727" cy="8387131"/>
                    </a:xfrm>
                    <a:prstGeom prst="rect">
                      <a:avLst/>
                    </a:prstGeom>
                    <a:noFill/>
                    <a:ln>
                      <a:noFill/>
                    </a:ln>
                  </pic:spPr>
                </pic:pic>
              </a:graphicData>
            </a:graphic>
          </wp:inline>
        </w:drawing>
      </w:r>
      <w:r w:rsidRPr="00BE5706">
        <w:rPr>
          <w:b/>
          <w:bCs/>
        </w:rPr>
        <w:lastRenderedPageBreak/>
        <w:t>Table 1: Schedule of Assessments</w:t>
      </w:r>
      <w:r>
        <w:t xml:space="preserve"> </w:t>
      </w:r>
    </w:p>
    <w:p w14:paraId="7741CEC7" w14:textId="77777777" w:rsidR="00AC577F" w:rsidRDefault="00AC577F" w:rsidP="00AC577F">
      <w:pPr>
        <w:rPr>
          <w:i/>
          <w:iCs/>
        </w:rPr>
      </w:pPr>
      <w:r w:rsidRPr="0092414D">
        <w:rPr>
          <w:b/>
          <w:bCs/>
        </w:rPr>
        <w:t>Key</w:t>
      </w:r>
      <w:r w:rsidRPr="0092414D">
        <w:t xml:space="preserve">: </w:t>
      </w:r>
      <w:bookmarkStart w:id="0" w:name="_Hlk187743978"/>
      <w:r w:rsidRPr="0092414D">
        <w:t>Structured Clinical Interview for DSM-5 Disorders Research Version (SCID-5-RV)(</w:t>
      </w:r>
      <w:r>
        <w:t>8</w:t>
      </w:r>
      <w:r w:rsidRPr="0092414D">
        <w:t>); Young Mania Rating Scale (YMRS)(1</w:t>
      </w:r>
      <w:r>
        <w:t>0</w:t>
      </w:r>
      <w:r w:rsidRPr="0092414D">
        <w:t>); Montgomery Asberg Depression Rating Scale (MADRS)(1</w:t>
      </w:r>
      <w:r>
        <w:t>1</w:t>
      </w:r>
      <w:r w:rsidRPr="0092414D">
        <w:t>); Brief Psychotic Rating Scale (BPRS)(1</w:t>
      </w:r>
      <w:r>
        <w:t>3</w:t>
      </w:r>
      <w:r w:rsidRPr="0092414D">
        <w:t>); Quick Inventory of Depressive Symptomatology-Clinician Version (QIDS-C)(1</w:t>
      </w:r>
      <w:r>
        <w:t>2</w:t>
      </w:r>
      <w:r w:rsidRPr="0092414D">
        <w:t>); Clinical Global Impression scale for Bipolar Disorder (CGI-BP)(1</w:t>
      </w:r>
      <w:r>
        <w:t>5</w:t>
      </w:r>
      <w:r w:rsidRPr="0092414D">
        <w:t>); Columbia-Suicide Severity Rating Scale (C-SSRS)(1</w:t>
      </w:r>
      <w:r>
        <w:t>4</w:t>
      </w:r>
      <w:r w:rsidRPr="0092414D">
        <w:t>); Premorbid Adjustment Scale (PAS)(</w:t>
      </w:r>
      <w:r>
        <w:t>9</w:t>
      </w:r>
      <w:r w:rsidRPr="0092414D">
        <w:t>); Retrospective Assessment of the Lithium Response Phenotype Scale (ALDA)(1</w:t>
      </w:r>
      <w:r>
        <w:t>6</w:t>
      </w:r>
      <w:r w:rsidRPr="0092414D">
        <w:t>); Breakthrough Discoveries for Thriving with Bipolar Disorder Bipolar Treatment Response and Switch Questionnaire (BD</w:t>
      </w:r>
      <w:r w:rsidRPr="0092414D">
        <w:rPr>
          <w:vertAlign w:val="superscript"/>
        </w:rPr>
        <w:t>2</w:t>
      </w:r>
      <w:r w:rsidRPr="0092414D">
        <w:t xml:space="preserve"> BDTR-SQ); Barratt Impulsiveness Scale (BIS-11)(1</w:t>
      </w:r>
      <w:r>
        <w:t>7</w:t>
      </w:r>
      <w:r w:rsidRPr="0092414D">
        <w:t>); Adverse Childhood Experience Questionnaire (ACEs)(1</w:t>
      </w:r>
      <w:r>
        <w:t>8</w:t>
      </w:r>
      <w:r w:rsidRPr="0092414D">
        <w:t>); Morningness-Eveningness Questionnaire-Revised (MEQr)(</w:t>
      </w:r>
      <w:r>
        <w:t>19</w:t>
      </w:r>
      <w:r w:rsidRPr="0092414D">
        <w:t>); NEO Five- Factor Inventory-3 (NEO-FFF-3)(2</w:t>
      </w:r>
      <w:r>
        <w:t>0</w:t>
      </w:r>
      <w:r w:rsidRPr="0092414D">
        <w:t>); Brief Assessment of Cognition in Schizophrenia (BACS): Symbol Coding(2</w:t>
      </w:r>
      <w:r>
        <w:t>1</w:t>
      </w:r>
      <w:r w:rsidRPr="0092414D">
        <w:t>); Continuous Performance Test- Identical Pairs (CPT-I/P)(2</w:t>
      </w:r>
      <w:r>
        <w:t>2</w:t>
      </w:r>
      <w:r w:rsidRPr="0092414D">
        <w:t>); Wechsler Memory Scale 3rd Edition (WMS-3): Spatial Span; Letter Number Span (LNS)(2</w:t>
      </w:r>
      <w:r>
        <w:t>3</w:t>
      </w:r>
      <w:r w:rsidRPr="0092414D">
        <w:t>); Brief Visuospatial Memory Test-Revised (BVMT-R)(2</w:t>
      </w:r>
      <w:r>
        <w:t>4</w:t>
      </w:r>
      <w:r w:rsidRPr="0092414D">
        <w:t>); California Verbal Learning Test (CVLT)(2</w:t>
      </w:r>
      <w:r>
        <w:t>5</w:t>
      </w:r>
      <w:r w:rsidRPr="0092414D">
        <w:t>); Wide Range Achievement Test (WRAT)(2</w:t>
      </w:r>
      <w:r>
        <w:t>6</w:t>
      </w:r>
      <w:r w:rsidRPr="0092414D">
        <w:t>): Reading; Wechsler Abbreviated Scale Intelligence 2nd Edition (WASI-II): Vocab and Reasoning(2</w:t>
      </w:r>
      <w:r>
        <w:t>7</w:t>
      </w:r>
      <w:r w:rsidRPr="0092414D">
        <w:t>); Penn Emotion Recognition Test (ERT)(2</w:t>
      </w:r>
      <w:r>
        <w:t>8</w:t>
      </w:r>
      <w:r w:rsidRPr="0092414D">
        <w:t>); Balloon Analog Risk Task (BART)(</w:t>
      </w:r>
      <w:r>
        <w:t>29</w:t>
      </w:r>
      <w:r w:rsidRPr="0092414D">
        <w:t>); Functioning Assessment Short Test (FAST)(3</w:t>
      </w:r>
      <w:r>
        <w:t>0</w:t>
      </w:r>
      <w:r w:rsidRPr="0092414D">
        <w:t>); Cognitive Complaints in Bipolar Disorder Rating Assessment (COBRA)(3</w:t>
      </w:r>
      <w:r>
        <w:t>1</w:t>
      </w:r>
      <w:r w:rsidRPr="0092414D">
        <w:t>); Perceived Criticisms Scale (PCS)(3</w:t>
      </w:r>
      <w:r>
        <w:t>2</w:t>
      </w:r>
      <w:r w:rsidRPr="0092414D">
        <w:t>); Pittsburgh Sleep Quality Index (PSQI)(3</w:t>
      </w:r>
      <w:r>
        <w:t>3</w:t>
      </w:r>
      <w:r w:rsidRPr="0092414D">
        <w:t>); Patient Health Questionnaire-9 (PHQ-9)(3</w:t>
      </w:r>
      <w:r>
        <w:t>4</w:t>
      </w:r>
      <w:r w:rsidRPr="0092414D">
        <w:t>); Patient Mania Questionnaire (PMQ)(3</w:t>
      </w:r>
      <w:r>
        <w:t>5</w:t>
      </w:r>
      <w:r w:rsidRPr="0092414D">
        <w:t>); Drug Use Screening Inventory (DUSI)(3</w:t>
      </w:r>
      <w:r>
        <w:t>6</w:t>
      </w:r>
      <w:r w:rsidRPr="0092414D">
        <w:t>); Everyday Discrimination Scale (EDS)(3</w:t>
      </w:r>
      <w:r>
        <w:t>7</w:t>
      </w:r>
      <w:r w:rsidRPr="0092414D">
        <w:t>); Perceived Stress Scale (PSS)(3</w:t>
      </w:r>
      <w:r>
        <w:t>8</w:t>
      </w:r>
      <w:r w:rsidRPr="0092414D">
        <w:t>); WHO Five Wellbeing Index (WHO-5)(</w:t>
      </w:r>
      <w:r>
        <w:t>39</w:t>
      </w:r>
      <w:r w:rsidRPr="0092414D">
        <w:t>); Connor-Davidson Resilience Scale 10-item (CD-RISC)(4</w:t>
      </w:r>
      <w:r>
        <w:t>0</w:t>
      </w:r>
      <w:r w:rsidRPr="0092414D">
        <w:t>); Generalized Anxiety Disorder 7-item (GAD-7)(4</w:t>
      </w:r>
      <w:r>
        <w:t>1</w:t>
      </w:r>
      <w:r w:rsidRPr="0092414D">
        <w:t>); Alcohol Use Disorders Identification Test (AUDIT)(4</w:t>
      </w:r>
      <w:r>
        <w:t>2</w:t>
      </w:r>
      <w:r w:rsidRPr="0092414D">
        <w:t xml:space="preserve">) *If </w:t>
      </w:r>
      <w:r w:rsidRPr="0092414D">
        <w:rPr>
          <w:i/>
          <w:iCs/>
        </w:rPr>
        <w:t>GAD-7 and AUDIT were completed as standard or care at the time of the annual visit they are not repeated.</w:t>
      </w:r>
      <w:bookmarkEnd w:id="0"/>
    </w:p>
    <w:p w14:paraId="32A6958A" w14:textId="77777777" w:rsidR="00AC577F" w:rsidRDefault="00AC577F" w:rsidP="00AC577F">
      <w:pPr>
        <w:rPr>
          <w:i/>
          <w:iCs/>
        </w:rPr>
      </w:pPr>
    </w:p>
    <w:p w14:paraId="3BC3A2AE" w14:textId="77777777" w:rsidR="00AC577F" w:rsidRDefault="00AC577F" w:rsidP="00AC577F">
      <w:pPr>
        <w:rPr>
          <w:i/>
          <w:iCs/>
        </w:rPr>
      </w:pPr>
    </w:p>
    <w:p w14:paraId="5B44B4FE" w14:textId="77777777" w:rsidR="00AC577F" w:rsidRDefault="00AC577F" w:rsidP="00AC577F">
      <w:pPr>
        <w:rPr>
          <w:i/>
          <w:iCs/>
        </w:rPr>
      </w:pPr>
    </w:p>
    <w:p w14:paraId="75E04E8F" w14:textId="77777777" w:rsidR="00AC577F" w:rsidRDefault="00AC577F" w:rsidP="00AC577F">
      <w:pPr>
        <w:rPr>
          <w:i/>
          <w:iCs/>
        </w:rPr>
      </w:pPr>
    </w:p>
    <w:p w14:paraId="3932BF6F" w14:textId="77777777" w:rsidR="00AC577F" w:rsidRDefault="00AC577F" w:rsidP="00AC577F">
      <w:pPr>
        <w:rPr>
          <w:i/>
          <w:iCs/>
        </w:rPr>
      </w:pPr>
    </w:p>
    <w:p w14:paraId="6AE6C5FC" w14:textId="77777777" w:rsidR="00AC577F" w:rsidRDefault="00AC577F" w:rsidP="00AC577F">
      <w:pPr>
        <w:rPr>
          <w:i/>
          <w:iCs/>
        </w:rPr>
      </w:pPr>
    </w:p>
    <w:p w14:paraId="32464B62" w14:textId="77777777" w:rsidR="00AC577F" w:rsidRDefault="00AC577F" w:rsidP="00AC577F">
      <w:pPr>
        <w:rPr>
          <w:i/>
          <w:iCs/>
        </w:rPr>
      </w:pPr>
    </w:p>
    <w:p w14:paraId="4DC6CBBD" w14:textId="77777777" w:rsidR="00AC577F" w:rsidRDefault="00AC577F" w:rsidP="00AC577F">
      <w:pPr>
        <w:rPr>
          <w:i/>
          <w:iCs/>
        </w:rPr>
      </w:pPr>
    </w:p>
    <w:p w14:paraId="5E82E308" w14:textId="77777777" w:rsidR="00AC577F" w:rsidRDefault="00AC577F" w:rsidP="00AC577F">
      <w:pPr>
        <w:rPr>
          <w:i/>
          <w:iCs/>
        </w:rPr>
      </w:pPr>
    </w:p>
    <w:p w14:paraId="5E4C8DC9" w14:textId="77777777" w:rsidR="00AC577F" w:rsidRDefault="00AC577F" w:rsidP="00AC577F">
      <w:pPr>
        <w:rPr>
          <w:i/>
          <w:iCs/>
        </w:rPr>
      </w:pPr>
    </w:p>
    <w:p w14:paraId="39E836BB" w14:textId="77777777" w:rsidR="00AC577F" w:rsidRDefault="00AC577F" w:rsidP="00AC577F">
      <w:pPr>
        <w:rPr>
          <w:i/>
          <w:iCs/>
        </w:rPr>
      </w:pPr>
    </w:p>
    <w:p w14:paraId="1C886E31" w14:textId="77777777" w:rsidR="00AC577F" w:rsidRDefault="00AC577F" w:rsidP="00AC577F">
      <w:r w:rsidRPr="00F036DD">
        <w:rPr>
          <w:noProof/>
        </w:rPr>
        <w:lastRenderedPageBreak/>
        <w:drawing>
          <wp:inline distT="0" distB="0" distL="0" distR="0" wp14:anchorId="6C3618B7" wp14:editId="725F17F1">
            <wp:extent cx="5257800" cy="3095625"/>
            <wp:effectExtent l="0" t="0" r="0" b="9525"/>
            <wp:docPr id="16947416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7800" cy="3095625"/>
                    </a:xfrm>
                    <a:prstGeom prst="rect">
                      <a:avLst/>
                    </a:prstGeom>
                    <a:noFill/>
                    <a:ln>
                      <a:noFill/>
                    </a:ln>
                  </pic:spPr>
                </pic:pic>
              </a:graphicData>
            </a:graphic>
          </wp:inline>
        </w:drawing>
      </w:r>
      <w:r w:rsidRPr="00F036DD">
        <w:t xml:space="preserve"> </w:t>
      </w:r>
    </w:p>
    <w:p w14:paraId="38F80181" w14:textId="77777777" w:rsidR="00AC577F" w:rsidRDefault="00AC577F" w:rsidP="00AC577F">
      <w:r w:rsidRPr="0087267E">
        <w:rPr>
          <w:b/>
          <w:bCs/>
        </w:rPr>
        <w:t>Table 2:</w:t>
      </w:r>
      <w:r w:rsidRPr="005C656E">
        <w:t xml:space="preserve"> </w:t>
      </w:r>
      <w:r w:rsidRPr="0087267E">
        <w:t>Biosample assays included in the IN-BD longitudinal cohort protocol. Blood samples are collected at baseline and annually during in-person visits. The assays encompass measures of general wellness (e.g., lipid profile, thyroid function, sex hormones), metabolic and inflammatory status (e.g., CRP, cytokines), and neuroendocrine function (e.g., cortisol levels), providing a comprehensive view of biological systems relevant to BD. In addition, blood and peripheral blood mononuclear cells (PBMCs) are stored to enable future molecular profiling. Standardized collection and centralized processing protocols ensure sample quality and enable harmonized analyses across sites, supporting the BD</w:t>
      </w:r>
      <w:r w:rsidRPr="0087267E">
        <w:rPr>
          <w:vertAlign w:val="superscript"/>
        </w:rPr>
        <w:t>2</w:t>
      </w:r>
      <w:r w:rsidRPr="0087267E">
        <w:t xml:space="preserve"> initiative’s goals of advancing precision medicine and biomarker discovery in BD.</w:t>
      </w:r>
      <w:r>
        <w:t xml:space="preserve">  </w:t>
      </w:r>
    </w:p>
    <w:p w14:paraId="1D5E7214" w14:textId="77777777" w:rsidR="00AC577F" w:rsidRPr="0024788C" w:rsidRDefault="00AC577F" w:rsidP="00AC577F">
      <w:r w:rsidRPr="0095029C">
        <w:rPr>
          <w:noProof/>
        </w:rPr>
        <w:drawing>
          <wp:inline distT="0" distB="0" distL="0" distR="0" wp14:anchorId="4526754E" wp14:editId="6F6F1BCE">
            <wp:extent cx="5943600" cy="2551430"/>
            <wp:effectExtent l="0" t="0" r="0" b="1270"/>
            <wp:docPr id="9895555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551430"/>
                    </a:xfrm>
                    <a:prstGeom prst="rect">
                      <a:avLst/>
                    </a:prstGeom>
                    <a:noFill/>
                    <a:ln>
                      <a:noFill/>
                    </a:ln>
                  </pic:spPr>
                </pic:pic>
              </a:graphicData>
            </a:graphic>
          </wp:inline>
        </w:drawing>
      </w:r>
    </w:p>
    <w:p w14:paraId="4B4B364B" w14:textId="77777777" w:rsidR="00AC577F" w:rsidRDefault="00AC577F" w:rsidP="00AC577F"/>
    <w:p w14:paraId="6D13BB4D" w14:textId="1F6EAA99" w:rsidR="00755780" w:rsidRDefault="00AC577F" w:rsidP="00AC577F">
      <w:r w:rsidRPr="00A94DD1">
        <w:rPr>
          <w:b/>
          <w:bCs/>
        </w:rPr>
        <w:lastRenderedPageBreak/>
        <w:t>Table 3</w:t>
      </w:r>
      <w:r w:rsidRPr="005C656E">
        <w:rPr>
          <w:b/>
          <w:bCs/>
        </w:rPr>
        <w:t>.</w:t>
      </w:r>
      <w:r w:rsidRPr="005C656E">
        <w:t xml:space="preserve"> </w:t>
      </w:r>
      <w:r w:rsidRPr="0087267E">
        <w:t>IN-BD site selection includes three waves of recruitment.  The phased expansion of the IN-BD is planned to occur in three waves. Site selection prioritized clinical and research expertise in BD, enrollment capacity, and readiness to participate in an LHN. The approach supports diverse representation and ensures high-quality, standardized data collection across all sites.</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ato">
    <w:altName w:val="Lato"/>
    <w:charset w:val="00"/>
    <w:family w:val="swiss"/>
    <w:pitch w:val="variable"/>
    <w:sig w:usb0="E10002FF" w:usb1="5000ECFF" w:usb2="00000021"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77F"/>
    <w:rsid w:val="00011C58"/>
    <w:rsid w:val="0006021D"/>
    <w:rsid w:val="00237984"/>
    <w:rsid w:val="00331A6B"/>
    <w:rsid w:val="00755780"/>
    <w:rsid w:val="00857596"/>
    <w:rsid w:val="00AC577F"/>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732E8"/>
  <w15:chartTrackingRefBased/>
  <w15:docId w15:val="{4B41C4A4-F928-4AB1-95CA-CCF04C30D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577F"/>
    <w:pPr>
      <w:spacing w:line="259" w:lineRule="auto"/>
    </w:pPr>
    <w:rPr>
      <w:rFonts w:ascii="Lato" w:hAnsi="Lato"/>
      <w:sz w:val="22"/>
      <w:szCs w:val="22"/>
    </w:rPr>
  </w:style>
  <w:style w:type="paragraph" w:styleId="Heading1">
    <w:name w:val="heading 1"/>
    <w:basedOn w:val="Normal"/>
    <w:next w:val="Normal"/>
    <w:link w:val="Heading1Char"/>
    <w:uiPriority w:val="9"/>
    <w:qFormat/>
    <w:rsid w:val="00AC577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577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577F"/>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577F"/>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AC577F"/>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AC577F"/>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AC577F"/>
    <w:pPr>
      <w:keepNext/>
      <w:keepLines/>
      <w:spacing w:before="40" w:after="0" w:line="278" w:lineRule="auto"/>
      <w:outlineLvl w:val="6"/>
    </w:pPr>
    <w:rPr>
      <w:rFonts w:asciiTheme="minorHAnsi" w:eastAsiaTheme="majorEastAsia" w:hAnsiTheme="min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AC577F"/>
    <w:pPr>
      <w:keepNext/>
      <w:keepLines/>
      <w:spacing w:after="0" w:line="278" w:lineRule="auto"/>
      <w:outlineLvl w:val="7"/>
    </w:pPr>
    <w:rPr>
      <w:rFonts w:asciiTheme="minorHAnsi" w:eastAsiaTheme="majorEastAsia" w:hAnsiTheme="minorHAnsi"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AC577F"/>
    <w:pPr>
      <w:keepNext/>
      <w:keepLines/>
      <w:spacing w:after="0" w:line="278" w:lineRule="auto"/>
      <w:outlineLvl w:val="8"/>
    </w:pPr>
    <w:rPr>
      <w:rFonts w:asciiTheme="minorHAnsi" w:eastAsiaTheme="majorEastAsia" w:hAnsiTheme="minorHAnsi"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7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57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57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57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57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57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57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57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577F"/>
    <w:rPr>
      <w:rFonts w:eastAsiaTheme="majorEastAsia" w:cstheme="majorBidi"/>
      <w:color w:val="272727" w:themeColor="text1" w:themeTint="D8"/>
    </w:rPr>
  </w:style>
  <w:style w:type="paragraph" w:styleId="Title">
    <w:name w:val="Title"/>
    <w:basedOn w:val="Normal"/>
    <w:next w:val="Normal"/>
    <w:link w:val="TitleChar"/>
    <w:uiPriority w:val="10"/>
    <w:qFormat/>
    <w:rsid w:val="00AC57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57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577F"/>
    <w:pPr>
      <w:numPr>
        <w:ilvl w:val="1"/>
      </w:numPr>
      <w:spacing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57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577F"/>
    <w:pPr>
      <w:spacing w:before="160" w:line="278" w:lineRule="auto"/>
      <w:jc w:val="center"/>
    </w:pPr>
    <w:rPr>
      <w:rFonts w:asciiTheme="minorHAnsi" w:hAnsiTheme="minorHAnsi"/>
      <w:i/>
      <w:iCs/>
      <w:color w:val="404040" w:themeColor="text1" w:themeTint="BF"/>
      <w:sz w:val="24"/>
      <w:szCs w:val="24"/>
    </w:rPr>
  </w:style>
  <w:style w:type="character" w:customStyle="1" w:styleId="QuoteChar">
    <w:name w:val="Quote Char"/>
    <w:basedOn w:val="DefaultParagraphFont"/>
    <w:link w:val="Quote"/>
    <w:uiPriority w:val="29"/>
    <w:rsid w:val="00AC577F"/>
    <w:rPr>
      <w:i/>
      <w:iCs/>
      <w:color w:val="404040" w:themeColor="text1" w:themeTint="BF"/>
    </w:rPr>
  </w:style>
  <w:style w:type="paragraph" w:styleId="ListParagraph">
    <w:name w:val="List Paragraph"/>
    <w:basedOn w:val="Normal"/>
    <w:uiPriority w:val="34"/>
    <w:qFormat/>
    <w:rsid w:val="00AC577F"/>
    <w:pPr>
      <w:spacing w:line="278" w:lineRule="auto"/>
      <w:ind w:left="720"/>
      <w:contextualSpacing/>
    </w:pPr>
    <w:rPr>
      <w:rFonts w:asciiTheme="minorHAnsi" w:hAnsiTheme="minorHAnsi"/>
      <w:sz w:val="24"/>
      <w:szCs w:val="24"/>
    </w:rPr>
  </w:style>
  <w:style w:type="character" w:styleId="IntenseEmphasis">
    <w:name w:val="Intense Emphasis"/>
    <w:basedOn w:val="DefaultParagraphFont"/>
    <w:uiPriority w:val="21"/>
    <w:qFormat/>
    <w:rsid w:val="00AC577F"/>
    <w:rPr>
      <w:i/>
      <w:iCs/>
      <w:color w:val="0F4761" w:themeColor="accent1" w:themeShade="BF"/>
    </w:rPr>
  </w:style>
  <w:style w:type="paragraph" w:styleId="IntenseQuote">
    <w:name w:val="Intense Quote"/>
    <w:basedOn w:val="Normal"/>
    <w:next w:val="Normal"/>
    <w:link w:val="IntenseQuoteChar"/>
    <w:uiPriority w:val="30"/>
    <w:qFormat/>
    <w:rsid w:val="00AC577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 w:val="24"/>
      <w:szCs w:val="24"/>
    </w:rPr>
  </w:style>
  <w:style w:type="character" w:customStyle="1" w:styleId="IntenseQuoteChar">
    <w:name w:val="Intense Quote Char"/>
    <w:basedOn w:val="DefaultParagraphFont"/>
    <w:link w:val="IntenseQuote"/>
    <w:uiPriority w:val="30"/>
    <w:rsid w:val="00AC577F"/>
    <w:rPr>
      <w:i/>
      <w:iCs/>
      <w:color w:val="0F4761" w:themeColor="accent1" w:themeShade="BF"/>
    </w:rPr>
  </w:style>
  <w:style w:type="character" w:styleId="IntenseReference">
    <w:name w:val="Intense Reference"/>
    <w:basedOn w:val="DefaultParagraphFont"/>
    <w:uiPriority w:val="32"/>
    <w:qFormat/>
    <w:rsid w:val="00AC57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495</Words>
  <Characters>2826</Characters>
  <Application>Microsoft Office Word</Application>
  <DocSecurity>0</DocSecurity>
  <Lines>23</Lines>
  <Paragraphs>6</Paragraphs>
  <ScaleCrop>false</ScaleCrop>
  <Company>Springer Nature</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2025-05-28T16:06:00Z</dcterms:created>
  <dcterms:modified xsi:type="dcterms:W3CDTF">2025-05-28T16:06:00Z</dcterms:modified>
</cp:coreProperties>
</file>