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6F8E3" w14:textId="77777777" w:rsidR="00610D0E" w:rsidRDefault="00610D0E" w:rsidP="00610D0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D89A5C" wp14:editId="29A6B1BC">
            <wp:extent cx="5273675" cy="6382385"/>
            <wp:effectExtent l="0" t="0" r="3175" b="0"/>
            <wp:docPr id="724130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13010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63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6DC4F" w14:textId="77777777" w:rsidR="00610D0E" w:rsidRDefault="00610D0E" w:rsidP="00610D0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="DengXian" w:hAnsi="Times New Roman" w:cs="Times New Roman"/>
          <w:b/>
          <w:bCs/>
          <w:color w:val="000000"/>
          <w:kern w:val="24"/>
        </w:rPr>
      </w:pPr>
      <w:r>
        <w:rPr>
          <w:rFonts w:ascii="Times New Roman" w:hAnsi="Times New Roman" w:cs="Times New Roman"/>
          <w:b/>
          <w:bCs/>
        </w:rPr>
        <w:t xml:space="preserve">Extended Data Fig. </w:t>
      </w:r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>1: Serendipitous discovery of α-syn aggregation inhibitors. a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, Rational design of amyloid-PROTACs. </w:t>
      </w:r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>b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, 72h cellular </w:t>
      </w:r>
      <w:bookmarkStart w:id="0" w:name="_Hlk196843540"/>
      <w:r>
        <w:rPr>
          <w:rFonts w:ascii="Times New Roman" w:eastAsia="DengXian" w:hAnsi="Times New Roman" w:cs="Times New Roman"/>
          <w:color w:val="000000"/>
          <w:kern w:val="24"/>
        </w:rPr>
        <w:t>anti-aggregation activity</w:t>
      </w:r>
      <w:bookmarkEnd w:id="0"/>
      <w:r>
        <w:rPr>
          <w:rFonts w:ascii="Times New Roman" w:eastAsia="DengXian" w:hAnsi="Times New Roman" w:cs="Times New Roman"/>
          <w:color w:val="000000"/>
          <w:kern w:val="24"/>
        </w:rPr>
        <w:t xml:space="preserve"> of PROTACs (5 </w:t>
      </w:r>
      <w:r w:rsidRPr="00951B4D">
        <w:rPr>
          <w:rFonts w:ascii="Times New Roman" w:eastAsia="DengXian" w:hAnsi="Times New Roman" w:cs="Times New Roman"/>
          <w:color w:val="000000"/>
          <w:kern w:val="24"/>
        </w:rPr>
        <w:t>µM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) from panel </w:t>
      </w:r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>a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. </w:t>
      </w:r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>c</w:t>
      </w:r>
      <w:r>
        <w:rPr>
          <w:rFonts w:ascii="Times New Roman" w:eastAsia="DengXian" w:hAnsi="Times New Roman" w:cs="Times New Roman"/>
          <w:color w:val="000000"/>
          <w:kern w:val="24"/>
        </w:rPr>
        <w:t>, Anti-aggregation activity of indicated compounds (</w:t>
      </w:r>
      <w:r>
        <w:rPr>
          <w:rFonts w:ascii="Times New Roman" w:eastAsia="DengXian" w:hAnsi="Times New Roman" w:cs="Times New Roman" w:hint="eastAsia"/>
          <w:color w:val="000000"/>
          <w:kern w:val="24"/>
        </w:rPr>
        <w:t xml:space="preserve">0.5 </w:t>
      </w:r>
      <w:r>
        <w:rPr>
          <w:rFonts w:ascii="Times New Roman" w:eastAsia="DengXian" w:hAnsi="Times New Roman" w:cs="Times New Roman"/>
        </w:rPr>
        <w:t>µ</w:t>
      </w:r>
      <w:r>
        <w:rPr>
          <w:rFonts w:ascii="Times New Roman" w:hAnsi="Times New Roman" w:cs="Times New Roman"/>
        </w:rPr>
        <w:t>M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) in WT or VHL-KO 293T cells overexpressing </w:t>
      </w:r>
      <w:r>
        <w:rPr>
          <w:rFonts w:ascii="Times New Roman" w:eastAsia="DengXian" w:hAnsi="Times New Roman" w:cs="Times New Roman"/>
          <w:color w:val="000000"/>
          <w:kern w:val="24"/>
          <w:lang w:val="el-GR"/>
        </w:rPr>
        <w:t>α</w:t>
      </w:r>
      <w:r w:rsidRPr="00951B4D">
        <w:rPr>
          <w:rFonts w:ascii="Times New Roman" w:eastAsia="DengXian" w:hAnsi="Times New Roman" w:cs="Times New Roman"/>
          <w:color w:val="000000"/>
          <w:kern w:val="24"/>
        </w:rPr>
        <w:t>-</w:t>
      </w:r>
      <w:r>
        <w:rPr>
          <w:rFonts w:ascii="Times New Roman" w:eastAsia="DengXian" w:hAnsi="Times New Roman" w:cs="Times New Roman"/>
          <w:color w:val="000000"/>
          <w:kern w:val="24"/>
        </w:rPr>
        <w:t>syn.</w:t>
      </w:r>
    </w:p>
    <w:p w14:paraId="2CBE6CE3" w14:textId="77777777" w:rsidR="00610D0E" w:rsidRDefault="00610D0E" w:rsidP="00610D0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063FE0F" w14:textId="77777777" w:rsidR="00610D0E" w:rsidRDefault="00610D0E" w:rsidP="00610D0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AFD4BF1" wp14:editId="625743CD">
            <wp:extent cx="5475600" cy="7066800"/>
            <wp:effectExtent l="0" t="0" r="0" b="1270"/>
            <wp:docPr id="42265547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655476" name="图片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5600" cy="7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644C4" w14:textId="77777777" w:rsidR="00610D0E" w:rsidRDefault="00610D0E" w:rsidP="00610D0E">
      <w:pPr>
        <w:spacing w:line="36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2: Lead optimization of HQY1027. a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, </w:t>
      </w:r>
      <w:r w:rsidRPr="00442A18">
        <w:rPr>
          <w:rFonts w:ascii="Times New Roman" w:hAnsi="Times New Roman" w:cs="Times New Roman" w:hint="eastAsia"/>
          <w:color w:val="000000" w:themeColor="text1"/>
          <w:kern w:val="24"/>
          <w:sz w:val="24"/>
          <w:szCs w:val="24"/>
        </w:rPr>
        <w:t xml:space="preserve">PiB and HQY1027 inhibited </w:t>
      </w:r>
      <w:r w:rsidRPr="00E36C70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α-syn in dose-dependent manners. </w:t>
      </w:r>
      <w:r>
        <w:rPr>
          <w:rFonts w:ascii="Times New Roman" w:hAnsi="Times New Roman" w:cs="Times New Roman" w:hint="eastAsia"/>
          <w:color w:val="000000" w:themeColor="text1"/>
          <w:kern w:val="24"/>
          <w:sz w:val="24"/>
          <w:szCs w:val="24"/>
        </w:rPr>
        <w:t>C</w:t>
      </w:r>
      <w:r w:rsidRPr="00E36C70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ells were treated with α-syn PFF (10 nM) and compounds at indicated concent</w:t>
      </w:r>
      <w:r w:rsidRPr="00442A18">
        <w:rPr>
          <w:rFonts w:ascii="Times New Roman" w:hAnsi="Times New Roman" w:cs="Times New Roman" w:hint="eastAsia"/>
          <w:color w:val="000000" w:themeColor="text1"/>
          <w:kern w:val="24"/>
          <w:sz w:val="24"/>
          <w:szCs w:val="24"/>
        </w:rPr>
        <w:t>rations for 72 h before lysis</w:t>
      </w:r>
      <w:r>
        <w:rPr>
          <w:rFonts w:ascii="Times New Roman" w:hAnsi="Times New Roman" w:cs="Times New Roman" w:hint="eastAsia"/>
          <w:color w:val="000000" w:themeColor="text1"/>
          <w:kern w:val="24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PFF types were indicated as WT, MSA- or JOS-like.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b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,</w:t>
      </w:r>
      <w:r>
        <w:rPr>
          <w:rFonts w:ascii="Times New Roman" w:hAnsi="Times New Roman" w:cs="Times New Roman" w:hint="eastAsia"/>
          <w:color w:val="000000" w:themeColor="text1"/>
          <w:kern w:val="24"/>
          <w:sz w:val="24"/>
          <w:szCs w:val="24"/>
        </w:rPr>
        <w:t xml:space="preserve"> Overlay of the structures of 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endogenous</w:t>
      </w:r>
      <w:r>
        <w:rPr>
          <w:rFonts w:ascii="Times New Roman" w:hAnsi="Times New Roman" w:cs="Times New Roman" w:hint="eastAsia"/>
          <w:color w:val="000000" w:themeColor="text1"/>
          <w:kern w:val="24"/>
          <w:sz w:val="24"/>
          <w:szCs w:val="24"/>
        </w:rPr>
        <w:t xml:space="preserve"> </w:t>
      </w:r>
      <w:r w:rsidRPr="00E36C70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α-syn </w:t>
      </w:r>
      <w:r>
        <w:rPr>
          <w:rFonts w:ascii="Times New Roman" w:hAnsi="Times New Roman" w:cs="Times New Roman" w:hint="eastAsia"/>
          <w:color w:val="000000" w:themeColor="text1"/>
          <w:kern w:val="24"/>
          <w:sz w:val="24"/>
          <w:szCs w:val="24"/>
        </w:rPr>
        <w:t>fibrils (MSA Type-II</w:t>
      </w:r>
      <w:r w:rsidRPr="005F0AF1">
        <w:rPr>
          <w:rFonts w:ascii="Times New Roman" w:hAnsi="Times New Roman" w:cs="Times New Roman" w:hint="eastAsia"/>
          <w:color w:val="000000" w:themeColor="text1"/>
          <w:kern w:val="24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color w:val="000000" w:themeColor="text1"/>
          <w:kern w:val="24"/>
          <w:sz w:val="24"/>
          <w:szCs w:val="24"/>
        </w:rPr>
        <w:t xml:space="preserve"> and JOS singlet) and synthetic </w:t>
      </w:r>
      <w:r w:rsidRPr="00E36C70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PFF</w:t>
      </w:r>
      <w:r>
        <w:rPr>
          <w:rFonts w:ascii="Times New Roman" w:hAnsi="Times New Roman" w:cs="Times New Roman" w:hint="eastAsia"/>
          <w:color w:val="000000" w:themeColor="text1"/>
          <w:kern w:val="24"/>
          <w:sz w:val="24"/>
          <w:szCs w:val="24"/>
        </w:rPr>
        <w:t>s (MSA/JOS-like), and the mutations of the latter are hi</w:t>
      </w:r>
      <w:r w:rsidRPr="005F0AF1">
        <w:rPr>
          <w:rFonts w:ascii="Times New Roman" w:hAnsi="Times New Roman" w:cs="Times New Roman" w:hint="eastAsia"/>
          <w:sz w:val="24"/>
          <w:szCs w:val="24"/>
        </w:rPr>
        <w:t>ghlighted and annotated</w:t>
      </w:r>
      <w:r w:rsidRPr="005F0AF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br w:type="page"/>
      </w:r>
    </w:p>
    <w:p w14:paraId="6C58D955" w14:textId="77777777" w:rsidR="00610D0E" w:rsidRDefault="00610D0E" w:rsidP="00610D0E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color w:val="000000" w:themeColor="text1"/>
          <w:kern w:val="24"/>
          <w:sz w:val="24"/>
          <w:szCs w:val="24"/>
        </w:rPr>
        <w:lastRenderedPageBreak/>
        <w:drawing>
          <wp:inline distT="0" distB="0" distL="0" distR="0" wp14:anchorId="48D0F500" wp14:editId="1353DF90">
            <wp:extent cx="3528000" cy="4021200"/>
            <wp:effectExtent l="0" t="0" r="0" b="0"/>
            <wp:docPr id="1057914865" name="图片 8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914865" name="图片 8" descr="图表&#10;&#10;AI 生成的内容可能不正确。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8000" cy="40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692AF" w14:textId="77777777" w:rsidR="00610D0E" w:rsidRDefault="00610D0E" w:rsidP="00610D0E">
      <w:pPr>
        <w:spacing w:line="36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: Lead optimization of HQY1027. a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, Anti-aggregation activity of HQY1027 in 293T cells overexpressing tau.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4"/>
          <w:szCs w:val="24"/>
        </w:rPr>
        <w:t>b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, Metabolic stability of PiB and HQY1027 in mouse liver microsomes.</w:t>
      </w:r>
    </w:p>
    <w:p w14:paraId="56860057" w14:textId="77777777" w:rsidR="00610D0E" w:rsidRPr="0066428C" w:rsidRDefault="00610D0E" w:rsidP="00610D0E">
      <w:pPr>
        <w:widowControl/>
        <w:jc w:val="left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br w:type="page"/>
      </w:r>
    </w:p>
    <w:p w14:paraId="6DC7EF5B" w14:textId="77777777" w:rsidR="00610D0E" w:rsidRDefault="00610D0E" w:rsidP="00610D0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3B453A2" wp14:editId="07F929CC">
            <wp:extent cx="5140443" cy="4579880"/>
            <wp:effectExtent l="0" t="0" r="3175" b="0"/>
            <wp:docPr id="8936092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609201" name="图片 89360920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9" r="15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488" cy="45879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366986" w14:textId="77777777" w:rsidR="00610D0E" w:rsidRPr="00BE16E6" w:rsidRDefault="00610D0E" w:rsidP="00610D0E">
      <w:pPr>
        <w:pStyle w:val="NormalWe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Extended Data Fig. 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</w:rPr>
        <w:t>4</w:t>
      </w:r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 xml:space="preserve">: HQY1027 does not inhibit the interactions between 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lang w:val="el-GR"/>
        </w:rPr>
        <w:t>α</w:t>
      </w:r>
      <w:r w:rsidRPr="00AE51AD">
        <w:rPr>
          <w:rFonts w:ascii="Times New Roman" w:eastAsia="DengXian" w:hAnsi="Times New Roman" w:cs="Times New Roman"/>
          <w:b/>
          <w:bCs/>
          <w:color w:val="000000"/>
          <w:kern w:val="24"/>
        </w:rPr>
        <w:t>-</w:t>
      </w:r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>syn fibrils and receptors.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a</w:t>
      </w:r>
      <w:r>
        <w:rPr>
          <w:rFonts w:ascii="Times New Roman" w:hAnsi="Times New Roman" w:cs="Times New Roman"/>
          <w:color w:val="000000" w:themeColor="text1"/>
          <w:kern w:val="24"/>
        </w:rPr>
        <w:t xml:space="preserve">, 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Bar graph summarizing the inhibitory effects of HQY1027 on the binding of </w:t>
      </w:r>
      <w:r>
        <w:rPr>
          <w:rFonts w:ascii="Times New Roman" w:eastAsia="DengXian" w:hAnsi="Times New Roman" w:cs="Times New Roman"/>
          <w:color w:val="000000"/>
          <w:kern w:val="24"/>
          <w:lang w:val="el-GR"/>
        </w:rPr>
        <w:t>α</w:t>
      </w:r>
      <w:r w:rsidRPr="00951B4D">
        <w:rPr>
          <w:rFonts w:ascii="Times New Roman" w:eastAsia="DengXian" w:hAnsi="Times New Roman" w:cs="Times New Roman"/>
          <w:color w:val="000000"/>
          <w:kern w:val="24"/>
        </w:rPr>
        <w:t>-</w:t>
      </w:r>
      <w:r>
        <w:rPr>
          <w:rFonts w:ascii="Times New Roman" w:eastAsia="DengXian" w:hAnsi="Times New Roman" w:cs="Times New Roman"/>
          <w:color w:val="000000"/>
          <w:kern w:val="24"/>
        </w:rPr>
        <w:t>syn PFF to dLAG3 or vRAGE based on ELISA assays. Reported inhibitor GSD-16-24 was used as a positive control. Data present mean ± SD (n = 4). Two-way repeated-measures ANOVA.</w:t>
      </w:r>
      <w:r w:rsidRPr="00BE16E6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</w:rPr>
        <w:t>b</w:t>
      </w:r>
      <w:r>
        <w:rPr>
          <w:rFonts w:ascii="Times New Roman" w:hAnsi="Times New Roman" w:cs="Times New Roman"/>
          <w:color w:val="000000" w:themeColor="text1"/>
          <w:kern w:val="24"/>
        </w:rPr>
        <w:t>,</w:t>
      </w:r>
      <w:r>
        <w:rPr>
          <w:rFonts w:ascii="Times New Roman" w:hAnsi="Times New Roman" w:cs="Times New Roman" w:hint="eastAsia"/>
          <w:color w:val="000000" w:themeColor="text1"/>
          <w:kern w:val="24"/>
        </w:rPr>
        <w:t xml:space="preserve"> Western blot results confirming that </w:t>
      </w:r>
      <w:r>
        <w:rPr>
          <w:rFonts w:ascii="Times New Roman" w:hAnsi="Times New Roman" w:cs="Times New Roman" w:hint="eastAsia"/>
        </w:rPr>
        <w:t>PS341 and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BafA1 (0.1 </w:t>
      </w:r>
      <w:r>
        <w:rPr>
          <w:rFonts w:ascii="Times New Roman" w:eastAsia="DengXian" w:hAnsi="Times New Roman" w:cs="Times New Roman"/>
        </w:rPr>
        <w:t>µ</w:t>
      </w:r>
      <w:r>
        <w:rPr>
          <w:rFonts w:ascii="Times New Roman" w:hAnsi="Times New Roman" w:cs="Times New Roman" w:hint="eastAsia"/>
        </w:rPr>
        <w:t xml:space="preserve">M) effectively inhibited </w:t>
      </w:r>
      <w:r>
        <w:rPr>
          <w:rFonts w:ascii="Times New Roman" w:hAnsi="Times New Roman" w:cs="Times New Roman"/>
        </w:rPr>
        <w:t>proteasomal</w:t>
      </w:r>
      <w:r>
        <w:rPr>
          <w:rFonts w:ascii="Times New Roman" w:hAnsi="Times New Roman" w:cs="Times New Roman" w:hint="eastAsia"/>
        </w:rPr>
        <w:t xml:space="preserve"> degradation and a</w:t>
      </w:r>
      <w:r w:rsidRPr="008922C3">
        <w:rPr>
          <w:rFonts w:ascii="Times New Roman" w:hAnsi="Times New Roman" w:cs="Times New Roman" w:hint="eastAsia"/>
        </w:rPr>
        <w:t>utophagic flux</w:t>
      </w:r>
      <w:r>
        <w:rPr>
          <w:rFonts w:ascii="Times New Roman" w:hAnsi="Times New Roman" w:cs="Times New Roman" w:hint="eastAsia"/>
        </w:rPr>
        <w:t xml:space="preserve">, respectively, </w:t>
      </w:r>
      <w:r>
        <w:rPr>
          <w:rFonts w:ascii="Times New Roman" w:hAnsi="Times New Roman" w:cs="Times New Roman"/>
        </w:rPr>
        <w:t xml:space="preserve">in </w:t>
      </w:r>
      <w:r>
        <w:rPr>
          <w:rFonts w:ascii="Times New Roman" w:eastAsia="DengXian" w:hAnsi="Times New Roman" w:cs="Times New Roman"/>
          <w:color w:val="000000"/>
          <w:kern w:val="24"/>
          <w:lang w:val="el-GR"/>
        </w:rPr>
        <w:t>α</w:t>
      </w:r>
      <w:r w:rsidRPr="00951B4D">
        <w:rPr>
          <w:rFonts w:ascii="Times New Roman" w:eastAsia="DengXian" w:hAnsi="Times New Roman" w:cs="Times New Roman"/>
          <w:color w:val="000000"/>
          <w:kern w:val="24"/>
        </w:rPr>
        <w:t>-</w:t>
      </w:r>
      <w:r>
        <w:rPr>
          <w:rFonts w:ascii="Times New Roman" w:eastAsia="DengXian" w:hAnsi="Times New Roman" w:cs="Times New Roman"/>
          <w:color w:val="000000"/>
          <w:kern w:val="24"/>
        </w:rPr>
        <w:t>syn</w:t>
      </w:r>
      <w:r>
        <w:rPr>
          <w:rFonts w:ascii="Times New Roman" w:eastAsia="DengXian" w:hAnsi="Times New Roman" w:cs="Times New Roman" w:hint="eastAsia"/>
          <w:color w:val="000000"/>
          <w:kern w:val="24"/>
        </w:rPr>
        <w:t>-aggregating 293T</w:t>
      </w:r>
      <w:r>
        <w:rPr>
          <w:rFonts w:ascii="Times New Roman" w:hAnsi="Times New Roman" w:cs="Times New Roman"/>
        </w:rPr>
        <w:t xml:space="preserve"> cells</w:t>
      </w:r>
      <w:r>
        <w:rPr>
          <w:rFonts w:ascii="Times New Roman" w:hAnsi="Times New Roman" w:cs="Times New Roman" w:hint="eastAsia"/>
        </w:rPr>
        <w:t>.</w:t>
      </w:r>
    </w:p>
    <w:p w14:paraId="047B1013" w14:textId="77777777" w:rsidR="00610D0E" w:rsidRDefault="00610D0E" w:rsidP="00610D0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0246CF1" w14:textId="77777777" w:rsidR="00610D0E" w:rsidRDefault="00610D0E" w:rsidP="00610D0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C53692" wp14:editId="34CB7979">
            <wp:extent cx="5257800" cy="5059680"/>
            <wp:effectExtent l="0" t="0" r="0" b="7620"/>
            <wp:docPr id="2644103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505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740A55" w14:textId="77777777" w:rsidR="00610D0E" w:rsidRDefault="00610D0E" w:rsidP="00610D0E">
      <w:pPr>
        <w:pStyle w:val="NormalWeb"/>
        <w:spacing w:before="0" w:beforeAutospacing="0" w:after="0" w:afterAutospacing="0" w:line="360" w:lineRule="auto"/>
        <w:rPr>
          <w:rFonts w:ascii="Times New Roman" w:hAnsi="Times New Roman" w:cs="Times New Roman"/>
          <w:b/>
          <w:bCs/>
        </w:rPr>
      </w:pPr>
    </w:p>
    <w:p w14:paraId="4EBD1BDF" w14:textId="77777777" w:rsidR="00610D0E" w:rsidRDefault="00610D0E" w:rsidP="00610D0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="DengXian" w:hAnsi="Times New Roman" w:cs="Times New Roman"/>
          <w:color w:val="111111"/>
          <w:kern w:val="24"/>
        </w:rPr>
      </w:pPr>
      <w:r>
        <w:rPr>
          <w:rFonts w:ascii="Times New Roman" w:hAnsi="Times New Roman" w:cs="Times New Roman"/>
          <w:b/>
          <w:bCs/>
        </w:rPr>
        <w:t xml:space="preserve">Extended Data Fig. 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</w:rPr>
        <w:t>5</w:t>
      </w:r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 xml:space="preserve">: </w:t>
      </w:r>
      <w:r>
        <w:rPr>
          <w:rFonts w:ascii="Times New Roman" w:eastAsia="DengXian" w:hAnsi="Times New Roman" w:cs="Times New Roman"/>
          <w:b/>
          <w:bCs/>
          <w:color w:val="111111"/>
          <w:kern w:val="24"/>
        </w:rPr>
        <w:t>SPR analysis results.</w:t>
      </w:r>
      <w:r>
        <w:rPr>
          <w:rFonts w:ascii="Times New Roman" w:eastAsia="DengXian" w:hAnsi="Times New Roman" w:cs="Times New Roman"/>
          <w:color w:val="111111"/>
          <w:kern w:val="24"/>
        </w:rPr>
        <w:t xml:space="preserve"> Sensorgrams depicting the kinetics for HQY1027 (</w:t>
      </w:r>
      <w:r>
        <w:rPr>
          <w:rFonts w:ascii="Times New Roman" w:eastAsia="DengXian" w:hAnsi="Times New Roman" w:cs="Times New Roman"/>
          <w:b/>
          <w:bCs/>
          <w:color w:val="111111"/>
          <w:kern w:val="24"/>
        </w:rPr>
        <w:t>a</w:t>
      </w:r>
      <w:r>
        <w:rPr>
          <w:rFonts w:ascii="Times New Roman" w:eastAsia="DengXian" w:hAnsi="Times New Roman" w:cs="Times New Roman"/>
          <w:color w:val="111111"/>
          <w:kern w:val="24"/>
        </w:rPr>
        <w:t>)</w:t>
      </w:r>
      <w:r>
        <w:rPr>
          <w:rFonts w:ascii="Times New Roman" w:eastAsia="DengXian" w:hAnsi="Times New Roman" w:cs="Times New Roman" w:hint="eastAsia"/>
          <w:color w:val="111111"/>
          <w:kern w:val="24"/>
        </w:rPr>
        <w:t xml:space="preserve"> and</w:t>
      </w:r>
      <w:r>
        <w:rPr>
          <w:rFonts w:ascii="Times New Roman" w:eastAsia="DengXian" w:hAnsi="Times New Roman" w:cs="Times New Roman"/>
          <w:color w:val="111111"/>
          <w:kern w:val="24"/>
        </w:rPr>
        <w:t xml:space="preserve"> </w:t>
      </w:r>
      <w:r>
        <w:rPr>
          <w:rFonts w:ascii="Times New Roman" w:eastAsia="DengXian" w:hAnsi="Times New Roman" w:cs="Times New Roman"/>
          <w:b/>
          <w:bCs/>
          <w:color w:val="111111"/>
          <w:kern w:val="24"/>
        </w:rPr>
        <w:t>5</w:t>
      </w:r>
      <w:r>
        <w:rPr>
          <w:rFonts w:ascii="Times New Roman" w:eastAsia="DengXian" w:hAnsi="Times New Roman" w:cs="Times New Roman"/>
          <w:color w:val="111111"/>
          <w:kern w:val="24"/>
        </w:rPr>
        <w:t xml:space="preserve"> (</w:t>
      </w:r>
      <w:r>
        <w:rPr>
          <w:rFonts w:ascii="Times New Roman" w:eastAsia="DengXian" w:hAnsi="Times New Roman" w:cs="Times New Roman"/>
          <w:b/>
          <w:bCs/>
          <w:color w:val="111111"/>
          <w:kern w:val="24"/>
        </w:rPr>
        <w:t>b</w:t>
      </w:r>
      <w:r>
        <w:rPr>
          <w:rFonts w:ascii="Times New Roman" w:eastAsia="DengXian" w:hAnsi="Times New Roman" w:cs="Times New Roman"/>
          <w:color w:val="111111"/>
          <w:kern w:val="24"/>
        </w:rPr>
        <w:t>)</w:t>
      </w:r>
      <w:r>
        <w:rPr>
          <w:rFonts w:ascii="Times New Roman" w:eastAsia="DengXian" w:hAnsi="Times New Roman" w:cs="Times New Roman" w:hint="eastAsia"/>
          <w:color w:val="111111"/>
          <w:kern w:val="24"/>
        </w:rPr>
        <w:t xml:space="preserve"> </w:t>
      </w:r>
      <w:r>
        <w:rPr>
          <w:rFonts w:ascii="Times New Roman" w:eastAsia="DengXian" w:hAnsi="Times New Roman" w:cs="Times New Roman"/>
          <w:color w:val="111111"/>
          <w:kern w:val="24"/>
        </w:rPr>
        <w:t>binding with molecular chaperones or α-syn PFF, respectively.</w:t>
      </w:r>
    </w:p>
    <w:p w14:paraId="47E31CAC" w14:textId="77777777" w:rsidR="00610D0E" w:rsidRDefault="00610D0E" w:rsidP="00610D0E">
      <w:pPr>
        <w:pStyle w:val="NormalWeb"/>
        <w:spacing w:before="0" w:beforeAutospacing="0" w:after="0" w:afterAutospacing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ECFDCA8" w14:textId="77777777" w:rsidR="00610D0E" w:rsidRDefault="00610D0E" w:rsidP="00610D0E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FFE94D" wp14:editId="00A620B8">
            <wp:extent cx="4220308" cy="7217319"/>
            <wp:effectExtent l="0" t="0" r="8890" b="3175"/>
            <wp:docPr id="15307892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789255" name="图片 1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772"/>
                    <a:stretch>
                      <a:fillRect/>
                    </a:stretch>
                  </pic:blipFill>
                  <pic:spPr>
                    <a:xfrm>
                      <a:off x="0" y="0"/>
                      <a:ext cx="4226002" cy="722705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101A2" w14:textId="77777777" w:rsidR="00610D0E" w:rsidRDefault="00610D0E" w:rsidP="00610D0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  <w:szCs w:val="24"/>
        </w:rPr>
        <w:t>6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  <w:t xml:space="preserve">: Protein thermostability shift assay results. </w:t>
      </w:r>
      <w:r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  <w:t>The melt curve plots showing the effects of HQY1027 (blue curves) on the thermal stability of Hdj1</w:t>
      </w:r>
      <w:r>
        <w:rPr>
          <w:rFonts w:ascii="Times New Roman" w:eastAsia="DengXian" w:hAnsi="Times New Roman" w:cs="Times New Roman" w:hint="eastAsia"/>
          <w:color w:val="000000"/>
          <w:kern w:val="24"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  <w:t>(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  <w:t>a</w:t>
      </w:r>
      <w:r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  <w:t>), Hsc70 (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  <w:t>b</w:t>
      </w:r>
      <w:r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  <w:t>) and Hsp90α (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  <w:t>c</w:t>
      </w:r>
      <w:r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  <w:t>). DMSO was used as control (red curves).</w:t>
      </w:r>
    </w:p>
    <w:p w14:paraId="39B86D35" w14:textId="77777777" w:rsidR="00610D0E" w:rsidRDefault="00610D0E" w:rsidP="00610D0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3425D6C" w14:textId="77777777" w:rsidR="00610D0E" w:rsidRDefault="00610D0E" w:rsidP="00610D0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406E9E6" w14:textId="77777777" w:rsidR="00610D0E" w:rsidRDefault="00610D0E" w:rsidP="00610D0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41DC22" wp14:editId="79A6BB0C">
            <wp:extent cx="5191125" cy="2110154"/>
            <wp:effectExtent l="0" t="0" r="0" b="4445"/>
            <wp:docPr id="146888114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881142" name="图片 5"/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-10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503" cy="21103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480B86" w14:textId="77777777" w:rsidR="00610D0E" w:rsidRDefault="00610D0E" w:rsidP="00610D0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="DengXian" w:hAnsi="Times New Roman" w:cs="Times New Roman"/>
          <w:color w:val="111111"/>
          <w:kern w:val="24"/>
        </w:rPr>
      </w:pPr>
      <w:bookmarkStart w:id="1" w:name="_Hlk196238339"/>
      <w:r>
        <w:rPr>
          <w:rFonts w:ascii="Times New Roman" w:hAnsi="Times New Roman" w:cs="Times New Roman"/>
          <w:b/>
          <w:bCs/>
        </w:rPr>
        <w:t xml:space="preserve">Extended Data Fig. 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</w:rPr>
        <w:t>7</w:t>
      </w:r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 xml:space="preserve">: </w:t>
      </w:r>
      <w:bookmarkEnd w:id="1"/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>Resolution validation of the cryo-EM density map. a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, </w:t>
      </w:r>
      <w:r>
        <w:rPr>
          <w:rFonts w:ascii="Times New Roman" w:eastAsia="DengXian" w:hAnsi="Times New Roman" w:cs="Times New Roman"/>
          <w:color w:val="111111"/>
          <w:kern w:val="24"/>
        </w:rPr>
        <w:t>The local resolution plots of the density map (bottom) estimated using RELION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. </w:t>
      </w:r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>b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, </w:t>
      </w:r>
      <w:r>
        <w:rPr>
          <w:rFonts w:ascii="Times New Roman" w:eastAsia="DengXian" w:hAnsi="Times New Roman" w:cs="Times New Roman"/>
          <w:color w:val="111111"/>
          <w:kern w:val="24"/>
        </w:rPr>
        <w:t>Overall resolution estimates (black lines) calculated using the gold-standard 0.143 Fourier shell correlation (FSC) of two independently refined half-maps.</w:t>
      </w:r>
    </w:p>
    <w:p w14:paraId="6EEEEDE4" w14:textId="77777777" w:rsidR="00610D0E" w:rsidRDefault="00610D0E" w:rsidP="00610D0E">
      <w:pPr>
        <w:widowControl/>
        <w:jc w:val="left"/>
        <w:rPr>
          <w:rFonts w:ascii="Times New Roman" w:eastAsia="DengXian" w:hAnsi="Times New Roman" w:cs="Times New Roman"/>
          <w:color w:val="111111"/>
          <w:kern w:val="24"/>
          <w:sz w:val="24"/>
          <w:szCs w:val="24"/>
        </w:rPr>
      </w:pPr>
      <w:r>
        <w:rPr>
          <w:rFonts w:ascii="Times New Roman" w:eastAsia="DengXian" w:hAnsi="Times New Roman" w:cs="Times New Roman"/>
          <w:color w:val="111111"/>
          <w:kern w:val="24"/>
        </w:rPr>
        <w:br w:type="page"/>
      </w:r>
    </w:p>
    <w:p w14:paraId="5F293857" w14:textId="77777777" w:rsidR="00610D0E" w:rsidRDefault="00610D0E" w:rsidP="00610D0E">
      <w:pPr>
        <w:pStyle w:val="NormalWeb"/>
        <w:spacing w:before="0" w:beforeAutospacing="0" w:after="0" w:afterAutospacing="0" w:line="360" w:lineRule="auto"/>
        <w:jc w:val="center"/>
        <w:rPr>
          <w:rFonts w:ascii="Times New Roman" w:eastAsia="DengXian" w:hAnsi="Times New Roman" w:cs="Times New Roman"/>
          <w:color w:val="111111"/>
          <w:kern w:val="24"/>
        </w:rPr>
      </w:pPr>
      <w:r>
        <w:rPr>
          <w:rFonts w:ascii="Times New Roman" w:eastAsia="DengXian" w:hAnsi="Times New Roman" w:cs="Times New Roman"/>
          <w:noProof/>
          <w:color w:val="111111"/>
          <w:kern w:val="24"/>
        </w:rPr>
        <w:lastRenderedPageBreak/>
        <w:drawing>
          <wp:inline distT="0" distB="0" distL="0" distR="0" wp14:anchorId="0C62B7A1" wp14:editId="422B57A8">
            <wp:extent cx="4687228" cy="6921635"/>
            <wp:effectExtent l="0" t="0" r="0" b="0"/>
            <wp:docPr id="4211403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140325" name="图片 2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7" t="778" b="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102" cy="6922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34CD4" w14:textId="77777777" w:rsidR="00610D0E" w:rsidRDefault="00610D0E" w:rsidP="00610D0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="DengXian" w:hAnsi="Times New Roman" w:cs="Times New Roman"/>
          <w:color w:val="111111"/>
          <w:kern w:val="24"/>
        </w:rPr>
      </w:pPr>
      <w:r>
        <w:rPr>
          <w:rFonts w:ascii="Times New Roman" w:hAnsi="Times New Roman" w:cs="Times New Roman"/>
          <w:b/>
          <w:bCs/>
        </w:rPr>
        <w:t xml:space="preserve">Extended Data Fig. 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</w:rPr>
        <w:t>8</w:t>
      </w:r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 xml:space="preserve">: 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</w:rPr>
        <w:t>The activity of HQY1027 derivatives with hydrophilic or charged groups</w:t>
      </w:r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>. a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kern w:val="24"/>
        </w:rPr>
        <w:t>Anti-aggregation activity of HQY1027</w:t>
      </w:r>
      <w:r w:rsidRPr="00AE1581">
        <w:rPr>
          <w:rFonts w:hint="eastAsia"/>
        </w:rPr>
        <w:t xml:space="preserve"> </w:t>
      </w:r>
      <w:r w:rsidRPr="00AE1581">
        <w:rPr>
          <w:rFonts w:ascii="Times New Roman" w:hAnsi="Times New Roman" w:cs="Times New Roman" w:hint="eastAsia"/>
          <w:color w:val="000000" w:themeColor="text1"/>
          <w:kern w:val="24"/>
        </w:rPr>
        <w:t>derivatives</w:t>
      </w:r>
      <w:r>
        <w:rPr>
          <w:rFonts w:ascii="Times New Roman" w:hAnsi="Times New Roman" w:cs="Times New Roman"/>
          <w:color w:val="000000" w:themeColor="text1"/>
          <w:kern w:val="24"/>
        </w:rPr>
        <w:t xml:space="preserve"> in 293T cells overexpressing </w:t>
      </w:r>
      <w:r w:rsidRPr="00AE1581">
        <w:rPr>
          <w:rFonts w:ascii="Times New Roman" w:hAnsi="Times New Roman" w:cs="Times New Roman"/>
          <w:color w:val="000000" w:themeColor="text1"/>
          <w:kern w:val="24"/>
        </w:rPr>
        <w:t>α</w:t>
      </w:r>
      <w:r w:rsidRPr="00AE1581">
        <w:rPr>
          <w:rFonts w:ascii="Times New Roman" w:hAnsi="Times New Roman" w:cs="Times New Roman" w:hint="eastAsia"/>
          <w:color w:val="000000" w:themeColor="text1"/>
          <w:kern w:val="24"/>
        </w:rPr>
        <w:t>-syn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. </w:t>
      </w:r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>b</w:t>
      </w:r>
      <w:r>
        <w:rPr>
          <w:rFonts w:ascii="Times New Roman" w:eastAsia="DengXian" w:hAnsi="Times New Roman" w:cs="Times New Roman"/>
          <w:color w:val="000000"/>
          <w:kern w:val="24"/>
        </w:rPr>
        <w:t>,</w:t>
      </w:r>
      <w:r w:rsidRPr="002024D7">
        <w:rPr>
          <w:rFonts w:ascii="Times New Roman" w:eastAsia="DengXian" w:hAnsi="Times New Roman" w:cs="Times New Roman"/>
          <w:color w:val="111111"/>
          <w:kern w:val="24"/>
        </w:rPr>
        <w:t xml:space="preserve"> </w:t>
      </w:r>
      <w:r>
        <w:rPr>
          <w:rFonts w:ascii="Times New Roman" w:eastAsia="DengXian" w:hAnsi="Times New Roman" w:cs="Times New Roman"/>
          <w:color w:val="111111"/>
          <w:kern w:val="24"/>
        </w:rPr>
        <w:t xml:space="preserve">SPR sensorgrams depicting the kinetics for </w:t>
      </w:r>
      <w:r>
        <w:rPr>
          <w:rFonts w:ascii="Times New Roman" w:hAnsi="Times New Roman" w:cs="Times New Roman"/>
          <w:color w:val="000000" w:themeColor="text1"/>
          <w:kern w:val="24"/>
        </w:rPr>
        <w:t>HQY1027</w:t>
      </w:r>
      <w:r w:rsidRPr="00AE1581">
        <w:rPr>
          <w:rFonts w:hint="eastAsia"/>
        </w:rPr>
        <w:t xml:space="preserve"> </w:t>
      </w:r>
      <w:r w:rsidRPr="00AE1581">
        <w:rPr>
          <w:rFonts w:ascii="Times New Roman" w:hAnsi="Times New Roman" w:cs="Times New Roman" w:hint="eastAsia"/>
          <w:color w:val="000000" w:themeColor="text1"/>
          <w:kern w:val="24"/>
        </w:rPr>
        <w:t>derivatives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 binding to </w:t>
      </w:r>
      <w:r>
        <w:rPr>
          <w:rFonts w:ascii="Times New Roman" w:eastAsia="DengXian" w:hAnsi="Times New Roman" w:cs="Times New Roman" w:hint="eastAsia"/>
          <w:color w:val="000000"/>
          <w:kern w:val="24"/>
        </w:rPr>
        <w:t xml:space="preserve">WT </w:t>
      </w:r>
      <w:r>
        <w:rPr>
          <w:rFonts w:ascii="Times New Roman" w:eastAsia="DengXian" w:hAnsi="Times New Roman" w:cs="Times New Roman"/>
          <w:color w:val="000000"/>
          <w:kern w:val="24"/>
        </w:rPr>
        <w:t>α-syn PFF.</w:t>
      </w:r>
    </w:p>
    <w:p w14:paraId="3B873815" w14:textId="77777777" w:rsidR="00610D0E" w:rsidRPr="009C4EB2" w:rsidRDefault="00610D0E" w:rsidP="00610D0E">
      <w:pPr>
        <w:widowControl/>
        <w:jc w:val="left"/>
        <w:rPr>
          <w:rFonts w:ascii="Times New Roman" w:eastAsia="DengXian" w:hAnsi="Times New Roman" w:cs="Times New Roman"/>
          <w:color w:val="111111"/>
          <w:kern w:val="24"/>
          <w:sz w:val="24"/>
          <w:szCs w:val="24"/>
        </w:rPr>
      </w:pPr>
      <w:r>
        <w:rPr>
          <w:rFonts w:ascii="Times New Roman" w:eastAsia="DengXian" w:hAnsi="Times New Roman" w:cs="Times New Roman"/>
          <w:color w:val="111111"/>
          <w:kern w:val="24"/>
        </w:rPr>
        <w:br w:type="page"/>
      </w:r>
    </w:p>
    <w:p w14:paraId="4D7F5A04" w14:textId="77777777" w:rsidR="00610D0E" w:rsidRDefault="00610D0E" w:rsidP="00610D0E">
      <w:pPr>
        <w:pStyle w:val="NormalWeb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13CE9C67" wp14:editId="7852E31F">
            <wp:extent cx="4721480" cy="7019999"/>
            <wp:effectExtent l="0" t="0" r="3175" b="0"/>
            <wp:docPr id="13582473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247362" name="图片 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1480" cy="701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D23DF" w14:textId="77777777" w:rsidR="00610D0E" w:rsidRDefault="00610D0E" w:rsidP="00610D0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="DengXian" w:hAnsi="Times New Roman" w:cs="Times New Roman"/>
          <w:b/>
          <w:bCs/>
          <w:color w:val="000000"/>
          <w:kern w:val="24"/>
        </w:rPr>
      </w:pPr>
      <w:r>
        <w:rPr>
          <w:rFonts w:ascii="Times New Roman" w:hAnsi="Times New Roman" w:cs="Times New Roman"/>
          <w:b/>
          <w:bCs/>
        </w:rPr>
        <w:t xml:space="preserve">Extended Data Fig. 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</w:rPr>
        <w:t>9</w:t>
      </w:r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>: HQY1027 selectively enhances Hsp40’s binding to α-syn fibrils. a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, </w:t>
      </w:r>
      <w:r>
        <w:rPr>
          <w:rFonts w:ascii="Times New Roman" w:eastAsia="DengXian" w:hAnsi="Times New Roman" w:cs="Times New Roman"/>
          <w:color w:val="111111"/>
          <w:kern w:val="24"/>
        </w:rPr>
        <w:t xml:space="preserve">SPR sensorgrams depicting the kinetics for 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Hsp40 binding to </w:t>
      </w:r>
      <w:r>
        <w:rPr>
          <w:rFonts w:ascii="Times New Roman" w:eastAsia="DengXian" w:hAnsi="Times New Roman" w:cs="Times New Roman" w:hint="eastAsia"/>
          <w:color w:val="000000"/>
          <w:kern w:val="24"/>
        </w:rPr>
        <w:t xml:space="preserve">different types of </w:t>
      </w:r>
      <w:r>
        <w:rPr>
          <w:rFonts w:ascii="Times New Roman" w:eastAsia="DengXian" w:hAnsi="Times New Roman" w:cs="Times New Roman"/>
          <w:color w:val="000000"/>
          <w:kern w:val="24"/>
        </w:rPr>
        <w:t>α-syn PFF in presence of HQY1027.</w:t>
      </w:r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 xml:space="preserve"> b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, Bar graph summarizing the effects of HQY1027 or </w:t>
      </w:r>
      <w:r>
        <w:rPr>
          <w:rFonts w:ascii="Times New Roman" w:eastAsia="DengXian" w:hAnsi="Times New Roman" w:cs="Times New Roman"/>
          <w:b/>
          <w:bCs/>
          <w:color w:val="000000"/>
          <w:kern w:val="24"/>
        </w:rPr>
        <w:t>5</w:t>
      </w:r>
      <w:r>
        <w:rPr>
          <w:rFonts w:ascii="Times New Roman" w:eastAsia="DengXian" w:hAnsi="Times New Roman" w:cs="Times New Roman"/>
          <w:color w:val="000000"/>
          <w:kern w:val="24"/>
        </w:rPr>
        <w:t xml:space="preserve"> on the Hsc70 binding to α-syn PFF based on ELISA assays. Data represent means ± SD (n = 4). Two-way ANOVA with Tukey’s post hoc test.</w:t>
      </w:r>
      <w:r>
        <w:rPr>
          <w:rFonts w:ascii="Times New Roman" w:hAnsi="Times New Roman" w:cs="Times New Roman"/>
        </w:rPr>
        <w:br w:type="page"/>
      </w:r>
    </w:p>
    <w:p w14:paraId="7245E25F" w14:textId="77777777" w:rsidR="00610D0E" w:rsidRDefault="00610D0E" w:rsidP="00610D0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EE015F3" wp14:editId="15B6BE28">
            <wp:extent cx="5269865" cy="3804139"/>
            <wp:effectExtent l="0" t="0" r="6985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C8930FF3-8903-3C8F-4153-7A298D43F64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C8930FF3-8903-3C8F-4153-7A298D43F64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b="-25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164" cy="3804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0A57D6" w14:textId="77777777" w:rsidR="00610D0E" w:rsidRDefault="00610D0E" w:rsidP="00610D0E">
      <w:pPr>
        <w:spacing w:line="360" w:lineRule="auto"/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  <w:szCs w:val="24"/>
        </w:rPr>
        <w:t>10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  <w:t xml:space="preserve">: 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  <w:szCs w:val="24"/>
        </w:rPr>
        <w:t xml:space="preserve">The inactive analog of 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  <w:t xml:space="preserve">HQY1027, 5, 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  <w:szCs w:val="24"/>
        </w:rPr>
        <w:t xml:space="preserve">does not 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  <w:t xml:space="preserve">inhibit α-syn fibril </w:t>
      </w:r>
      <w:r w:rsidRPr="00757269"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  <w:szCs w:val="24"/>
        </w:rPr>
        <w:t>aggregation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  <w:t xml:space="preserve"> in 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 w:val="24"/>
          <w:szCs w:val="24"/>
        </w:rPr>
        <w:t>primary rat neurons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  <w:t xml:space="preserve">. </w:t>
      </w:r>
      <w:r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  <w:t>Representative images showing immunofluorescent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  <w:t xml:space="preserve">staining results for the inactive analog 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 w:val="24"/>
          <w:szCs w:val="24"/>
        </w:rPr>
        <w:t>5</w:t>
      </w:r>
      <w:r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  <w:t xml:space="preserve"> on PFF-induced α-syn aggregation in rat primary cortical neurons.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  <w:t>α-Syn aggregates, neuronal dendrites and nuclei are indicated by α-syn p-S129 (red), MAP2 (green), and DAPI (blue),</w:t>
      </w:r>
      <w:r>
        <w:rPr>
          <w:rFonts w:ascii="Times New Roman" w:eastAsia="DengXian" w:hAnsi="Times New Roman" w:cs="Times New Roman" w:hint="eastAsia"/>
          <w:color w:val="000000"/>
          <w:kern w:val="24"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  <w:t xml:space="preserve">respectively. Scale bar, 50 </w:t>
      </w:r>
      <w:r>
        <w:rPr>
          <w:rFonts w:ascii="Times New Roman" w:eastAsia="DengXian" w:hAnsi="Times New Roman" w:cs="Times New Roman"/>
          <w:color w:val="000000"/>
          <w:kern w:val="24"/>
          <w:sz w:val="24"/>
          <w:szCs w:val="24"/>
          <w:lang w:val="el-GR"/>
        </w:rPr>
        <w:t>µm</w:t>
      </w:r>
      <w:r>
        <w:rPr>
          <w:rFonts w:ascii="Times New Roman" w:eastAsia="DengXian" w:hAnsi="Times New Roman" w:cs="Times New Roman"/>
          <w:color w:val="000000"/>
          <w:kern w:val="24"/>
          <w:sz w:val="24"/>
          <w:szCs w:val="24"/>
        </w:rPr>
        <w:t>.</w:t>
      </w:r>
    </w:p>
    <w:p w14:paraId="71706CB2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D0E"/>
    <w:rsid w:val="001C523C"/>
    <w:rsid w:val="002C7D54"/>
    <w:rsid w:val="0033371E"/>
    <w:rsid w:val="005C0D39"/>
    <w:rsid w:val="00610D0E"/>
    <w:rsid w:val="0070406C"/>
    <w:rsid w:val="00724754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7FE5C"/>
  <w15:chartTrackingRefBased/>
  <w15:docId w15:val="{694F85C9-B2F1-4D08-88A3-220F42E91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0D0E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0D0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0D0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0D0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0D0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0D0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0D0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0D0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0D0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0D0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0D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0D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0D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0D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0D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0D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0D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0D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0D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0D0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10D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0D0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10D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0D0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10D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0D0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10D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0D0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D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0D0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qFormat/>
    <w:rsid w:val="00610D0E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469</Words>
  <Characters>2863</Characters>
  <Application>Microsoft Office Word</Application>
  <DocSecurity>0</DocSecurity>
  <Lines>52</Lines>
  <Paragraphs>13</Paragraphs>
  <ScaleCrop>false</ScaleCrop>
  <Company/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2026-03-31T08:22:00Z</dcterms:created>
  <dcterms:modified xsi:type="dcterms:W3CDTF">2026-03-31T08:22:00Z</dcterms:modified>
</cp:coreProperties>
</file>