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723F7" w14:textId="3B665EC0" w:rsidR="00806B32" w:rsidRPr="002117B8" w:rsidRDefault="00806B32" w:rsidP="00806B32">
      <w:pPr>
        <w:pStyle w:val="Prrafodelista"/>
        <w:spacing w:line="276" w:lineRule="auto"/>
        <w:ind w:left="0"/>
        <w:contextualSpacing w:val="0"/>
        <w:jc w:val="center"/>
        <w:rPr>
          <w:rFonts w:cs="Times New Roman"/>
          <w:b/>
          <w:bCs/>
          <w:sz w:val="18"/>
          <w:szCs w:val="18"/>
          <w:lang w:val="en-US"/>
        </w:rPr>
      </w:pPr>
      <w:r w:rsidRPr="002117B8">
        <w:rPr>
          <w:rFonts w:cs="Times New Roman"/>
          <w:b/>
          <w:bCs/>
          <w:sz w:val="18"/>
          <w:szCs w:val="18"/>
          <w:lang w:val="en-US"/>
        </w:rPr>
        <w:t xml:space="preserve">Table </w:t>
      </w:r>
      <w:r w:rsidR="00A71D79" w:rsidRPr="002117B8">
        <w:rPr>
          <w:rFonts w:cs="Times New Roman"/>
          <w:b/>
          <w:bCs/>
          <w:sz w:val="18"/>
          <w:szCs w:val="18"/>
          <w:lang w:val="en-US"/>
        </w:rPr>
        <w:t>S</w:t>
      </w:r>
      <w:r w:rsidRPr="002117B8">
        <w:rPr>
          <w:rFonts w:cs="Times New Roman"/>
          <w:b/>
          <w:bCs/>
          <w:sz w:val="18"/>
          <w:szCs w:val="18"/>
          <w:lang w:val="en-US"/>
        </w:rPr>
        <w:t xml:space="preserve">1.  </w:t>
      </w:r>
      <w:r w:rsidR="000B1592" w:rsidRPr="002117B8">
        <w:rPr>
          <w:rFonts w:cs="Times New Roman"/>
          <w:b/>
          <w:bCs/>
          <w:sz w:val="18"/>
          <w:szCs w:val="18"/>
          <w:lang w:val="en-US"/>
        </w:rPr>
        <w:t>P</w:t>
      </w:r>
      <w:r w:rsidRPr="002117B8">
        <w:rPr>
          <w:rFonts w:cs="Times New Roman"/>
          <w:b/>
          <w:bCs/>
          <w:sz w:val="18"/>
          <w:szCs w:val="18"/>
          <w:lang w:val="en-US"/>
        </w:rPr>
        <w:t>hysicochemical properties of both prototypes, PGA-PEG NCs and PGAC14 NAs, with and without AlexaFluor</w:t>
      </w:r>
      <w:r w:rsidRPr="002117B8">
        <w:rPr>
          <w:rFonts w:cs="Times New Roman"/>
          <w:b/>
          <w:bCs/>
          <w:sz w:val="18"/>
          <w:szCs w:val="18"/>
          <w:vertAlign w:val="superscript"/>
          <w:lang w:val="en-US"/>
        </w:rPr>
        <w:t>488</w:t>
      </w:r>
      <w:r w:rsidRPr="002117B8">
        <w:rPr>
          <w:rFonts w:cs="Times New Roman"/>
          <w:b/>
          <w:bCs/>
          <w:sz w:val="18"/>
          <w:szCs w:val="18"/>
          <w:lang w:val="en-US"/>
        </w:rPr>
        <w:t>-BVZ</w:t>
      </w:r>
    </w:p>
    <w:tbl>
      <w:tblPr>
        <w:tblStyle w:val="Tablaconcuadrcula"/>
        <w:tblW w:w="8618" w:type="dxa"/>
        <w:jc w:val="center"/>
        <w:tblLook w:val="04A0" w:firstRow="1" w:lastRow="0" w:firstColumn="1" w:lastColumn="0" w:noHBand="0" w:noVBand="1"/>
      </w:tblPr>
      <w:tblGrid>
        <w:gridCol w:w="1838"/>
        <w:gridCol w:w="1701"/>
        <w:gridCol w:w="1140"/>
        <w:gridCol w:w="1758"/>
        <w:gridCol w:w="1318"/>
        <w:gridCol w:w="863"/>
      </w:tblGrid>
      <w:tr w:rsidR="00806B32" w:rsidRPr="00E61F02" w14:paraId="65773BFF" w14:textId="77777777" w:rsidTr="00D16061">
        <w:trPr>
          <w:trHeight w:val="194"/>
          <w:jc w:val="center"/>
        </w:trPr>
        <w:tc>
          <w:tcPr>
            <w:tcW w:w="1838" w:type="dxa"/>
            <w:vMerge w:val="restart"/>
            <w:shd w:val="clear" w:color="auto" w:fill="F2F2F2" w:themeFill="background1" w:themeFillShade="F2"/>
            <w:vAlign w:val="center"/>
          </w:tcPr>
          <w:p w14:paraId="240B97DE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>Prototype</w:t>
            </w:r>
          </w:p>
        </w:tc>
        <w:tc>
          <w:tcPr>
            <w:tcW w:w="4599" w:type="dxa"/>
            <w:gridSpan w:val="3"/>
            <w:shd w:val="clear" w:color="auto" w:fill="F2F2F2" w:themeFill="background1" w:themeFillShade="F2"/>
            <w:vAlign w:val="center"/>
          </w:tcPr>
          <w:p w14:paraId="6BCDF105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>Physicochemical properties</w:t>
            </w:r>
          </w:p>
        </w:tc>
        <w:tc>
          <w:tcPr>
            <w:tcW w:w="1318" w:type="dxa"/>
            <w:vMerge w:val="restart"/>
            <w:shd w:val="clear" w:color="auto" w:fill="F2F2F2" w:themeFill="background1" w:themeFillShade="F2"/>
            <w:vAlign w:val="center"/>
          </w:tcPr>
          <w:p w14:paraId="56A430B2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>AE (%)</w:t>
            </w:r>
          </w:p>
        </w:tc>
        <w:tc>
          <w:tcPr>
            <w:tcW w:w="863" w:type="dxa"/>
            <w:vMerge w:val="restart"/>
            <w:shd w:val="clear" w:color="auto" w:fill="F2F2F2" w:themeFill="background1" w:themeFillShade="F2"/>
            <w:vAlign w:val="center"/>
          </w:tcPr>
          <w:p w14:paraId="73ECFB72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>LC (%)</w:t>
            </w:r>
          </w:p>
        </w:tc>
      </w:tr>
      <w:tr w:rsidR="00806B32" w:rsidRPr="00E61F02" w14:paraId="5FDAE235" w14:textId="77777777" w:rsidTr="00D16061">
        <w:trPr>
          <w:trHeight w:val="137"/>
          <w:jc w:val="center"/>
        </w:trPr>
        <w:tc>
          <w:tcPr>
            <w:tcW w:w="1838" w:type="dxa"/>
            <w:vMerge/>
            <w:shd w:val="clear" w:color="auto" w:fill="F2F2F2" w:themeFill="background1" w:themeFillShade="F2"/>
            <w:vAlign w:val="center"/>
          </w:tcPr>
          <w:p w14:paraId="2A45A1F2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C628180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>Particle size (nm)</w:t>
            </w:r>
          </w:p>
        </w:tc>
        <w:tc>
          <w:tcPr>
            <w:tcW w:w="1140" w:type="dxa"/>
            <w:shd w:val="clear" w:color="auto" w:fill="F2F2F2" w:themeFill="background1" w:themeFillShade="F2"/>
            <w:vAlign w:val="center"/>
          </w:tcPr>
          <w:p w14:paraId="7A0EFB5D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>PDI</w:t>
            </w:r>
          </w:p>
        </w:tc>
        <w:tc>
          <w:tcPr>
            <w:tcW w:w="1758" w:type="dxa"/>
            <w:shd w:val="clear" w:color="auto" w:fill="F2F2F2" w:themeFill="background1" w:themeFillShade="F2"/>
            <w:vAlign w:val="center"/>
          </w:tcPr>
          <w:p w14:paraId="2BCE2642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>ζ potential (mV)</w:t>
            </w:r>
          </w:p>
        </w:tc>
        <w:tc>
          <w:tcPr>
            <w:tcW w:w="1318" w:type="dxa"/>
            <w:vMerge/>
            <w:shd w:val="clear" w:color="auto" w:fill="F2F2F2" w:themeFill="background1" w:themeFillShade="F2"/>
          </w:tcPr>
          <w:p w14:paraId="1E9E750A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63" w:type="dxa"/>
            <w:vMerge/>
            <w:shd w:val="clear" w:color="auto" w:fill="F2F2F2" w:themeFill="background1" w:themeFillShade="F2"/>
          </w:tcPr>
          <w:p w14:paraId="3FFCC9EA" w14:textId="77777777" w:rsidR="00806B32" w:rsidRPr="00524CA9" w:rsidRDefault="00806B32" w:rsidP="00D16061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806B32" w:rsidRPr="00E61F02" w14:paraId="1DE5CFA7" w14:textId="77777777" w:rsidTr="000B1592">
        <w:trPr>
          <w:trHeight w:val="400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6B25010A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PGA-PEG NCs </w:t>
            </w:r>
            <w:r w:rsidRPr="00524CA9">
              <w:rPr>
                <w:rFonts w:cs="Times New Roman"/>
                <w:b/>
                <w:bCs/>
                <w:sz w:val="16"/>
                <w:szCs w:val="16"/>
                <w:lang w:val="en-US"/>
              </w:rPr>
              <w:t>(BVZ)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5A5CB28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78 ± 3</w:t>
            </w:r>
          </w:p>
        </w:tc>
        <w:tc>
          <w:tcPr>
            <w:tcW w:w="1140" w:type="dxa"/>
            <w:shd w:val="clear" w:color="auto" w:fill="FFFFFF" w:themeFill="background1"/>
            <w:vAlign w:val="center"/>
          </w:tcPr>
          <w:p w14:paraId="446F6E03" w14:textId="5215D2B0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0.06</w:t>
            </w:r>
          </w:p>
        </w:tc>
        <w:tc>
          <w:tcPr>
            <w:tcW w:w="1758" w:type="dxa"/>
            <w:shd w:val="clear" w:color="auto" w:fill="FFFFFF" w:themeFill="background1"/>
            <w:vAlign w:val="center"/>
          </w:tcPr>
          <w:p w14:paraId="01DC3093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-1 ± 1</w:t>
            </w:r>
          </w:p>
        </w:tc>
        <w:tc>
          <w:tcPr>
            <w:tcW w:w="1318" w:type="dxa"/>
            <w:shd w:val="clear" w:color="auto" w:fill="FFFFFF" w:themeFill="background1"/>
            <w:vAlign w:val="center"/>
          </w:tcPr>
          <w:p w14:paraId="774035D1" w14:textId="0D09F55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99 ± 14</w:t>
            </w:r>
          </w:p>
        </w:tc>
        <w:tc>
          <w:tcPr>
            <w:tcW w:w="863" w:type="dxa"/>
            <w:shd w:val="clear" w:color="auto" w:fill="FFFFFF" w:themeFill="background1"/>
            <w:vAlign w:val="center"/>
          </w:tcPr>
          <w:p w14:paraId="755D7887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4.0</w:t>
            </w:r>
          </w:p>
        </w:tc>
      </w:tr>
      <w:tr w:rsidR="00806B32" w:rsidRPr="00E61F02" w14:paraId="589F466B" w14:textId="77777777" w:rsidTr="000B1592">
        <w:trPr>
          <w:trHeight w:val="526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145BEFD8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</w:rPr>
              <w:t xml:space="preserve">PGA-PEG </w:t>
            </w:r>
            <w:proofErr w:type="spellStart"/>
            <w:r w:rsidRPr="00524CA9">
              <w:rPr>
                <w:rFonts w:cs="Times New Roman"/>
                <w:b/>
                <w:bCs/>
                <w:sz w:val="18"/>
                <w:szCs w:val="18"/>
              </w:rPr>
              <w:t>NCs</w:t>
            </w:r>
            <w:proofErr w:type="spellEnd"/>
            <w:r w:rsidRPr="00524CA9">
              <w:rPr>
                <w:rFonts w:cs="Times New Roman"/>
                <w:b/>
                <w:bCs/>
                <w:sz w:val="18"/>
                <w:szCs w:val="18"/>
              </w:rPr>
              <w:t xml:space="preserve"> </w:t>
            </w:r>
            <w:r w:rsidRPr="00524CA9">
              <w:rPr>
                <w:rFonts w:cs="Times New Roman"/>
                <w:b/>
                <w:bCs/>
                <w:sz w:val="16"/>
                <w:szCs w:val="16"/>
              </w:rPr>
              <w:t>(AlexaFluor</w:t>
            </w:r>
            <w:r w:rsidRPr="00524CA9">
              <w:rPr>
                <w:rFonts w:cs="Times New Roman"/>
                <w:b/>
                <w:bCs/>
                <w:sz w:val="16"/>
                <w:szCs w:val="16"/>
                <w:vertAlign w:val="superscript"/>
              </w:rPr>
              <w:t>488</w:t>
            </w:r>
            <w:r w:rsidRPr="00524CA9">
              <w:rPr>
                <w:rFonts w:cs="Times New Roman"/>
                <w:b/>
                <w:bCs/>
                <w:sz w:val="16"/>
                <w:szCs w:val="16"/>
              </w:rPr>
              <w:t>-BVZ)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60CF176" w14:textId="2A4079BD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81 ± 13</w:t>
            </w:r>
          </w:p>
        </w:tc>
        <w:tc>
          <w:tcPr>
            <w:tcW w:w="1140" w:type="dxa"/>
            <w:shd w:val="clear" w:color="auto" w:fill="FFFFFF" w:themeFill="background1"/>
            <w:vAlign w:val="center"/>
          </w:tcPr>
          <w:p w14:paraId="5997F3FD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0.10</w:t>
            </w:r>
          </w:p>
        </w:tc>
        <w:tc>
          <w:tcPr>
            <w:tcW w:w="1758" w:type="dxa"/>
            <w:shd w:val="clear" w:color="auto" w:fill="FFFFFF" w:themeFill="background1"/>
            <w:vAlign w:val="center"/>
          </w:tcPr>
          <w:p w14:paraId="35780CA0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-1 ± 1</w:t>
            </w:r>
          </w:p>
        </w:tc>
        <w:tc>
          <w:tcPr>
            <w:tcW w:w="1318" w:type="dxa"/>
            <w:shd w:val="clear" w:color="auto" w:fill="FFFFFF" w:themeFill="background1"/>
            <w:vAlign w:val="center"/>
          </w:tcPr>
          <w:p w14:paraId="59891630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112 ± 1</w:t>
            </w:r>
          </w:p>
        </w:tc>
        <w:tc>
          <w:tcPr>
            <w:tcW w:w="863" w:type="dxa"/>
            <w:shd w:val="clear" w:color="auto" w:fill="FFFFFF" w:themeFill="background1"/>
            <w:vAlign w:val="center"/>
          </w:tcPr>
          <w:p w14:paraId="7B2514E3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5</w:t>
            </w:r>
          </w:p>
        </w:tc>
      </w:tr>
      <w:tr w:rsidR="00806B32" w:rsidRPr="00E61F02" w14:paraId="0AB938AE" w14:textId="77777777" w:rsidTr="000B1592">
        <w:trPr>
          <w:trHeight w:val="194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715D5DBF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PGAC14-based NAs </w:t>
            </w:r>
            <w:r w:rsidRPr="00524CA9">
              <w:rPr>
                <w:rFonts w:cs="Times New Roman"/>
                <w:b/>
                <w:bCs/>
                <w:sz w:val="16"/>
                <w:szCs w:val="16"/>
                <w:lang w:val="en-US"/>
              </w:rPr>
              <w:t>(BVZ)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5E2514A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44 ± 4</w:t>
            </w:r>
          </w:p>
        </w:tc>
        <w:tc>
          <w:tcPr>
            <w:tcW w:w="1140" w:type="dxa"/>
            <w:shd w:val="clear" w:color="auto" w:fill="FFFFFF" w:themeFill="background1"/>
            <w:vAlign w:val="center"/>
          </w:tcPr>
          <w:p w14:paraId="765542BF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0.24</w:t>
            </w:r>
          </w:p>
        </w:tc>
        <w:tc>
          <w:tcPr>
            <w:tcW w:w="1758" w:type="dxa"/>
            <w:shd w:val="clear" w:color="auto" w:fill="FFFFFF" w:themeFill="background1"/>
            <w:vAlign w:val="center"/>
          </w:tcPr>
          <w:p w14:paraId="3FEE8270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-10 ± 2</w:t>
            </w:r>
          </w:p>
        </w:tc>
        <w:tc>
          <w:tcPr>
            <w:tcW w:w="1318" w:type="dxa"/>
            <w:shd w:val="clear" w:color="auto" w:fill="FFFFFF" w:themeFill="background1"/>
            <w:vAlign w:val="center"/>
          </w:tcPr>
          <w:p w14:paraId="3C0ECFA4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64 ± 18</w:t>
            </w:r>
          </w:p>
        </w:tc>
        <w:tc>
          <w:tcPr>
            <w:tcW w:w="863" w:type="dxa"/>
            <w:shd w:val="clear" w:color="auto" w:fill="FFFFFF" w:themeFill="background1"/>
            <w:vAlign w:val="center"/>
          </w:tcPr>
          <w:p w14:paraId="1F408EF6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21</w:t>
            </w:r>
          </w:p>
        </w:tc>
      </w:tr>
      <w:tr w:rsidR="00806B32" w:rsidRPr="00E61F02" w14:paraId="3150A032" w14:textId="77777777" w:rsidTr="000B1592">
        <w:trPr>
          <w:trHeight w:val="205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7EC01F5C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 w:rsidRPr="00524CA9">
              <w:rPr>
                <w:rFonts w:cs="Times New Roman"/>
                <w:b/>
                <w:bCs/>
                <w:sz w:val="18"/>
                <w:szCs w:val="18"/>
                <w:lang w:val="en-US"/>
              </w:rPr>
              <w:t xml:space="preserve">PGAC14-based NAs </w:t>
            </w:r>
            <w:r w:rsidRPr="00524CA9">
              <w:rPr>
                <w:rFonts w:cs="Times New Roman"/>
                <w:b/>
                <w:bCs/>
                <w:sz w:val="16"/>
                <w:szCs w:val="16"/>
                <w:lang w:val="en-US"/>
              </w:rPr>
              <w:t>(AlexaFluor</w:t>
            </w:r>
            <w:r w:rsidRPr="00524CA9">
              <w:rPr>
                <w:rFonts w:cs="Times New Roman"/>
                <w:b/>
                <w:bCs/>
                <w:sz w:val="16"/>
                <w:szCs w:val="16"/>
                <w:vertAlign w:val="superscript"/>
                <w:lang w:val="en-US"/>
              </w:rPr>
              <w:t>488</w:t>
            </w:r>
            <w:r w:rsidRPr="00524CA9">
              <w:rPr>
                <w:rFonts w:cs="Times New Roman"/>
                <w:b/>
                <w:bCs/>
                <w:sz w:val="16"/>
                <w:szCs w:val="16"/>
                <w:lang w:val="en-US"/>
              </w:rPr>
              <w:t>-BVZ)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B7FF672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43 ± 5</w:t>
            </w:r>
          </w:p>
        </w:tc>
        <w:tc>
          <w:tcPr>
            <w:tcW w:w="1140" w:type="dxa"/>
            <w:shd w:val="clear" w:color="auto" w:fill="FFFFFF" w:themeFill="background1"/>
            <w:vAlign w:val="center"/>
          </w:tcPr>
          <w:p w14:paraId="671E4E26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0.27</w:t>
            </w:r>
          </w:p>
        </w:tc>
        <w:tc>
          <w:tcPr>
            <w:tcW w:w="1758" w:type="dxa"/>
            <w:shd w:val="clear" w:color="auto" w:fill="FFFFFF" w:themeFill="background1"/>
            <w:vAlign w:val="center"/>
          </w:tcPr>
          <w:p w14:paraId="10A906BD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24CA9">
              <w:rPr>
                <w:rFonts w:cs="Times New Roman"/>
                <w:sz w:val="18"/>
                <w:szCs w:val="18"/>
                <w:lang w:val="en-US"/>
              </w:rPr>
              <w:t>-2 ± 1</w:t>
            </w:r>
          </w:p>
        </w:tc>
        <w:tc>
          <w:tcPr>
            <w:tcW w:w="1318" w:type="dxa"/>
            <w:shd w:val="clear" w:color="auto" w:fill="FFFFFF" w:themeFill="background1"/>
            <w:vAlign w:val="center"/>
          </w:tcPr>
          <w:p w14:paraId="3F742899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24CA9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69 ± 14</w:t>
            </w:r>
          </w:p>
        </w:tc>
        <w:tc>
          <w:tcPr>
            <w:tcW w:w="863" w:type="dxa"/>
            <w:shd w:val="clear" w:color="auto" w:fill="FFFFFF" w:themeFill="background1"/>
            <w:vAlign w:val="center"/>
          </w:tcPr>
          <w:p w14:paraId="6646484D" w14:textId="77777777" w:rsidR="00806B32" w:rsidRPr="00524CA9" w:rsidRDefault="00806B32" w:rsidP="000B1592">
            <w:pPr>
              <w:pStyle w:val="Prrafodelista"/>
              <w:spacing w:line="360" w:lineRule="auto"/>
              <w:ind w:left="0"/>
              <w:contextualSpacing w:val="0"/>
              <w:jc w:val="center"/>
              <w:rPr>
                <w:rFonts w:cs="Times New Roman"/>
                <w:sz w:val="18"/>
                <w:szCs w:val="18"/>
              </w:rPr>
            </w:pPr>
            <w:r w:rsidRPr="00524CA9">
              <w:rPr>
                <w:rFonts w:cs="Times New Roman"/>
                <w:sz w:val="18"/>
                <w:szCs w:val="18"/>
              </w:rPr>
              <w:t>22</w:t>
            </w:r>
          </w:p>
        </w:tc>
      </w:tr>
    </w:tbl>
    <w:p w14:paraId="104B6573" w14:textId="77777777" w:rsidR="00806B32" w:rsidRDefault="00806B32">
      <w:pPr>
        <w:rPr>
          <w:lang w:val="en-US"/>
        </w:rPr>
      </w:pPr>
    </w:p>
    <w:p w14:paraId="03D796D5" w14:textId="4F91F245" w:rsidR="00C14504" w:rsidRDefault="0056313D" w:rsidP="0056313D">
      <w:pPr>
        <w:jc w:val="center"/>
        <w:rPr>
          <w:lang w:val="en-US"/>
        </w:rPr>
      </w:pPr>
      <w:r w:rsidRPr="0056313D">
        <w:rPr>
          <w:noProof/>
        </w:rPr>
        <w:drawing>
          <wp:inline distT="0" distB="0" distL="0" distR="0" wp14:anchorId="4102D7C6" wp14:editId="3552BF48">
            <wp:extent cx="4434840" cy="5158740"/>
            <wp:effectExtent l="0" t="0" r="0" b="0"/>
            <wp:docPr id="104244603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24"/>
                    <a:stretch/>
                  </pic:blipFill>
                  <pic:spPr bwMode="auto">
                    <a:xfrm>
                      <a:off x="0" y="0"/>
                      <a:ext cx="4434840" cy="515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C70476" w14:textId="77777777" w:rsidR="005141BD" w:rsidRPr="002117B8" w:rsidRDefault="00A503A0" w:rsidP="00423A02">
      <w:pPr>
        <w:jc w:val="center"/>
        <w:rPr>
          <w:b/>
          <w:bCs/>
          <w:sz w:val="18"/>
          <w:szCs w:val="18"/>
          <w:lang w:val="en-US"/>
        </w:rPr>
      </w:pPr>
      <w:r w:rsidRPr="002117B8">
        <w:rPr>
          <w:b/>
          <w:bCs/>
          <w:sz w:val="18"/>
          <w:szCs w:val="18"/>
          <w:lang w:val="en-US"/>
        </w:rPr>
        <w:t>Figure S</w:t>
      </w:r>
      <w:r w:rsidR="00806B32" w:rsidRPr="002117B8">
        <w:rPr>
          <w:b/>
          <w:bCs/>
          <w:sz w:val="18"/>
          <w:szCs w:val="18"/>
          <w:lang w:val="en-US"/>
        </w:rPr>
        <w:t>1</w:t>
      </w:r>
      <w:r w:rsidRPr="002117B8">
        <w:rPr>
          <w:b/>
          <w:bCs/>
          <w:sz w:val="18"/>
          <w:szCs w:val="18"/>
          <w:lang w:val="en-US"/>
        </w:rPr>
        <w:t xml:space="preserve">. </w:t>
      </w:r>
      <w:r w:rsidR="005141BD" w:rsidRPr="002117B8">
        <w:rPr>
          <w:b/>
          <w:bCs/>
          <w:sz w:val="18"/>
          <w:szCs w:val="18"/>
          <w:lang w:val="en-US"/>
        </w:rPr>
        <w:t xml:space="preserve">Radiochemical characterization of </w:t>
      </w:r>
      <w:r w:rsidR="005141BD" w:rsidRPr="002117B8">
        <w:rPr>
          <w:b/>
          <w:bCs/>
          <w:sz w:val="18"/>
          <w:szCs w:val="18"/>
          <w:vertAlign w:val="superscript"/>
          <w:lang w:val="en-US"/>
        </w:rPr>
        <w:t>89</w:t>
      </w:r>
      <w:r w:rsidR="005141BD" w:rsidRPr="002117B8">
        <w:rPr>
          <w:b/>
          <w:bCs/>
          <w:sz w:val="18"/>
          <w:szCs w:val="18"/>
          <w:lang w:val="en-US"/>
        </w:rPr>
        <w:t xml:space="preserve">Zr-BVZ, </w:t>
      </w:r>
      <w:r w:rsidR="005141BD" w:rsidRPr="002117B8">
        <w:rPr>
          <w:b/>
          <w:bCs/>
          <w:sz w:val="18"/>
          <w:szCs w:val="18"/>
          <w:vertAlign w:val="superscript"/>
          <w:lang w:val="en-US"/>
        </w:rPr>
        <w:t>89</w:t>
      </w:r>
      <w:r w:rsidR="005141BD" w:rsidRPr="002117B8">
        <w:rPr>
          <w:b/>
          <w:bCs/>
          <w:sz w:val="18"/>
          <w:szCs w:val="18"/>
          <w:lang w:val="en-US"/>
        </w:rPr>
        <w:t xml:space="preserve">Zr-BVZ-loaded PGA-PEG and </w:t>
      </w:r>
      <w:r w:rsidR="005141BD" w:rsidRPr="002117B8">
        <w:rPr>
          <w:b/>
          <w:bCs/>
          <w:sz w:val="18"/>
          <w:szCs w:val="18"/>
          <w:vertAlign w:val="superscript"/>
          <w:lang w:val="en-US"/>
        </w:rPr>
        <w:t>89</w:t>
      </w:r>
      <w:r w:rsidR="005141BD" w:rsidRPr="002117B8">
        <w:rPr>
          <w:b/>
          <w:bCs/>
          <w:sz w:val="18"/>
          <w:szCs w:val="18"/>
          <w:lang w:val="en-US"/>
        </w:rPr>
        <w:t xml:space="preserve">Zr -BVZ-loaded PGAC14 NAs. A) Radiochemical yield; B) Radiochemical purity; C) Radiochemical stability after 0, 4, 24 and 48 hours of incubation in PBS at 37ºC. BVZ-loaded PGA-PEG NCs without DFO were used as control (Control PGA-PEG NCs). Data are represented as mean ± SD, n≥2. Statistical analysis for comparison between free </w:t>
      </w:r>
      <w:r w:rsidR="005141BD" w:rsidRPr="002117B8">
        <w:rPr>
          <w:b/>
          <w:bCs/>
          <w:sz w:val="18"/>
          <w:szCs w:val="18"/>
          <w:vertAlign w:val="superscript"/>
          <w:lang w:val="en-US"/>
        </w:rPr>
        <w:t>89</w:t>
      </w:r>
      <w:r w:rsidR="005141BD" w:rsidRPr="002117B8">
        <w:rPr>
          <w:b/>
          <w:bCs/>
          <w:sz w:val="18"/>
          <w:szCs w:val="18"/>
          <w:lang w:val="en-US"/>
        </w:rPr>
        <w:t xml:space="preserve">Zr -BVZ and </w:t>
      </w:r>
      <w:r w:rsidR="005141BD" w:rsidRPr="002117B8">
        <w:rPr>
          <w:b/>
          <w:bCs/>
          <w:sz w:val="18"/>
          <w:szCs w:val="18"/>
          <w:vertAlign w:val="superscript"/>
          <w:lang w:val="en-US"/>
        </w:rPr>
        <w:t>89</w:t>
      </w:r>
      <w:r w:rsidR="005141BD" w:rsidRPr="002117B8">
        <w:rPr>
          <w:b/>
          <w:bCs/>
          <w:sz w:val="18"/>
          <w:szCs w:val="18"/>
          <w:lang w:val="en-US"/>
        </w:rPr>
        <w:t>Zr -BVZ-loaded PGA-PEG was done using a Mann-Whitney test (A) and unpaired t-test (B). Multiple unpaired t-test was used for comparison between groups (C).</w:t>
      </w:r>
    </w:p>
    <w:p w14:paraId="05A38C53" w14:textId="7B031B33" w:rsidR="00A503A0" w:rsidRDefault="00A503A0">
      <w:pPr>
        <w:rPr>
          <w:sz w:val="20"/>
          <w:szCs w:val="20"/>
          <w:lang w:val="en-US"/>
        </w:rPr>
      </w:pPr>
    </w:p>
    <w:p w14:paraId="4A17157D" w14:textId="2AA88113" w:rsidR="00DF2327" w:rsidRDefault="002117B8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pict w14:anchorId="088D18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6pt;height:320.4pt">
            <v:imagedata r:id="rId5" o:title="bvzREDMOD"/>
          </v:shape>
        </w:pict>
      </w:r>
    </w:p>
    <w:p w14:paraId="66049E06" w14:textId="18D0B02E" w:rsidR="00DF2327" w:rsidRPr="002117B8" w:rsidRDefault="00A943E4" w:rsidP="00B64644">
      <w:pPr>
        <w:jc w:val="center"/>
        <w:rPr>
          <w:b/>
          <w:bCs/>
          <w:sz w:val="18"/>
          <w:szCs w:val="18"/>
          <w:lang w:val="en-US"/>
        </w:rPr>
      </w:pPr>
      <w:r w:rsidRPr="002117B8">
        <w:rPr>
          <w:b/>
          <w:bCs/>
          <w:sz w:val="18"/>
          <w:szCs w:val="18"/>
          <w:lang w:val="en-US"/>
        </w:rPr>
        <w:t>Figure S</w:t>
      </w:r>
      <w:r w:rsidR="00806B32" w:rsidRPr="002117B8">
        <w:rPr>
          <w:b/>
          <w:bCs/>
          <w:sz w:val="18"/>
          <w:szCs w:val="18"/>
          <w:lang w:val="en-US"/>
        </w:rPr>
        <w:t>2</w:t>
      </w:r>
      <w:r w:rsidRPr="002117B8">
        <w:rPr>
          <w:b/>
          <w:bCs/>
          <w:sz w:val="18"/>
          <w:szCs w:val="18"/>
          <w:lang w:val="en-US"/>
        </w:rPr>
        <w:t xml:space="preserve">. </w:t>
      </w:r>
      <w:r w:rsidR="00A71D79" w:rsidRPr="002117B8">
        <w:rPr>
          <w:b/>
          <w:bCs/>
          <w:sz w:val="18"/>
          <w:szCs w:val="18"/>
          <w:lang w:val="en-US"/>
        </w:rPr>
        <w:t xml:space="preserve">Triple immunofluorescent labeling for different cellular markers in red (NeuN as neuronal marker [A]; IBA-1 as microglial marker [E] and GFAP as </w:t>
      </w:r>
      <w:proofErr w:type="spellStart"/>
      <w:r w:rsidR="00A71D79" w:rsidRPr="002117B8">
        <w:rPr>
          <w:b/>
          <w:bCs/>
          <w:sz w:val="18"/>
          <w:szCs w:val="18"/>
          <w:lang w:val="en-US"/>
        </w:rPr>
        <w:t>astroglial</w:t>
      </w:r>
      <w:proofErr w:type="spellEnd"/>
      <w:r w:rsidR="00A71D79" w:rsidRPr="002117B8">
        <w:rPr>
          <w:b/>
          <w:bCs/>
          <w:sz w:val="18"/>
          <w:szCs w:val="18"/>
          <w:lang w:val="en-US"/>
        </w:rPr>
        <w:t xml:space="preserve"> marker [I]), the nuclear counterstaining Hoechst (in blue; [C, G, K]), and  AlexaFluor488-labeled free BVZ (in green [B, F, J]) Merged images are shown in D, H, L. Scale bar: 20 µm.</w:t>
      </w:r>
    </w:p>
    <w:sectPr w:rsidR="00DF2327" w:rsidRPr="002117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0MTE1tjC0MDIyN7dQ0lEKTi0uzszPAykwNKgFAFxHsoMtAAAA"/>
  </w:docVars>
  <w:rsids>
    <w:rsidRoot w:val="00C2302A"/>
    <w:rsid w:val="00033F03"/>
    <w:rsid w:val="000B1592"/>
    <w:rsid w:val="000E2865"/>
    <w:rsid w:val="00156914"/>
    <w:rsid w:val="001E18C3"/>
    <w:rsid w:val="002117B8"/>
    <w:rsid w:val="00420F18"/>
    <w:rsid w:val="00423A02"/>
    <w:rsid w:val="00473BC8"/>
    <w:rsid w:val="004C0248"/>
    <w:rsid w:val="005141BD"/>
    <w:rsid w:val="00524CA9"/>
    <w:rsid w:val="0056313D"/>
    <w:rsid w:val="00577C1E"/>
    <w:rsid w:val="00663CF6"/>
    <w:rsid w:val="006772F7"/>
    <w:rsid w:val="006E6A2C"/>
    <w:rsid w:val="00742019"/>
    <w:rsid w:val="007442C3"/>
    <w:rsid w:val="00750D05"/>
    <w:rsid w:val="00806B32"/>
    <w:rsid w:val="00875746"/>
    <w:rsid w:val="008D3B28"/>
    <w:rsid w:val="008D6E9E"/>
    <w:rsid w:val="008F2F2F"/>
    <w:rsid w:val="009D75C4"/>
    <w:rsid w:val="00A3662E"/>
    <w:rsid w:val="00A503A0"/>
    <w:rsid w:val="00A71D79"/>
    <w:rsid w:val="00A943E4"/>
    <w:rsid w:val="00AA5E7A"/>
    <w:rsid w:val="00AC1E4C"/>
    <w:rsid w:val="00AF1815"/>
    <w:rsid w:val="00B64644"/>
    <w:rsid w:val="00B73230"/>
    <w:rsid w:val="00C04354"/>
    <w:rsid w:val="00C14504"/>
    <w:rsid w:val="00C2302A"/>
    <w:rsid w:val="00C71E5E"/>
    <w:rsid w:val="00CC5E5A"/>
    <w:rsid w:val="00DF2327"/>
    <w:rsid w:val="00E07142"/>
    <w:rsid w:val="00E90528"/>
    <w:rsid w:val="00FC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8C50555"/>
  <w15:chartTrackingRefBased/>
  <w15:docId w15:val="{345D4362-D3BE-4159-999F-4DC72D755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E4C"/>
    <w:rPr>
      <w:rFonts w:ascii="Times New Roman" w:hAnsi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C2302A"/>
    <w:pPr>
      <w:keepNext/>
      <w:keepLines/>
      <w:spacing w:before="360" w:after="80"/>
      <w:ind w:left="425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302A"/>
    <w:pPr>
      <w:keepNext/>
      <w:keepLines/>
      <w:spacing w:before="160" w:after="80"/>
      <w:ind w:left="425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302A"/>
    <w:pPr>
      <w:keepNext/>
      <w:keepLines/>
      <w:spacing w:before="160" w:after="80"/>
      <w:ind w:left="425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2302A"/>
    <w:pPr>
      <w:keepNext/>
      <w:keepLines/>
      <w:spacing w:before="80" w:after="40"/>
      <w:ind w:left="425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302A"/>
    <w:pPr>
      <w:keepNext/>
      <w:keepLines/>
      <w:spacing w:before="80" w:after="40"/>
      <w:ind w:left="425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2302A"/>
    <w:pPr>
      <w:keepNext/>
      <w:keepLines/>
      <w:spacing w:before="40" w:after="0"/>
      <w:ind w:left="425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302A"/>
    <w:pPr>
      <w:keepNext/>
      <w:keepLines/>
      <w:spacing w:before="40" w:after="0"/>
      <w:ind w:left="425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302A"/>
    <w:pPr>
      <w:keepNext/>
      <w:keepLines/>
      <w:spacing w:after="0"/>
      <w:ind w:left="425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2302A"/>
    <w:pPr>
      <w:keepNext/>
      <w:keepLines/>
      <w:spacing w:after="0"/>
      <w:ind w:left="425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230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30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30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230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302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230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30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30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230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2302A"/>
    <w:pPr>
      <w:spacing w:after="80"/>
      <w:ind w:left="425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30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302A"/>
    <w:pPr>
      <w:numPr>
        <w:ilvl w:val="1"/>
      </w:numPr>
      <w:ind w:left="425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230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2302A"/>
    <w:pPr>
      <w:spacing w:before="160"/>
      <w:ind w:left="425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302A"/>
    <w:rPr>
      <w:rFonts w:ascii="Times New Roman" w:hAnsi="Times New Roman"/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230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2302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30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302A"/>
    <w:rPr>
      <w:rFonts w:ascii="Times New Roman" w:hAnsi="Times New Roman"/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2302A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C1E4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E071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0714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07142"/>
    <w:rPr>
      <w:rFonts w:ascii="Times New Roman" w:hAnsi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71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7142"/>
    <w:rPr>
      <w:rFonts w:ascii="Times New Roman" w:hAnsi="Times New Roman"/>
      <w:b/>
      <w:bCs/>
      <w:sz w:val="20"/>
      <w:szCs w:val="20"/>
    </w:rPr>
  </w:style>
  <w:style w:type="character" w:customStyle="1" w:styleId="cf01">
    <w:name w:val="cf01"/>
    <w:basedOn w:val="Fuentedeprrafopredeter"/>
    <w:rsid w:val="00AF181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214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PIÑEIRO ALONSO LAURA</dc:creator>
  <cp:keywords/>
  <dc:description/>
  <cp:lastModifiedBy>PIÑEIRO ALONSO LAURA</cp:lastModifiedBy>
  <cp:revision>31</cp:revision>
  <dcterms:created xsi:type="dcterms:W3CDTF">2025-02-04T12:08:00Z</dcterms:created>
  <dcterms:modified xsi:type="dcterms:W3CDTF">2025-04-29T16:59:00Z</dcterms:modified>
</cp:coreProperties>
</file>