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317EE">
      <w:pPr>
        <w:rPr>
          <w:rFonts w:hint="eastAsia" w:ascii="Times New Roman" w:hAnsi="Times New Roman" w:eastAsia="宋体" w:cs="Times New Roman"/>
          <w:b/>
          <w:bCs/>
          <w:sz w:val="24"/>
          <w:lang w:eastAsia="zh-CN"/>
        </w:rPr>
      </w:pPr>
      <w:r>
        <w:rPr>
          <w:rFonts w:ascii="Times New Roman" w:hAnsi="Times New Roman" w:eastAsia="宋体" w:cs="Times New Roman"/>
          <w:b/>
          <w:bCs/>
          <w:sz w:val="24"/>
          <w:lang w:val="en-US" w:eastAsia="zh-CN"/>
        </w:rPr>
        <w:t>Supplementary Figure 1</w:t>
      </w:r>
      <w:r>
        <w:rPr>
          <w:rFonts w:hint="eastAsia" w:ascii="Times New Roman" w:hAnsi="Times New Roman" w:eastAsia="宋体" w:cs="Times New Roman"/>
          <w:b/>
          <w:bCs/>
          <w:sz w:val="24"/>
          <w:lang w:val="en-US" w:eastAsia="zh-CN"/>
        </w:rPr>
        <w:t>：</w:t>
      </w:r>
      <w:r>
        <w:rPr>
          <w:rFonts w:ascii="Times New Roman" w:hAnsi="Times New Roman" w:eastAsia="宋体" w:cs="Times New Roman"/>
          <w:b w:val="0"/>
          <w:bCs w:val="0"/>
          <w:sz w:val="24"/>
        </w:rPr>
        <w:t>Transform continuous variables into categorical variables using cut-off values derived from the ROC curve</w:t>
      </w: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A-E</w:t>
      </w:r>
      <w:r>
        <w:rPr>
          <w:rFonts w:hint="eastAsia" w:ascii="Times New Roman" w:hAnsi="Times New Roman" w:eastAsia="宋体" w:cs="Times New Roman"/>
          <w:b w:val="0"/>
          <w:bCs w:val="0"/>
          <w:sz w:val="24"/>
          <w:lang w:eastAsia="zh-CN"/>
        </w:rPr>
        <w:t>）</w:t>
      </w:r>
    </w:p>
    <w:p w14:paraId="7ED35695">
      <w:pPr>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eastAsia="zh-CN"/>
        </w:rPr>
        <w:drawing>
          <wp:inline distT="0" distB="0" distL="114300" distR="114300">
            <wp:extent cx="2621280" cy="2623185"/>
            <wp:effectExtent l="0" t="0" r="0" b="13335"/>
            <wp:docPr id="1" name="图片 1" descr="Supplementary 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S1"/>
                    <pic:cNvPicPr>
                      <a:picLocks noChangeAspect="1"/>
                    </pic:cNvPicPr>
                  </pic:nvPicPr>
                  <pic:blipFill>
                    <a:blip r:embed="rId4"/>
                    <a:stretch>
                      <a:fillRect/>
                    </a:stretch>
                  </pic:blipFill>
                  <pic:spPr>
                    <a:xfrm>
                      <a:off x="0" y="0"/>
                      <a:ext cx="2621280" cy="2623185"/>
                    </a:xfrm>
                    <a:prstGeom prst="rect">
                      <a:avLst/>
                    </a:prstGeom>
                  </pic:spPr>
                </pic:pic>
              </a:graphicData>
            </a:graphic>
          </wp:inline>
        </w:drawing>
      </w:r>
      <w:r>
        <w:rPr>
          <w:rFonts w:hint="eastAsia" w:ascii="Times New Roman" w:hAnsi="Times New Roman" w:eastAsia="宋体" w:cs="Times New Roman"/>
          <w:b/>
          <w:bCs/>
          <w:sz w:val="24"/>
          <w:lang w:eastAsia="zh-CN"/>
        </w:rPr>
        <w:drawing>
          <wp:inline distT="0" distB="0" distL="114300" distR="114300">
            <wp:extent cx="2623820" cy="2623820"/>
            <wp:effectExtent l="0" t="0" r="12700" b="12700"/>
            <wp:docPr id="2" name="图片 2" descr="Supplementary 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S2"/>
                    <pic:cNvPicPr>
                      <a:picLocks noChangeAspect="1"/>
                    </pic:cNvPicPr>
                  </pic:nvPicPr>
                  <pic:blipFill>
                    <a:blip r:embed="rId5"/>
                    <a:stretch>
                      <a:fillRect/>
                    </a:stretch>
                  </pic:blipFill>
                  <pic:spPr>
                    <a:xfrm>
                      <a:off x="0" y="0"/>
                      <a:ext cx="2623820" cy="2623820"/>
                    </a:xfrm>
                    <a:prstGeom prst="rect">
                      <a:avLst/>
                    </a:prstGeom>
                  </pic:spPr>
                </pic:pic>
              </a:graphicData>
            </a:graphic>
          </wp:inline>
        </w:drawing>
      </w:r>
    </w:p>
    <w:p w14:paraId="11015A59">
      <w:pPr>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eastAsia="zh-CN"/>
        </w:rPr>
        <w:drawing>
          <wp:inline distT="0" distB="0" distL="114300" distR="114300">
            <wp:extent cx="2617470" cy="2619375"/>
            <wp:effectExtent l="0" t="0" r="3810" b="1905"/>
            <wp:docPr id="3" name="图片 3" descr="Supplementary 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 S3"/>
                    <pic:cNvPicPr>
                      <a:picLocks noChangeAspect="1"/>
                    </pic:cNvPicPr>
                  </pic:nvPicPr>
                  <pic:blipFill>
                    <a:blip r:embed="rId6"/>
                    <a:stretch>
                      <a:fillRect/>
                    </a:stretch>
                  </pic:blipFill>
                  <pic:spPr>
                    <a:xfrm>
                      <a:off x="0" y="0"/>
                      <a:ext cx="2617470" cy="2619375"/>
                    </a:xfrm>
                    <a:prstGeom prst="rect">
                      <a:avLst/>
                    </a:prstGeom>
                  </pic:spPr>
                </pic:pic>
              </a:graphicData>
            </a:graphic>
          </wp:inline>
        </w:drawing>
      </w:r>
      <w:r>
        <w:rPr>
          <w:rFonts w:hint="eastAsia" w:ascii="Times New Roman" w:hAnsi="Times New Roman" w:eastAsia="宋体" w:cs="Times New Roman"/>
          <w:b/>
          <w:bCs/>
          <w:sz w:val="24"/>
          <w:lang w:eastAsia="zh-CN"/>
        </w:rPr>
        <w:drawing>
          <wp:inline distT="0" distB="0" distL="114300" distR="114300">
            <wp:extent cx="2625725" cy="2625725"/>
            <wp:effectExtent l="0" t="0" r="10795" b="10795"/>
            <wp:docPr id="4" name="图片 4" descr="Supplementary 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Figure S4"/>
                    <pic:cNvPicPr>
                      <a:picLocks noChangeAspect="1"/>
                    </pic:cNvPicPr>
                  </pic:nvPicPr>
                  <pic:blipFill>
                    <a:blip r:embed="rId7"/>
                    <a:stretch>
                      <a:fillRect/>
                    </a:stretch>
                  </pic:blipFill>
                  <pic:spPr>
                    <a:xfrm>
                      <a:off x="0" y="0"/>
                      <a:ext cx="2625725" cy="2625725"/>
                    </a:xfrm>
                    <a:prstGeom prst="rect">
                      <a:avLst/>
                    </a:prstGeom>
                  </pic:spPr>
                </pic:pic>
              </a:graphicData>
            </a:graphic>
          </wp:inline>
        </w:drawing>
      </w:r>
    </w:p>
    <w:p w14:paraId="29ED7B62">
      <w:pPr>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eastAsia="zh-CN"/>
        </w:rPr>
        <w:drawing>
          <wp:inline distT="0" distB="0" distL="114300" distR="114300">
            <wp:extent cx="2616200" cy="2618105"/>
            <wp:effectExtent l="0" t="0" r="5080" b="3175"/>
            <wp:docPr id="5" name="图片 5" descr="Supplementary 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ry Figure S5"/>
                    <pic:cNvPicPr>
                      <a:picLocks noChangeAspect="1"/>
                    </pic:cNvPicPr>
                  </pic:nvPicPr>
                  <pic:blipFill>
                    <a:blip r:embed="rId8"/>
                    <a:stretch>
                      <a:fillRect/>
                    </a:stretch>
                  </pic:blipFill>
                  <pic:spPr>
                    <a:xfrm>
                      <a:off x="0" y="0"/>
                      <a:ext cx="2616200" cy="2618105"/>
                    </a:xfrm>
                    <a:prstGeom prst="rect">
                      <a:avLst/>
                    </a:prstGeom>
                  </pic:spPr>
                </pic:pic>
              </a:graphicData>
            </a:graphic>
          </wp:inline>
        </w:drawing>
      </w:r>
    </w:p>
    <w:p w14:paraId="5F41E62B">
      <w:pPr>
        <w:adjustRightInd w:val="0"/>
        <w:snapToGrid w:val="0"/>
        <w:spacing w:line="480" w:lineRule="auto"/>
        <w:rPr>
          <w:rFonts w:ascii="Times New Roman" w:hAnsi="Times New Roman" w:eastAsia="宋体" w:cs="Times New Roman"/>
          <w:b w:val="0"/>
          <w:bCs w:val="0"/>
          <w:sz w:val="24"/>
        </w:rPr>
      </w:pPr>
      <w:r>
        <w:rPr>
          <w:rFonts w:ascii="Times New Roman" w:hAnsi="Times New Roman" w:eastAsia="宋体" w:cs="Times New Roman"/>
          <w:b/>
          <w:bCs/>
          <w:sz w:val="24"/>
          <w:lang w:val="en-US" w:eastAsia="zh-CN"/>
        </w:rPr>
        <w:t xml:space="preserve">Supplementary </w:t>
      </w:r>
      <w:r>
        <w:rPr>
          <w:rFonts w:hint="eastAsia" w:ascii="Times New Roman" w:hAnsi="Times New Roman" w:eastAsia="宋体" w:cs="Times New Roman"/>
          <w:b/>
          <w:bCs/>
          <w:sz w:val="24"/>
          <w:lang w:val="en-US" w:eastAsia="zh-CN"/>
        </w:rPr>
        <w:t>Table</w:t>
      </w:r>
      <w:r>
        <w:rPr>
          <w:rFonts w:ascii="Times New Roman" w:hAnsi="Times New Roman" w:eastAsia="宋体" w:cs="Times New Roman"/>
          <w:b/>
          <w:bCs/>
          <w:sz w:val="24"/>
          <w:lang w:val="en-US" w:eastAsia="zh-CN"/>
        </w:rPr>
        <w:t xml:space="preserve"> 1</w:t>
      </w:r>
      <w:r>
        <w:rPr>
          <w:rFonts w:hint="eastAsia" w:ascii="Times New Roman" w:hAnsi="Times New Roman" w:eastAsia="宋体" w:cs="Times New Roman"/>
          <w:b/>
          <w:bCs/>
          <w:sz w:val="24"/>
          <w:lang w:val="en-US" w:eastAsia="zh-CN"/>
        </w:rPr>
        <w:t>：</w:t>
      </w:r>
      <w:r>
        <w:rPr>
          <w:rFonts w:ascii="Times New Roman" w:hAnsi="Times New Roman" w:eastAsia="宋体" w:cs="Times New Roman"/>
          <w:b w:val="0"/>
          <w:bCs w:val="0"/>
          <w:sz w:val="24"/>
        </w:rPr>
        <w:t>Approaches for managing missing data in variables</w:t>
      </w:r>
    </w:p>
    <w:tbl>
      <w:tblPr>
        <w:tblStyle w:val="4"/>
        <w:tblW w:w="672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972"/>
        <w:gridCol w:w="972"/>
        <w:gridCol w:w="1980"/>
        <w:gridCol w:w="2306"/>
      </w:tblGrid>
      <w:tr w14:paraId="40F5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2" w:type="dxa"/>
            <w:shd w:val="clear" w:color="auto" w:fill="auto"/>
            <w:noWrap/>
            <w:vAlign w:val="center"/>
          </w:tcPr>
          <w:p w14:paraId="56CDFDF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Variables</w:t>
            </w:r>
          </w:p>
        </w:tc>
        <w:tc>
          <w:tcPr>
            <w:tcW w:w="972" w:type="dxa"/>
            <w:shd w:val="clear" w:color="auto" w:fill="auto"/>
            <w:noWrap/>
            <w:vAlign w:val="center"/>
          </w:tcPr>
          <w:p w14:paraId="2AB0EFC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n</w:t>
            </w:r>
          </w:p>
        </w:tc>
        <w:tc>
          <w:tcPr>
            <w:tcW w:w="972" w:type="dxa"/>
            <w:shd w:val="clear" w:color="auto" w:fill="auto"/>
            <w:noWrap/>
            <w:vAlign w:val="center"/>
          </w:tcPr>
          <w:p w14:paraId="1ED4C64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w:t>
            </w:r>
          </w:p>
        </w:tc>
        <w:tc>
          <w:tcPr>
            <w:tcW w:w="1980" w:type="dxa"/>
            <w:shd w:val="clear" w:color="auto" w:fill="auto"/>
            <w:noWrap/>
            <w:vAlign w:val="center"/>
          </w:tcPr>
          <w:p w14:paraId="70FE5DA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Total samples (n)</w:t>
            </w:r>
          </w:p>
        </w:tc>
        <w:tc>
          <w:tcPr>
            <w:tcW w:w="1584" w:type="dxa"/>
            <w:shd w:val="clear" w:color="auto" w:fill="auto"/>
            <w:noWrap/>
            <w:vAlign w:val="center"/>
          </w:tcPr>
          <w:p w14:paraId="3B1B2E9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interpolation</w:t>
            </w:r>
          </w:p>
        </w:tc>
      </w:tr>
      <w:tr w14:paraId="3546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7887AAF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lactate</w:t>
            </w:r>
          </w:p>
        </w:tc>
        <w:tc>
          <w:tcPr>
            <w:tcW w:w="0" w:type="auto"/>
            <w:shd w:val="clear" w:color="auto" w:fill="auto"/>
            <w:noWrap/>
            <w:vAlign w:val="center"/>
          </w:tcPr>
          <w:p w14:paraId="7C1EDDF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99</w:t>
            </w:r>
          </w:p>
        </w:tc>
        <w:tc>
          <w:tcPr>
            <w:tcW w:w="0" w:type="auto"/>
            <w:shd w:val="clear" w:color="auto" w:fill="auto"/>
            <w:noWrap/>
            <w:vAlign w:val="center"/>
          </w:tcPr>
          <w:p w14:paraId="45A3073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1.88%</w:t>
            </w:r>
          </w:p>
        </w:tc>
        <w:tc>
          <w:tcPr>
            <w:tcW w:w="0" w:type="auto"/>
            <w:shd w:val="clear" w:color="auto" w:fill="auto"/>
            <w:noWrap/>
            <w:vAlign w:val="center"/>
          </w:tcPr>
          <w:p w14:paraId="1307A2AD">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5168</w:t>
            </w:r>
          </w:p>
        </w:tc>
        <w:tc>
          <w:tcPr>
            <w:tcW w:w="0" w:type="auto"/>
            <w:shd w:val="clear" w:color="auto" w:fill="auto"/>
            <w:noWrap/>
            <w:vAlign w:val="center"/>
          </w:tcPr>
          <w:p w14:paraId="25CAC66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2F1D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3C99B1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PH</w:t>
            </w:r>
          </w:p>
        </w:tc>
        <w:tc>
          <w:tcPr>
            <w:tcW w:w="0" w:type="auto"/>
            <w:shd w:val="clear" w:color="auto" w:fill="auto"/>
            <w:noWrap/>
            <w:vAlign w:val="center"/>
          </w:tcPr>
          <w:p w14:paraId="2E5A74F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c>
          <w:tcPr>
            <w:tcW w:w="0" w:type="auto"/>
            <w:shd w:val="clear" w:color="auto" w:fill="auto"/>
            <w:noWrap/>
            <w:vAlign w:val="center"/>
          </w:tcPr>
          <w:p w14:paraId="6320E4E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1.71%</w:t>
            </w:r>
          </w:p>
        </w:tc>
        <w:tc>
          <w:tcPr>
            <w:tcW w:w="0" w:type="auto"/>
            <w:shd w:val="clear" w:color="auto" w:fill="auto"/>
            <w:noWrap/>
            <w:vAlign w:val="center"/>
          </w:tcPr>
          <w:p w14:paraId="65EB534E">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5177</w:t>
            </w:r>
          </w:p>
        </w:tc>
        <w:tc>
          <w:tcPr>
            <w:tcW w:w="0" w:type="auto"/>
            <w:shd w:val="clear" w:color="auto" w:fill="auto"/>
            <w:noWrap/>
            <w:vAlign w:val="center"/>
          </w:tcPr>
          <w:p w14:paraId="7EE4571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251C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5284754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PO2</w:t>
            </w:r>
          </w:p>
        </w:tc>
        <w:tc>
          <w:tcPr>
            <w:tcW w:w="0" w:type="auto"/>
            <w:shd w:val="clear" w:color="auto" w:fill="auto"/>
            <w:noWrap/>
            <w:vAlign w:val="center"/>
          </w:tcPr>
          <w:p w14:paraId="5E69771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c>
          <w:tcPr>
            <w:tcW w:w="0" w:type="auto"/>
            <w:shd w:val="clear" w:color="auto" w:fill="auto"/>
            <w:noWrap/>
            <w:vAlign w:val="center"/>
          </w:tcPr>
          <w:p w14:paraId="3989719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1.71%</w:t>
            </w:r>
          </w:p>
        </w:tc>
        <w:tc>
          <w:tcPr>
            <w:tcW w:w="0" w:type="auto"/>
            <w:shd w:val="clear" w:color="auto" w:fill="auto"/>
            <w:noWrap/>
            <w:vAlign w:val="center"/>
          </w:tcPr>
          <w:p w14:paraId="77FF143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5177</w:t>
            </w:r>
          </w:p>
        </w:tc>
        <w:tc>
          <w:tcPr>
            <w:tcW w:w="0" w:type="auto"/>
            <w:shd w:val="clear" w:color="auto" w:fill="auto"/>
            <w:noWrap/>
            <w:vAlign w:val="center"/>
          </w:tcPr>
          <w:p w14:paraId="46421D0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76A8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599CA8C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PCO2</w:t>
            </w:r>
          </w:p>
        </w:tc>
        <w:tc>
          <w:tcPr>
            <w:tcW w:w="0" w:type="auto"/>
            <w:shd w:val="clear" w:color="auto" w:fill="auto"/>
            <w:noWrap/>
            <w:vAlign w:val="center"/>
          </w:tcPr>
          <w:p w14:paraId="76FC526E">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c>
          <w:tcPr>
            <w:tcW w:w="0" w:type="auto"/>
            <w:shd w:val="clear" w:color="auto" w:fill="auto"/>
            <w:noWrap/>
            <w:vAlign w:val="center"/>
          </w:tcPr>
          <w:p w14:paraId="4D08B14D">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1.71%</w:t>
            </w:r>
          </w:p>
        </w:tc>
        <w:tc>
          <w:tcPr>
            <w:tcW w:w="0" w:type="auto"/>
            <w:shd w:val="clear" w:color="auto" w:fill="auto"/>
            <w:noWrap/>
            <w:vAlign w:val="center"/>
          </w:tcPr>
          <w:p w14:paraId="5C96F7FA">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5177</w:t>
            </w:r>
          </w:p>
        </w:tc>
        <w:tc>
          <w:tcPr>
            <w:tcW w:w="0" w:type="auto"/>
            <w:shd w:val="clear" w:color="auto" w:fill="auto"/>
            <w:noWrap/>
            <w:vAlign w:val="center"/>
          </w:tcPr>
          <w:p w14:paraId="54AA5C4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3D50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33D2479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base excess</w:t>
            </w:r>
          </w:p>
        </w:tc>
        <w:tc>
          <w:tcPr>
            <w:tcW w:w="0" w:type="auto"/>
            <w:shd w:val="clear" w:color="auto" w:fill="auto"/>
            <w:noWrap/>
            <w:vAlign w:val="center"/>
          </w:tcPr>
          <w:p w14:paraId="7655F62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90</w:t>
            </w:r>
          </w:p>
        </w:tc>
        <w:tc>
          <w:tcPr>
            <w:tcW w:w="0" w:type="auto"/>
            <w:shd w:val="clear" w:color="auto" w:fill="auto"/>
            <w:noWrap/>
            <w:vAlign w:val="center"/>
          </w:tcPr>
          <w:p w14:paraId="6045D8F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1.71%</w:t>
            </w:r>
          </w:p>
        </w:tc>
        <w:tc>
          <w:tcPr>
            <w:tcW w:w="0" w:type="auto"/>
            <w:shd w:val="clear" w:color="auto" w:fill="auto"/>
            <w:noWrap/>
            <w:vAlign w:val="center"/>
          </w:tcPr>
          <w:p w14:paraId="5D36AA31">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5177</w:t>
            </w:r>
          </w:p>
        </w:tc>
        <w:tc>
          <w:tcPr>
            <w:tcW w:w="0" w:type="auto"/>
            <w:shd w:val="clear" w:color="auto" w:fill="auto"/>
            <w:noWrap/>
            <w:vAlign w:val="center"/>
          </w:tcPr>
          <w:p w14:paraId="05E9D60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42AF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69447BB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hematocrit</w:t>
            </w:r>
          </w:p>
        </w:tc>
        <w:tc>
          <w:tcPr>
            <w:tcW w:w="0" w:type="auto"/>
            <w:shd w:val="clear" w:color="auto" w:fill="auto"/>
            <w:noWrap/>
            <w:vAlign w:val="center"/>
          </w:tcPr>
          <w:p w14:paraId="639EF8F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0" w:type="auto"/>
            <w:shd w:val="clear" w:color="auto" w:fill="auto"/>
            <w:noWrap/>
            <w:vAlign w:val="center"/>
          </w:tcPr>
          <w:p w14:paraId="359D6C3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0.09%</w:t>
            </w:r>
          </w:p>
        </w:tc>
        <w:tc>
          <w:tcPr>
            <w:tcW w:w="0" w:type="auto"/>
            <w:shd w:val="clear" w:color="auto" w:fill="auto"/>
            <w:noWrap/>
            <w:vAlign w:val="center"/>
          </w:tcPr>
          <w:p w14:paraId="7366B44E">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5262</w:t>
            </w:r>
          </w:p>
        </w:tc>
        <w:tc>
          <w:tcPr>
            <w:tcW w:w="0" w:type="auto"/>
            <w:shd w:val="clear" w:color="auto" w:fill="auto"/>
            <w:noWrap/>
            <w:vAlign w:val="center"/>
          </w:tcPr>
          <w:p w14:paraId="19A6D99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40E1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08C1FD4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hemoglobin</w:t>
            </w:r>
          </w:p>
        </w:tc>
        <w:tc>
          <w:tcPr>
            <w:tcW w:w="0" w:type="auto"/>
            <w:shd w:val="clear" w:color="auto" w:fill="auto"/>
            <w:noWrap/>
            <w:vAlign w:val="center"/>
          </w:tcPr>
          <w:p w14:paraId="4B61F24A">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0" w:type="auto"/>
            <w:shd w:val="clear" w:color="auto" w:fill="auto"/>
            <w:noWrap/>
            <w:vAlign w:val="center"/>
          </w:tcPr>
          <w:p w14:paraId="61F1856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0.09%</w:t>
            </w:r>
          </w:p>
        </w:tc>
        <w:tc>
          <w:tcPr>
            <w:tcW w:w="0" w:type="auto"/>
            <w:shd w:val="clear" w:color="auto" w:fill="auto"/>
            <w:noWrap/>
            <w:vAlign w:val="center"/>
          </w:tcPr>
          <w:p w14:paraId="0B880A14">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5262</w:t>
            </w:r>
          </w:p>
        </w:tc>
        <w:tc>
          <w:tcPr>
            <w:tcW w:w="0" w:type="auto"/>
            <w:shd w:val="clear" w:color="auto" w:fill="auto"/>
            <w:noWrap/>
            <w:vAlign w:val="center"/>
          </w:tcPr>
          <w:p w14:paraId="71C1E93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05A1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6472A6B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platelets</w:t>
            </w:r>
          </w:p>
        </w:tc>
        <w:tc>
          <w:tcPr>
            <w:tcW w:w="0" w:type="auto"/>
            <w:shd w:val="clear" w:color="auto" w:fill="auto"/>
            <w:noWrap/>
            <w:vAlign w:val="center"/>
          </w:tcPr>
          <w:p w14:paraId="63D9FBB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76</w:t>
            </w:r>
          </w:p>
        </w:tc>
        <w:tc>
          <w:tcPr>
            <w:tcW w:w="0" w:type="auto"/>
            <w:shd w:val="clear" w:color="auto" w:fill="auto"/>
            <w:noWrap/>
            <w:vAlign w:val="center"/>
          </w:tcPr>
          <w:p w14:paraId="66782D9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1.44%</w:t>
            </w:r>
          </w:p>
        </w:tc>
        <w:tc>
          <w:tcPr>
            <w:tcW w:w="0" w:type="auto"/>
            <w:shd w:val="clear" w:color="auto" w:fill="auto"/>
            <w:noWrap/>
            <w:vAlign w:val="center"/>
          </w:tcPr>
          <w:p w14:paraId="010C525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5191</w:t>
            </w:r>
          </w:p>
        </w:tc>
        <w:tc>
          <w:tcPr>
            <w:tcW w:w="0" w:type="auto"/>
            <w:shd w:val="clear" w:color="auto" w:fill="auto"/>
            <w:noWrap/>
            <w:vAlign w:val="center"/>
          </w:tcPr>
          <w:p w14:paraId="1982C5B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0E31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01D5187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WBC</w:t>
            </w:r>
          </w:p>
        </w:tc>
        <w:tc>
          <w:tcPr>
            <w:tcW w:w="0" w:type="auto"/>
            <w:shd w:val="clear" w:color="auto" w:fill="auto"/>
            <w:noWrap/>
            <w:vAlign w:val="center"/>
          </w:tcPr>
          <w:p w14:paraId="49F3FCC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0" w:type="auto"/>
            <w:shd w:val="clear" w:color="auto" w:fill="auto"/>
            <w:noWrap/>
            <w:vAlign w:val="center"/>
          </w:tcPr>
          <w:p w14:paraId="4D0EC24A">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0.08%</w:t>
            </w:r>
          </w:p>
        </w:tc>
        <w:tc>
          <w:tcPr>
            <w:tcW w:w="0" w:type="auto"/>
            <w:shd w:val="clear" w:color="auto" w:fill="auto"/>
            <w:noWrap/>
            <w:vAlign w:val="center"/>
          </w:tcPr>
          <w:p w14:paraId="086B243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5263</w:t>
            </w:r>
          </w:p>
        </w:tc>
        <w:tc>
          <w:tcPr>
            <w:tcW w:w="0" w:type="auto"/>
            <w:shd w:val="clear" w:color="auto" w:fill="auto"/>
            <w:noWrap/>
            <w:vAlign w:val="center"/>
          </w:tcPr>
          <w:p w14:paraId="6636AF4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4D8F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78F5F04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aniongap</w:t>
            </w:r>
          </w:p>
        </w:tc>
        <w:tc>
          <w:tcPr>
            <w:tcW w:w="0" w:type="auto"/>
            <w:shd w:val="clear" w:color="auto" w:fill="auto"/>
            <w:noWrap/>
            <w:vAlign w:val="center"/>
          </w:tcPr>
          <w:p w14:paraId="6E34DCC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0" w:type="auto"/>
            <w:shd w:val="clear" w:color="auto" w:fill="auto"/>
            <w:noWrap/>
            <w:vAlign w:val="center"/>
          </w:tcPr>
          <w:p w14:paraId="45957E0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0.76%</w:t>
            </w:r>
          </w:p>
        </w:tc>
        <w:tc>
          <w:tcPr>
            <w:tcW w:w="0" w:type="auto"/>
            <w:shd w:val="clear" w:color="auto" w:fill="auto"/>
            <w:noWrap/>
            <w:vAlign w:val="center"/>
          </w:tcPr>
          <w:p w14:paraId="333A938E">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5227</w:t>
            </w:r>
          </w:p>
        </w:tc>
        <w:tc>
          <w:tcPr>
            <w:tcW w:w="0" w:type="auto"/>
            <w:shd w:val="clear" w:color="auto" w:fill="auto"/>
            <w:noWrap/>
            <w:vAlign w:val="center"/>
          </w:tcPr>
          <w:p w14:paraId="24E2FC5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2D4E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213ADC6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bicarbonate</w:t>
            </w:r>
          </w:p>
        </w:tc>
        <w:tc>
          <w:tcPr>
            <w:tcW w:w="0" w:type="auto"/>
            <w:shd w:val="clear" w:color="auto" w:fill="auto"/>
            <w:noWrap/>
            <w:vAlign w:val="center"/>
          </w:tcPr>
          <w:p w14:paraId="533A88B1">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0" w:type="auto"/>
            <w:shd w:val="clear" w:color="auto" w:fill="auto"/>
            <w:noWrap/>
            <w:vAlign w:val="center"/>
          </w:tcPr>
          <w:p w14:paraId="7277F21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0.09%</w:t>
            </w:r>
          </w:p>
        </w:tc>
        <w:tc>
          <w:tcPr>
            <w:tcW w:w="0" w:type="auto"/>
            <w:shd w:val="clear" w:color="auto" w:fill="auto"/>
            <w:noWrap/>
            <w:vAlign w:val="center"/>
          </w:tcPr>
          <w:p w14:paraId="6A4AB0F1">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5262</w:t>
            </w:r>
          </w:p>
        </w:tc>
        <w:tc>
          <w:tcPr>
            <w:tcW w:w="0" w:type="auto"/>
            <w:shd w:val="clear" w:color="auto" w:fill="auto"/>
            <w:noWrap/>
            <w:vAlign w:val="center"/>
          </w:tcPr>
          <w:p w14:paraId="7FA396F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7E8E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427972B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bun</w:t>
            </w:r>
          </w:p>
        </w:tc>
        <w:tc>
          <w:tcPr>
            <w:tcW w:w="0" w:type="auto"/>
            <w:shd w:val="clear" w:color="auto" w:fill="auto"/>
            <w:noWrap/>
            <w:vAlign w:val="center"/>
          </w:tcPr>
          <w:p w14:paraId="234CBFF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0" w:type="auto"/>
            <w:shd w:val="clear" w:color="auto" w:fill="auto"/>
            <w:noWrap/>
            <w:vAlign w:val="center"/>
          </w:tcPr>
          <w:p w14:paraId="56788B38">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0.08%</w:t>
            </w:r>
          </w:p>
        </w:tc>
        <w:tc>
          <w:tcPr>
            <w:tcW w:w="0" w:type="auto"/>
            <w:shd w:val="clear" w:color="auto" w:fill="auto"/>
            <w:noWrap/>
            <w:vAlign w:val="center"/>
          </w:tcPr>
          <w:p w14:paraId="07D408B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5263</w:t>
            </w:r>
          </w:p>
        </w:tc>
        <w:tc>
          <w:tcPr>
            <w:tcW w:w="0" w:type="auto"/>
            <w:shd w:val="clear" w:color="auto" w:fill="auto"/>
            <w:noWrap/>
            <w:vAlign w:val="center"/>
          </w:tcPr>
          <w:p w14:paraId="3BF3B26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53C1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24E6833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creatinine</w:t>
            </w:r>
          </w:p>
        </w:tc>
        <w:tc>
          <w:tcPr>
            <w:tcW w:w="0" w:type="auto"/>
            <w:shd w:val="clear" w:color="auto" w:fill="auto"/>
            <w:noWrap/>
            <w:vAlign w:val="center"/>
          </w:tcPr>
          <w:p w14:paraId="7088931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0" w:type="auto"/>
            <w:shd w:val="clear" w:color="auto" w:fill="auto"/>
            <w:noWrap/>
            <w:vAlign w:val="center"/>
          </w:tcPr>
          <w:p w14:paraId="35073F2A">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0.08%</w:t>
            </w:r>
          </w:p>
        </w:tc>
        <w:tc>
          <w:tcPr>
            <w:tcW w:w="0" w:type="auto"/>
            <w:shd w:val="clear" w:color="auto" w:fill="auto"/>
            <w:noWrap/>
            <w:vAlign w:val="center"/>
          </w:tcPr>
          <w:p w14:paraId="1B65BEC4">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5263</w:t>
            </w:r>
          </w:p>
        </w:tc>
        <w:tc>
          <w:tcPr>
            <w:tcW w:w="0" w:type="auto"/>
            <w:shd w:val="clear" w:color="auto" w:fill="auto"/>
            <w:noWrap/>
            <w:vAlign w:val="center"/>
          </w:tcPr>
          <w:p w14:paraId="5D09A17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5F93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3EE4094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glucose</w:t>
            </w:r>
          </w:p>
        </w:tc>
        <w:tc>
          <w:tcPr>
            <w:tcW w:w="0" w:type="auto"/>
            <w:shd w:val="clear" w:color="auto" w:fill="auto"/>
            <w:noWrap/>
            <w:vAlign w:val="center"/>
          </w:tcPr>
          <w:p w14:paraId="52B9B20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117</w:t>
            </w:r>
          </w:p>
        </w:tc>
        <w:tc>
          <w:tcPr>
            <w:tcW w:w="0" w:type="auto"/>
            <w:shd w:val="clear" w:color="auto" w:fill="auto"/>
            <w:noWrap/>
            <w:vAlign w:val="center"/>
          </w:tcPr>
          <w:p w14:paraId="0D10FB5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2.22%</w:t>
            </w:r>
          </w:p>
        </w:tc>
        <w:tc>
          <w:tcPr>
            <w:tcW w:w="0" w:type="auto"/>
            <w:shd w:val="clear" w:color="auto" w:fill="auto"/>
            <w:noWrap/>
            <w:vAlign w:val="center"/>
          </w:tcPr>
          <w:p w14:paraId="3F41B99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5150</w:t>
            </w:r>
          </w:p>
        </w:tc>
        <w:tc>
          <w:tcPr>
            <w:tcW w:w="0" w:type="auto"/>
            <w:shd w:val="clear" w:color="auto" w:fill="auto"/>
            <w:noWrap/>
            <w:vAlign w:val="center"/>
          </w:tcPr>
          <w:p w14:paraId="6F7916F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0035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744D187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sodium</w:t>
            </w:r>
          </w:p>
        </w:tc>
        <w:tc>
          <w:tcPr>
            <w:tcW w:w="0" w:type="auto"/>
            <w:shd w:val="clear" w:color="auto" w:fill="auto"/>
            <w:noWrap/>
            <w:vAlign w:val="center"/>
          </w:tcPr>
          <w:p w14:paraId="5DF240F8">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0" w:type="auto"/>
            <w:shd w:val="clear" w:color="auto" w:fill="auto"/>
            <w:noWrap/>
            <w:vAlign w:val="center"/>
          </w:tcPr>
          <w:p w14:paraId="5C5CCBB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0.19%</w:t>
            </w:r>
          </w:p>
        </w:tc>
        <w:tc>
          <w:tcPr>
            <w:tcW w:w="0" w:type="auto"/>
            <w:shd w:val="clear" w:color="auto" w:fill="auto"/>
            <w:noWrap/>
            <w:vAlign w:val="center"/>
          </w:tcPr>
          <w:p w14:paraId="4731ABBA">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5257</w:t>
            </w:r>
          </w:p>
        </w:tc>
        <w:tc>
          <w:tcPr>
            <w:tcW w:w="0" w:type="auto"/>
            <w:shd w:val="clear" w:color="auto" w:fill="auto"/>
            <w:noWrap/>
            <w:vAlign w:val="center"/>
          </w:tcPr>
          <w:p w14:paraId="7F9DF93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0AD1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123A13C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potassium</w:t>
            </w:r>
          </w:p>
        </w:tc>
        <w:tc>
          <w:tcPr>
            <w:tcW w:w="0" w:type="auto"/>
            <w:shd w:val="clear" w:color="auto" w:fill="auto"/>
            <w:noWrap/>
            <w:vAlign w:val="center"/>
          </w:tcPr>
          <w:p w14:paraId="52D2575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0" w:type="auto"/>
            <w:shd w:val="clear" w:color="auto" w:fill="auto"/>
            <w:noWrap/>
            <w:vAlign w:val="center"/>
          </w:tcPr>
          <w:p w14:paraId="56C9184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0.66%</w:t>
            </w:r>
          </w:p>
        </w:tc>
        <w:tc>
          <w:tcPr>
            <w:tcW w:w="0" w:type="auto"/>
            <w:shd w:val="clear" w:color="auto" w:fill="auto"/>
            <w:noWrap/>
            <w:vAlign w:val="center"/>
          </w:tcPr>
          <w:p w14:paraId="1CFDB40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5234</w:t>
            </w:r>
          </w:p>
        </w:tc>
        <w:tc>
          <w:tcPr>
            <w:tcW w:w="0" w:type="auto"/>
            <w:shd w:val="clear" w:color="auto" w:fill="auto"/>
            <w:noWrap/>
            <w:vAlign w:val="center"/>
          </w:tcPr>
          <w:p w14:paraId="5C9114D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56FC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4769387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heart_rate</w:t>
            </w:r>
          </w:p>
        </w:tc>
        <w:tc>
          <w:tcPr>
            <w:tcW w:w="0" w:type="auto"/>
            <w:shd w:val="clear" w:color="auto" w:fill="auto"/>
            <w:noWrap/>
            <w:vAlign w:val="center"/>
          </w:tcPr>
          <w:p w14:paraId="18792B6F">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0" w:type="auto"/>
            <w:shd w:val="clear" w:color="auto" w:fill="auto"/>
            <w:noWrap/>
            <w:vAlign w:val="center"/>
          </w:tcPr>
          <w:p w14:paraId="5F12E4D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0.08%</w:t>
            </w:r>
          </w:p>
        </w:tc>
        <w:tc>
          <w:tcPr>
            <w:tcW w:w="0" w:type="auto"/>
            <w:shd w:val="clear" w:color="auto" w:fill="auto"/>
            <w:noWrap/>
            <w:vAlign w:val="center"/>
          </w:tcPr>
          <w:p w14:paraId="3320D39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5263</w:t>
            </w:r>
          </w:p>
        </w:tc>
        <w:tc>
          <w:tcPr>
            <w:tcW w:w="0" w:type="auto"/>
            <w:shd w:val="clear" w:color="auto" w:fill="auto"/>
            <w:noWrap/>
            <w:vAlign w:val="center"/>
          </w:tcPr>
          <w:p w14:paraId="36F5CD50">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4D9F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525FB1E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SBP</w:t>
            </w:r>
          </w:p>
        </w:tc>
        <w:tc>
          <w:tcPr>
            <w:tcW w:w="0" w:type="auto"/>
            <w:shd w:val="clear" w:color="auto" w:fill="auto"/>
            <w:noWrap/>
            <w:vAlign w:val="center"/>
          </w:tcPr>
          <w:p w14:paraId="1F9EED97">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0" w:type="auto"/>
            <w:shd w:val="clear" w:color="auto" w:fill="auto"/>
            <w:noWrap/>
            <w:vAlign w:val="center"/>
          </w:tcPr>
          <w:p w14:paraId="162408F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0.23%</w:t>
            </w:r>
          </w:p>
        </w:tc>
        <w:tc>
          <w:tcPr>
            <w:tcW w:w="0" w:type="auto"/>
            <w:shd w:val="clear" w:color="auto" w:fill="auto"/>
            <w:noWrap/>
            <w:vAlign w:val="center"/>
          </w:tcPr>
          <w:p w14:paraId="4AF31E2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5255</w:t>
            </w:r>
          </w:p>
        </w:tc>
        <w:tc>
          <w:tcPr>
            <w:tcW w:w="0" w:type="auto"/>
            <w:shd w:val="clear" w:color="auto" w:fill="auto"/>
            <w:noWrap/>
            <w:vAlign w:val="center"/>
          </w:tcPr>
          <w:p w14:paraId="58297B7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7B38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684D32D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DBP</w:t>
            </w:r>
          </w:p>
        </w:tc>
        <w:tc>
          <w:tcPr>
            <w:tcW w:w="0" w:type="auto"/>
            <w:shd w:val="clear" w:color="auto" w:fill="auto"/>
            <w:noWrap/>
            <w:vAlign w:val="center"/>
          </w:tcPr>
          <w:p w14:paraId="316DEE84">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0" w:type="auto"/>
            <w:shd w:val="clear" w:color="auto" w:fill="auto"/>
            <w:noWrap/>
            <w:vAlign w:val="center"/>
          </w:tcPr>
          <w:p w14:paraId="200EADA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0.23%</w:t>
            </w:r>
          </w:p>
        </w:tc>
        <w:tc>
          <w:tcPr>
            <w:tcW w:w="0" w:type="auto"/>
            <w:shd w:val="clear" w:color="auto" w:fill="auto"/>
            <w:noWrap/>
            <w:vAlign w:val="center"/>
          </w:tcPr>
          <w:p w14:paraId="32D57254">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5255</w:t>
            </w:r>
          </w:p>
        </w:tc>
        <w:tc>
          <w:tcPr>
            <w:tcW w:w="0" w:type="auto"/>
            <w:shd w:val="clear" w:color="auto" w:fill="auto"/>
            <w:noWrap/>
            <w:vAlign w:val="center"/>
          </w:tcPr>
          <w:p w14:paraId="64C40A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5085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6C0786B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temperature</w:t>
            </w:r>
          </w:p>
        </w:tc>
        <w:tc>
          <w:tcPr>
            <w:tcW w:w="0" w:type="auto"/>
            <w:shd w:val="clear" w:color="auto" w:fill="auto"/>
            <w:noWrap/>
            <w:vAlign w:val="center"/>
          </w:tcPr>
          <w:p w14:paraId="5CDF092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591</w:t>
            </w:r>
          </w:p>
        </w:tc>
        <w:tc>
          <w:tcPr>
            <w:tcW w:w="0" w:type="auto"/>
            <w:shd w:val="clear" w:color="auto" w:fill="auto"/>
            <w:noWrap/>
            <w:vAlign w:val="center"/>
          </w:tcPr>
          <w:p w14:paraId="7767E731">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11.22%</w:t>
            </w:r>
          </w:p>
        </w:tc>
        <w:tc>
          <w:tcPr>
            <w:tcW w:w="0" w:type="auto"/>
            <w:shd w:val="clear" w:color="auto" w:fill="auto"/>
            <w:noWrap/>
            <w:vAlign w:val="center"/>
          </w:tcPr>
          <w:p w14:paraId="5152562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4676</w:t>
            </w:r>
          </w:p>
        </w:tc>
        <w:tc>
          <w:tcPr>
            <w:tcW w:w="0" w:type="auto"/>
            <w:shd w:val="clear" w:color="auto" w:fill="auto"/>
            <w:noWrap/>
            <w:vAlign w:val="center"/>
          </w:tcPr>
          <w:p w14:paraId="0559A2A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Multiple imputation </w:t>
            </w:r>
          </w:p>
        </w:tc>
      </w:tr>
      <w:tr w14:paraId="372B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204358C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mchc</w:t>
            </w:r>
          </w:p>
        </w:tc>
        <w:tc>
          <w:tcPr>
            <w:tcW w:w="0" w:type="auto"/>
            <w:shd w:val="clear" w:color="auto" w:fill="auto"/>
            <w:noWrap/>
            <w:vAlign w:val="center"/>
          </w:tcPr>
          <w:p w14:paraId="1E3F081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192</w:t>
            </w:r>
          </w:p>
        </w:tc>
        <w:tc>
          <w:tcPr>
            <w:tcW w:w="0" w:type="auto"/>
            <w:shd w:val="clear" w:color="auto" w:fill="auto"/>
            <w:noWrap/>
            <w:vAlign w:val="center"/>
          </w:tcPr>
          <w:p w14:paraId="6AE8ADB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3.65%</w:t>
            </w:r>
          </w:p>
        </w:tc>
        <w:tc>
          <w:tcPr>
            <w:tcW w:w="0" w:type="auto"/>
            <w:shd w:val="clear" w:color="auto" w:fill="auto"/>
            <w:noWrap/>
            <w:vAlign w:val="center"/>
          </w:tcPr>
          <w:p w14:paraId="1A6E7294">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5075</w:t>
            </w:r>
          </w:p>
        </w:tc>
        <w:tc>
          <w:tcPr>
            <w:tcW w:w="0" w:type="auto"/>
            <w:shd w:val="clear" w:color="auto" w:fill="auto"/>
            <w:noWrap/>
            <w:vAlign w:val="center"/>
          </w:tcPr>
          <w:p w14:paraId="3A1F7F4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0D56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44854819">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mcv</w:t>
            </w:r>
          </w:p>
        </w:tc>
        <w:tc>
          <w:tcPr>
            <w:tcW w:w="0" w:type="auto"/>
            <w:shd w:val="clear" w:color="auto" w:fill="auto"/>
            <w:noWrap/>
            <w:vAlign w:val="center"/>
          </w:tcPr>
          <w:p w14:paraId="46BBF2C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192</w:t>
            </w:r>
          </w:p>
        </w:tc>
        <w:tc>
          <w:tcPr>
            <w:tcW w:w="0" w:type="auto"/>
            <w:shd w:val="clear" w:color="auto" w:fill="auto"/>
            <w:noWrap/>
            <w:vAlign w:val="center"/>
          </w:tcPr>
          <w:p w14:paraId="03D6023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3.65%</w:t>
            </w:r>
          </w:p>
        </w:tc>
        <w:tc>
          <w:tcPr>
            <w:tcW w:w="0" w:type="auto"/>
            <w:shd w:val="clear" w:color="auto" w:fill="auto"/>
            <w:noWrap/>
            <w:vAlign w:val="center"/>
          </w:tcPr>
          <w:p w14:paraId="6FBCEAB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5075</w:t>
            </w:r>
          </w:p>
        </w:tc>
        <w:tc>
          <w:tcPr>
            <w:tcW w:w="0" w:type="auto"/>
            <w:shd w:val="clear" w:color="auto" w:fill="auto"/>
            <w:noWrap/>
            <w:vAlign w:val="center"/>
          </w:tcPr>
          <w:p w14:paraId="10D62D0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3CAB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161C4FF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rdw</w:t>
            </w:r>
          </w:p>
        </w:tc>
        <w:tc>
          <w:tcPr>
            <w:tcW w:w="0" w:type="auto"/>
            <w:shd w:val="clear" w:color="auto" w:fill="auto"/>
            <w:noWrap/>
            <w:vAlign w:val="center"/>
          </w:tcPr>
          <w:p w14:paraId="22CCC92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192</w:t>
            </w:r>
          </w:p>
        </w:tc>
        <w:tc>
          <w:tcPr>
            <w:tcW w:w="0" w:type="auto"/>
            <w:shd w:val="clear" w:color="auto" w:fill="auto"/>
            <w:noWrap/>
            <w:vAlign w:val="center"/>
          </w:tcPr>
          <w:p w14:paraId="2114A85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3.65%</w:t>
            </w:r>
          </w:p>
        </w:tc>
        <w:tc>
          <w:tcPr>
            <w:tcW w:w="0" w:type="auto"/>
            <w:shd w:val="clear" w:color="auto" w:fill="auto"/>
            <w:noWrap/>
            <w:vAlign w:val="center"/>
          </w:tcPr>
          <w:p w14:paraId="177794D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5075</w:t>
            </w:r>
          </w:p>
        </w:tc>
        <w:tc>
          <w:tcPr>
            <w:tcW w:w="0" w:type="auto"/>
            <w:shd w:val="clear" w:color="auto" w:fill="auto"/>
            <w:noWrap/>
            <w:vAlign w:val="center"/>
          </w:tcPr>
          <w:p w14:paraId="7FFB493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Mean imputation</w:t>
            </w:r>
          </w:p>
        </w:tc>
      </w:tr>
      <w:tr w14:paraId="6871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6358285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BMI</w:t>
            </w:r>
          </w:p>
        </w:tc>
        <w:tc>
          <w:tcPr>
            <w:tcW w:w="0" w:type="auto"/>
            <w:shd w:val="clear" w:color="auto" w:fill="auto"/>
            <w:noWrap/>
            <w:vAlign w:val="center"/>
          </w:tcPr>
          <w:p w14:paraId="7D42A55A">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423</w:t>
            </w:r>
          </w:p>
        </w:tc>
        <w:tc>
          <w:tcPr>
            <w:tcW w:w="0" w:type="auto"/>
            <w:shd w:val="clear" w:color="auto" w:fill="auto"/>
            <w:noWrap/>
            <w:vAlign w:val="center"/>
          </w:tcPr>
          <w:p w14:paraId="32CEC038">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8.03%</w:t>
            </w:r>
          </w:p>
        </w:tc>
        <w:tc>
          <w:tcPr>
            <w:tcW w:w="0" w:type="auto"/>
            <w:shd w:val="clear" w:color="auto" w:fill="auto"/>
            <w:noWrap/>
            <w:vAlign w:val="center"/>
          </w:tcPr>
          <w:p w14:paraId="439AB86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4844</w:t>
            </w:r>
          </w:p>
        </w:tc>
        <w:tc>
          <w:tcPr>
            <w:tcW w:w="0" w:type="auto"/>
            <w:shd w:val="clear" w:color="auto" w:fill="auto"/>
            <w:noWrap/>
            <w:vAlign w:val="center"/>
          </w:tcPr>
          <w:p w14:paraId="2A1F2A2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Multiple imputation </w:t>
            </w:r>
          </w:p>
        </w:tc>
      </w:tr>
      <w:tr w14:paraId="23F6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0" w:type="auto"/>
            <w:shd w:val="clear" w:color="auto" w:fill="auto"/>
            <w:noWrap/>
            <w:vAlign w:val="center"/>
          </w:tcPr>
          <w:p w14:paraId="7B1B500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LVEF</w:t>
            </w:r>
          </w:p>
        </w:tc>
        <w:tc>
          <w:tcPr>
            <w:tcW w:w="0" w:type="auto"/>
            <w:shd w:val="clear" w:color="auto" w:fill="auto"/>
            <w:noWrap/>
            <w:vAlign w:val="center"/>
          </w:tcPr>
          <w:p w14:paraId="5DEF65A7">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1378</w:t>
            </w:r>
          </w:p>
        </w:tc>
        <w:tc>
          <w:tcPr>
            <w:tcW w:w="0" w:type="auto"/>
            <w:shd w:val="clear" w:color="auto" w:fill="auto"/>
            <w:noWrap/>
            <w:vAlign w:val="center"/>
          </w:tcPr>
          <w:p w14:paraId="4EDD219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26.16%</w:t>
            </w:r>
          </w:p>
        </w:tc>
        <w:tc>
          <w:tcPr>
            <w:tcW w:w="0" w:type="auto"/>
            <w:shd w:val="clear" w:color="auto" w:fill="auto"/>
            <w:noWrap/>
            <w:vAlign w:val="center"/>
          </w:tcPr>
          <w:p w14:paraId="0A9F3EF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3889</w:t>
            </w:r>
          </w:p>
        </w:tc>
        <w:tc>
          <w:tcPr>
            <w:tcW w:w="0" w:type="auto"/>
            <w:shd w:val="clear" w:color="auto" w:fill="auto"/>
            <w:noWrap/>
            <w:vAlign w:val="center"/>
          </w:tcPr>
          <w:p w14:paraId="3AA2875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Delete</w:t>
            </w:r>
          </w:p>
        </w:tc>
      </w:tr>
    </w:tbl>
    <w:p w14:paraId="45D54B05">
      <w:pPr>
        <w:jc w:val="left"/>
        <w:rPr>
          <w:rFonts w:ascii="宋体" w:hAnsi="宋体" w:cs="宋体"/>
          <w:sz w:val="20"/>
          <w:szCs w:val="20"/>
        </w:rPr>
      </w:pPr>
      <w:r>
        <w:rPr>
          <w:rFonts w:ascii="宋体" w:hAnsi="宋体" w:cs="宋体"/>
          <w:sz w:val="20"/>
          <w:szCs w:val="20"/>
        </w:rPr>
        <w:t xml:space="preserve">Variables with &gt; 20% missing data were excluded. </w:t>
      </w:r>
      <w:r>
        <w:rPr>
          <w:rFonts w:hint="eastAsia" w:ascii="宋体" w:hAnsi="宋体" w:cs="宋体"/>
          <w:sz w:val="20"/>
          <w:szCs w:val="20"/>
        </w:rPr>
        <w:t>M</w:t>
      </w:r>
      <w:r>
        <w:rPr>
          <w:rFonts w:ascii="宋体" w:hAnsi="宋体" w:cs="宋体"/>
          <w:sz w:val="20"/>
          <w:szCs w:val="20"/>
        </w:rPr>
        <w:t>ean imputation was used for outliers and variables with &lt;5% missing values, whereas multiple imputation was employed for variables with 5-20% missing values</w:t>
      </w:r>
      <w:r>
        <w:rPr>
          <w:rFonts w:hint="eastAsia" w:ascii="宋体" w:hAnsi="宋体" w:cs="宋体"/>
          <w:sz w:val="20"/>
          <w:szCs w:val="20"/>
        </w:rPr>
        <w:t>.</w:t>
      </w:r>
    </w:p>
    <w:p w14:paraId="1127F123">
      <w:pPr>
        <w:adjustRightInd w:val="0"/>
        <w:snapToGrid w:val="0"/>
        <w:spacing w:line="480" w:lineRule="auto"/>
        <w:rPr>
          <w:rFonts w:ascii="Times New Roman" w:hAnsi="Times New Roman" w:eastAsia="宋体" w:cs="Times New Roman"/>
          <w:b w:val="0"/>
          <w:bCs w:val="0"/>
          <w:sz w:val="24"/>
        </w:rPr>
      </w:pPr>
    </w:p>
    <w:p w14:paraId="721D49C6">
      <w:pPr>
        <w:pStyle w:val="7"/>
        <w:rPr>
          <w:rFonts w:ascii="Times New Roman" w:hAnsi="Times New Roman" w:eastAsia="宋体" w:cs="Times New Roman"/>
          <w:b w:val="0"/>
          <w:bCs w:val="0"/>
          <w:kern w:val="2"/>
          <w:sz w:val="24"/>
          <w:szCs w:val="24"/>
          <w:lang w:val="en-US" w:eastAsia="zh-CN" w:bidi="ar-SA"/>
        </w:rPr>
      </w:pPr>
      <w:r>
        <w:rPr>
          <w:rFonts w:ascii="Times New Roman" w:hAnsi="Times New Roman" w:eastAsia="宋体" w:cs="Times New Roman"/>
          <w:b/>
          <w:bCs/>
          <w:sz w:val="24"/>
          <w:lang w:val="en-US" w:eastAsia="zh-CN"/>
        </w:rPr>
        <w:t xml:space="preserve">Supplementary </w:t>
      </w:r>
      <w:r>
        <w:rPr>
          <w:rFonts w:hint="eastAsia" w:ascii="Times New Roman" w:hAnsi="Times New Roman" w:eastAsia="宋体" w:cs="Times New Roman"/>
          <w:b/>
          <w:bCs/>
          <w:sz w:val="24"/>
          <w:lang w:val="en-US" w:eastAsia="zh-CN"/>
        </w:rPr>
        <w:t>File</w:t>
      </w:r>
      <w:r>
        <w:rPr>
          <w:rFonts w:ascii="Times New Roman" w:hAnsi="Times New Roman" w:eastAsia="宋体" w:cs="Times New Roman"/>
          <w:b/>
          <w:bCs/>
          <w:sz w:val="24"/>
          <w:lang w:val="en-US" w:eastAsia="zh-CN"/>
        </w:rPr>
        <w:t xml:space="preserve"> 1</w:t>
      </w:r>
      <w:r>
        <w:rPr>
          <w:rFonts w:hint="eastAsia" w:ascii="Times New Roman" w:hAnsi="Times New Roman" w:eastAsia="宋体" w:cs="Times New Roman"/>
          <w:b/>
          <w:bCs/>
          <w:sz w:val="24"/>
          <w:lang w:val="en-US" w:eastAsia="zh-CN"/>
        </w:rPr>
        <w:t xml:space="preserve">: </w:t>
      </w:r>
      <w:r>
        <w:rPr>
          <w:rFonts w:ascii="Times New Roman" w:hAnsi="Times New Roman" w:eastAsia="宋体" w:cs="Times New Roman"/>
          <w:b w:val="0"/>
          <w:bCs w:val="0"/>
          <w:kern w:val="2"/>
          <w:sz w:val="24"/>
          <w:szCs w:val="24"/>
          <w:lang w:val="en-US" w:eastAsia="zh-CN" w:bidi="ar-SA"/>
        </w:rPr>
        <w:t>STROBE Statement—checklist of items that should be included in reports of observational studies</w:t>
      </w:r>
    </w:p>
    <w:p w14:paraId="1A7C51B6">
      <w:pPr>
        <w:pStyle w:val="7"/>
        <w:rPr>
          <w:rFonts w:ascii="Times New Roman" w:hAnsi="Times New Roman" w:eastAsia="宋体" w:cs="Times New Roman"/>
          <w:b w:val="0"/>
          <w:bCs w:val="0"/>
          <w:kern w:val="2"/>
          <w:sz w:val="24"/>
          <w:szCs w:val="24"/>
          <w:lang w:val="en-US" w:eastAsia="zh-CN" w:bidi="ar-SA"/>
        </w:rPr>
      </w:pPr>
    </w:p>
    <w:p w14:paraId="7FABAE07">
      <w:pPr>
        <w:adjustRightInd w:val="0"/>
        <w:snapToGrid w:val="0"/>
        <w:spacing w:line="240" w:lineRule="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 xml:space="preserve"> </w:t>
      </w:r>
    </w:p>
    <w:tbl>
      <w:tblPr>
        <w:tblStyle w:val="4"/>
        <w:tblpPr w:leftFromText="180" w:rightFromText="180" w:vertAnchor="text" w:horzAnchor="page" w:tblpX="2281" w:tblpY="623"/>
        <w:tblOverlap w:val="never"/>
        <w:tblW w:w="4999"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979"/>
        <w:gridCol w:w="600"/>
        <w:gridCol w:w="1942"/>
        <w:gridCol w:w="611"/>
        <w:gridCol w:w="3388"/>
      </w:tblGrid>
      <w:tr w14:paraId="4BE2222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35D8340F">
            <w:pPr>
              <w:tabs>
                <w:tab w:val="left" w:pos="5400"/>
              </w:tabs>
              <w:rPr>
                <w:sz w:val="20"/>
              </w:rPr>
            </w:pPr>
            <w:bookmarkStart w:id="0" w:name="italic2" w:colFirst="1" w:colLast="1"/>
            <w:bookmarkStart w:id="1" w:name="bold3" w:colFirst="3" w:colLast="3"/>
            <w:bookmarkStart w:id="2" w:name="italic1" w:colFirst="0" w:colLast="0"/>
            <w:bookmarkStart w:id="3" w:name="bold2" w:colFirst="2" w:colLast="2"/>
            <w:bookmarkStart w:id="4" w:name="italic3" w:colFirst="2" w:colLast="2"/>
            <w:bookmarkStart w:id="5" w:name="bold1" w:colFirst="1" w:colLast="1"/>
            <w:bookmarkStart w:id="6" w:name="italic4" w:colFirst="3" w:colLast="3"/>
            <w:bookmarkStart w:id="7" w:name="italic5" w:colFirst="4" w:colLast="4"/>
            <w:bookmarkStart w:id="8" w:name="bold4" w:colFirst="4" w:colLast="4"/>
          </w:p>
        </w:tc>
        <w:tc>
          <w:tcPr>
            <w:tcW w:w="206" w:type="pct"/>
          </w:tcPr>
          <w:p w14:paraId="1D8109AB">
            <w:pPr>
              <w:pStyle w:val="8"/>
              <w:tabs>
                <w:tab w:val="left" w:pos="5400"/>
              </w:tabs>
              <w:jc w:val="center"/>
              <w:rPr>
                <w:bCs/>
                <w:sz w:val="20"/>
              </w:rPr>
            </w:pPr>
            <w:r>
              <w:rPr>
                <w:bCs/>
                <w:sz w:val="20"/>
              </w:rPr>
              <w:t>Item No.</w:t>
            </w:r>
          </w:p>
        </w:tc>
        <w:tc>
          <w:tcPr>
            <w:tcW w:w="2564" w:type="pct"/>
            <w:vAlign w:val="bottom"/>
          </w:tcPr>
          <w:p w14:paraId="735DC382">
            <w:pPr>
              <w:pStyle w:val="8"/>
              <w:tabs>
                <w:tab w:val="left" w:pos="5400"/>
              </w:tabs>
              <w:jc w:val="center"/>
              <w:rPr>
                <w:bCs/>
                <w:sz w:val="20"/>
              </w:rPr>
            </w:pPr>
            <w:r>
              <w:rPr>
                <w:bCs/>
                <w:sz w:val="20"/>
              </w:rPr>
              <w:t>Recommendation</w:t>
            </w:r>
          </w:p>
        </w:tc>
        <w:tc>
          <w:tcPr>
            <w:tcW w:w="295" w:type="pct"/>
          </w:tcPr>
          <w:p w14:paraId="71FF1F98">
            <w:pPr>
              <w:pStyle w:val="8"/>
              <w:tabs>
                <w:tab w:val="left" w:pos="5400"/>
              </w:tabs>
              <w:jc w:val="center"/>
              <w:rPr>
                <w:bCs/>
                <w:sz w:val="20"/>
              </w:rPr>
            </w:pPr>
            <w:r>
              <w:rPr>
                <w:bCs/>
                <w:sz w:val="20"/>
              </w:rPr>
              <w:t xml:space="preserve">Page </w:t>
            </w:r>
            <w:r>
              <w:rPr>
                <w:bCs/>
                <w:sz w:val="20"/>
              </w:rPr>
              <w:br w:type="textWrapping"/>
            </w:r>
            <w:r>
              <w:rPr>
                <w:bCs/>
                <w:sz w:val="20"/>
              </w:rPr>
              <w:t>No.</w:t>
            </w:r>
          </w:p>
        </w:tc>
        <w:tc>
          <w:tcPr>
            <w:tcW w:w="1280" w:type="pct"/>
          </w:tcPr>
          <w:p w14:paraId="3956C6A9">
            <w:pPr>
              <w:pStyle w:val="8"/>
              <w:tabs>
                <w:tab w:val="left" w:pos="5400"/>
              </w:tabs>
              <w:jc w:val="center"/>
              <w:rPr>
                <w:bCs/>
                <w:sz w:val="20"/>
              </w:rPr>
            </w:pPr>
            <w:r>
              <w:rPr>
                <w:bCs/>
                <w:sz w:val="20"/>
              </w:rPr>
              <w:t>Relevant text from manuscript</w:t>
            </w:r>
          </w:p>
        </w:tc>
      </w:tr>
      <w:bookmarkEnd w:id="0"/>
      <w:bookmarkEnd w:id="1"/>
      <w:bookmarkEnd w:id="2"/>
      <w:bookmarkEnd w:id="3"/>
      <w:bookmarkEnd w:id="4"/>
      <w:bookmarkEnd w:id="5"/>
      <w:bookmarkEnd w:id="6"/>
      <w:bookmarkEnd w:id="7"/>
      <w:bookmarkEnd w:id="8"/>
      <w:tr w14:paraId="42129DB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vMerge w:val="restart"/>
          </w:tcPr>
          <w:p w14:paraId="6C76DB1B">
            <w:pPr>
              <w:tabs>
                <w:tab w:val="left" w:pos="5400"/>
              </w:tabs>
              <w:rPr>
                <w:b/>
                <w:bCs/>
                <w:sz w:val="20"/>
              </w:rPr>
            </w:pPr>
            <w:bookmarkStart w:id="9" w:name="bold5"/>
            <w:bookmarkStart w:id="10" w:name="italic6"/>
            <w:r>
              <w:rPr>
                <w:b/>
                <w:sz w:val="20"/>
              </w:rPr>
              <w:t>Title and abstract</w:t>
            </w:r>
            <w:bookmarkEnd w:id="9"/>
            <w:bookmarkEnd w:id="10"/>
          </w:p>
        </w:tc>
        <w:tc>
          <w:tcPr>
            <w:tcW w:w="206" w:type="pct"/>
            <w:vMerge w:val="restart"/>
          </w:tcPr>
          <w:p w14:paraId="045B85CB">
            <w:pPr>
              <w:tabs>
                <w:tab w:val="left" w:pos="5400"/>
              </w:tabs>
              <w:jc w:val="center"/>
              <w:rPr>
                <w:sz w:val="20"/>
              </w:rPr>
            </w:pPr>
            <w:r>
              <w:rPr>
                <w:sz w:val="20"/>
              </w:rPr>
              <w:t>1</w:t>
            </w:r>
          </w:p>
        </w:tc>
        <w:tc>
          <w:tcPr>
            <w:tcW w:w="2564" w:type="pct"/>
          </w:tcPr>
          <w:p w14:paraId="3C81F02F">
            <w:pPr>
              <w:tabs>
                <w:tab w:val="left" w:pos="5400"/>
              </w:tabs>
              <w:rPr>
                <w:sz w:val="20"/>
              </w:rPr>
            </w:pPr>
            <w:r>
              <w:rPr>
                <w:sz w:val="20"/>
              </w:rPr>
              <w:t>(</w:t>
            </w:r>
            <w:r>
              <w:rPr>
                <w:i/>
                <w:sz w:val="20"/>
              </w:rPr>
              <w:t>a</w:t>
            </w:r>
            <w:r>
              <w:rPr>
                <w:sz w:val="20"/>
              </w:rPr>
              <w:t>) Indicate the study’s design with a commonly used term in the title or the abstract</w:t>
            </w:r>
          </w:p>
        </w:tc>
        <w:tc>
          <w:tcPr>
            <w:tcW w:w="295" w:type="pct"/>
          </w:tcPr>
          <w:p w14:paraId="7412CCB3">
            <w:pPr>
              <w:tabs>
                <w:tab w:val="left" w:pos="5400"/>
              </w:tabs>
              <w:rPr>
                <w:sz w:val="20"/>
              </w:rPr>
            </w:pPr>
            <w:r>
              <w:rPr>
                <w:rFonts w:hint="eastAsia"/>
                <w:lang w:eastAsia="zh-CN"/>
              </w:rPr>
              <w:t>1</w:t>
            </w:r>
            <w:r>
              <w:rPr>
                <w:lang w:eastAsia="zh-CN"/>
              </w:rPr>
              <w:t>-2</w:t>
            </w:r>
          </w:p>
        </w:tc>
        <w:tc>
          <w:tcPr>
            <w:tcW w:w="1280" w:type="pct"/>
          </w:tcPr>
          <w:p w14:paraId="4A31226F">
            <w:pPr>
              <w:tabs>
                <w:tab w:val="left" w:pos="5400"/>
              </w:tabs>
              <w:rPr>
                <w:sz w:val="20"/>
              </w:rPr>
            </w:pPr>
            <w:r>
              <w:rPr>
                <w:rFonts w:ascii="Times New Roman" w:hAnsi="Times New Roman" w:eastAsia="宋体" w:cs="Times New Roman"/>
                <w:sz w:val="24"/>
              </w:rPr>
              <w:t>LASSO</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 xml:space="preserve">and  logistic regression </w:t>
            </w:r>
          </w:p>
        </w:tc>
      </w:tr>
      <w:tr w14:paraId="4A33D91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vMerge w:val="continue"/>
          </w:tcPr>
          <w:p w14:paraId="40AA9D50">
            <w:pPr>
              <w:tabs>
                <w:tab w:val="left" w:pos="5400"/>
              </w:tabs>
              <w:rPr>
                <w:bCs/>
                <w:sz w:val="20"/>
              </w:rPr>
            </w:pPr>
            <w:bookmarkStart w:id="11" w:name="bold6" w:colFirst="0" w:colLast="0"/>
            <w:bookmarkStart w:id="12" w:name="italic7" w:colFirst="0" w:colLast="0"/>
          </w:p>
        </w:tc>
        <w:tc>
          <w:tcPr>
            <w:tcW w:w="206" w:type="pct"/>
            <w:vMerge w:val="continue"/>
          </w:tcPr>
          <w:p w14:paraId="19AD3F40">
            <w:pPr>
              <w:tabs>
                <w:tab w:val="left" w:pos="5400"/>
              </w:tabs>
              <w:jc w:val="center"/>
              <w:rPr>
                <w:sz w:val="20"/>
              </w:rPr>
            </w:pPr>
          </w:p>
        </w:tc>
        <w:tc>
          <w:tcPr>
            <w:tcW w:w="2564" w:type="pct"/>
          </w:tcPr>
          <w:p w14:paraId="38E26AAB">
            <w:pPr>
              <w:tabs>
                <w:tab w:val="left" w:pos="5400"/>
              </w:tabs>
              <w:rPr>
                <w:sz w:val="20"/>
              </w:rPr>
            </w:pPr>
            <w:r>
              <w:rPr>
                <w:sz w:val="20"/>
              </w:rPr>
              <w:t>(</w:t>
            </w:r>
            <w:r>
              <w:rPr>
                <w:i/>
                <w:sz w:val="20"/>
              </w:rPr>
              <w:t>b</w:t>
            </w:r>
            <w:r>
              <w:rPr>
                <w:sz w:val="20"/>
              </w:rPr>
              <w:t>) Provide in the abstract an informative and balanced summary of what was done and what was found</w:t>
            </w:r>
          </w:p>
        </w:tc>
        <w:tc>
          <w:tcPr>
            <w:tcW w:w="295" w:type="pct"/>
          </w:tcPr>
          <w:p w14:paraId="494F16AA">
            <w:pPr>
              <w:tabs>
                <w:tab w:val="left" w:pos="5400"/>
              </w:tabs>
              <w:rPr>
                <w:sz w:val="20"/>
              </w:rPr>
            </w:pPr>
            <w:r>
              <w:rPr>
                <w:rFonts w:hint="eastAsia"/>
                <w:lang w:eastAsia="zh-CN"/>
              </w:rPr>
              <w:t>1</w:t>
            </w:r>
            <w:r>
              <w:rPr>
                <w:lang w:eastAsia="zh-CN"/>
              </w:rPr>
              <w:t>-2</w:t>
            </w:r>
          </w:p>
        </w:tc>
        <w:tc>
          <w:tcPr>
            <w:tcW w:w="1280" w:type="pct"/>
          </w:tcPr>
          <w:p w14:paraId="60D04F69">
            <w:pPr>
              <w:tabs>
                <w:tab w:val="left" w:pos="5400"/>
              </w:tabs>
              <w:rPr>
                <w:sz w:val="20"/>
              </w:rPr>
            </w:pPr>
            <w:r>
              <w:rPr>
                <w:rFonts w:ascii="Times New Roman" w:hAnsi="Times New Roman" w:eastAsia="宋体" w:cs="Times New Roman"/>
                <w:sz w:val="24"/>
              </w:rPr>
              <w:t>Ventricular Arrhythmias</w:t>
            </w:r>
          </w:p>
        </w:tc>
      </w:tr>
      <w:bookmarkEnd w:id="11"/>
      <w:bookmarkEnd w:id="12"/>
      <w:tr w14:paraId="6F8A05D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719" w:type="pct"/>
            <w:gridSpan w:val="4"/>
          </w:tcPr>
          <w:p w14:paraId="3B3482ED">
            <w:pPr>
              <w:pStyle w:val="10"/>
              <w:tabs>
                <w:tab w:val="left" w:pos="5400"/>
              </w:tabs>
              <w:rPr>
                <w:sz w:val="20"/>
              </w:rPr>
            </w:pPr>
            <w:bookmarkStart w:id="13" w:name="italic8"/>
            <w:bookmarkStart w:id="14" w:name="bold7"/>
            <w:r>
              <w:rPr>
                <w:sz w:val="20"/>
              </w:rPr>
              <w:t>Introduction</w:t>
            </w:r>
          </w:p>
          <w:bookmarkEnd w:id="13"/>
          <w:bookmarkEnd w:id="14"/>
        </w:tc>
        <w:tc>
          <w:tcPr>
            <w:tcW w:w="1280" w:type="pct"/>
          </w:tcPr>
          <w:p w14:paraId="6990DB47">
            <w:pPr>
              <w:pStyle w:val="10"/>
              <w:tabs>
                <w:tab w:val="left" w:pos="5400"/>
              </w:tabs>
              <w:rPr>
                <w:sz w:val="20"/>
              </w:rPr>
            </w:pPr>
          </w:p>
        </w:tc>
      </w:tr>
      <w:tr w14:paraId="2DF192E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313674F6">
            <w:pPr>
              <w:tabs>
                <w:tab w:val="left" w:pos="5400"/>
              </w:tabs>
              <w:rPr>
                <w:bCs/>
                <w:sz w:val="20"/>
              </w:rPr>
            </w:pPr>
            <w:bookmarkStart w:id="15" w:name="bold8"/>
            <w:bookmarkStart w:id="16" w:name="italic9"/>
            <w:r>
              <w:rPr>
                <w:bCs/>
                <w:sz w:val="20"/>
              </w:rPr>
              <w:t>Background/</w:t>
            </w:r>
            <w:bookmarkEnd w:id="15"/>
            <w:bookmarkEnd w:id="16"/>
            <w:bookmarkStart w:id="17" w:name="bold9"/>
            <w:bookmarkStart w:id="18" w:name="italic10"/>
            <w:r>
              <w:rPr>
                <w:bCs/>
                <w:sz w:val="20"/>
              </w:rPr>
              <w:t>rationale</w:t>
            </w:r>
            <w:bookmarkEnd w:id="17"/>
            <w:bookmarkEnd w:id="18"/>
          </w:p>
        </w:tc>
        <w:tc>
          <w:tcPr>
            <w:tcW w:w="206" w:type="pct"/>
          </w:tcPr>
          <w:p w14:paraId="0A5AFE17">
            <w:pPr>
              <w:tabs>
                <w:tab w:val="left" w:pos="5400"/>
              </w:tabs>
              <w:jc w:val="center"/>
              <w:rPr>
                <w:sz w:val="20"/>
              </w:rPr>
            </w:pPr>
            <w:r>
              <w:rPr>
                <w:sz w:val="20"/>
              </w:rPr>
              <w:t>2</w:t>
            </w:r>
          </w:p>
        </w:tc>
        <w:tc>
          <w:tcPr>
            <w:tcW w:w="2564" w:type="pct"/>
          </w:tcPr>
          <w:p w14:paraId="0E1030C0">
            <w:pPr>
              <w:tabs>
                <w:tab w:val="left" w:pos="5400"/>
              </w:tabs>
              <w:rPr>
                <w:sz w:val="20"/>
              </w:rPr>
            </w:pPr>
            <w:r>
              <w:rPr>
                <w:sz w:val="20"/>
              </w:rPr>
              <w:t>Explain the scientific background and rationale for the investigation being reported</w:t>
            </w:r>
          </w:p>
        </w:tc>
        <w:tc>
          <w:tcPr>
            <w:tcW w:w="295" w:type="pct"/>
          </w:tcPr>
          <w:p w14:paraId="610EBCA1">
            <w:pPr>
              <w:tabs>
                <w:tab w:val="left" w:pos="5400"/>
              </w:tabs>
              <w:rPr>
                <w:rFonts w:hint="eastAsia" w:eastAsia="宋体"/>
                <w:sz w:val="20"/>
                <w:lang w:val="en-US" w:eastAsia="zh-CN"/>
              </w:rPr>
            </w:pPr>
            <w:r>
              <w:rPr>
                <w:rFonts w:hint="eastAsia" w:eastAsia="宋体"/>
                <w:sz w:val="20"/>
                <w:lang w:val="en-US" w:eastAsia="zh-CN"/>
              </w:rPr>
              <w:t>3</w:t>
            </w:r>
          </w:p>
        </w:tc>
        <w:tc>
          <w:tcPr>
            <w:tcW w:w="1280" w:type="pct"/>
          </w:tcPr>
          <w:p w14:paraId="419B95BC">
            <w:pPr>
              <w:tabs>
                <w:tab w:val="left" w:pos="5400"/>
              </w:tabs>
              <w:rPr>
                <w:rFonts w:ascii="Times New Roman" w:hAnsi="Times New Roman" w:eastAsia="宋体" w:cs="Times New Roman"/>
                <w:sz w:val="24"/>
              </w:rPr>
            </w:pPr>
            <w:r>
              <w:rPr>
                <w:rFonts w:ascii="Times New Roman" w:hAnsi="Times New Roman" w:eastAsia="宋体" w:cs="Times New Roman"/>
                <w:sz w:val="24"/>
              </w:rPr>
              <w:t xml:space="preserve"> Ventricular Arrhythmias, some of the most severe complications post-ABG, are a leading cause of sudden cardiac death. </w:t>
            </w:r>
          </w:p>
          <w:p w14:paraId="1352865F">
            <w:pPr>
              <w:tabs>
                <w:tab w:val="left" w:pos="5400"/>
              </w:tabs>
              <w:rPr>
                <w:sz w:val="20"/>
              </w:rPr>
            </w:pPr>
          </w:p>
        </w:tc>
      </w:tr>
      <w:tr w14:paraId="455B3A6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0AC7D83E">
            <w:pPr>
              <w:tabs>
                <w:tab w:val="left" w:pos="5400"/>
              </w:tabs>
              <w:rPr>
                <w:bCs/>
                <w:sz w:val="20"/>
              </w:rPr>
            </w:pPr>
            <w:bookmarkStart w:id="19" w:name="bold10" w:colFirst="0" w:colLast="0"/>
            <w:bookmarkStart w:id="20" w:name="italic11" w:colFirst="0" w:colLast="0"/>
            <w:r>
              <w:rPr>
                <w:bCs/>
                <w:sz w:val="20"/>
              </w:rPr>
              <w:t>Objectives</w:t>
            </w:r>
          </w:p>
        </w:tc>
        <w:tc>
          <w:tcPr>
            <w:tcW w:w="206" w:type="pct"/>
          </w:tcPr>
          <w:p w14:paraId="479E11B8">
            <w:pPr>
              <w:tabs>
                <w:tab w:val="left" w:pos="5400"/>
              </w:tabs>
              <w:jc w:val="center"/>
              <w:rPr>
                <w:sz w:val="20"/>
              </w:rPr>
            </w:pPr>
            <w:r>
              <w:rPr>
                <w:sz w:val="20"/>
              </w:rPr>
              <w:t>3</w:t>
            </w:r>
          </w:p>
        </w:tc>
        <w:tc>
          <w:tcPr>
            <w:tcW w:w="2564" w:type="pct"/>
          </w:tcPr>
          <w:p w14:paraId="4252E0DF">
            <w:pPr>
              <w:tabs>
                <w:tab w:val="left" w:pos="5400"/>
              </w:tabs>
              <w:rPr>
                <w:sz w:val="20"/>
              </w:rPr>
            </w:pPr>
            <w:r>
              <w:rPr>
                <w:sz w:val="20"/>
              </w:rPr>
              <w:t>State specific objectives, including any prespecified hypotheses</w:t>
            </w:r>
          </w:p>
        </w:tc>
        <w:tc>
          <w:tcPr>
            <w:tcW w:w="295" w:type="pct"/>
          </w:tcPr>
          <w:p w14:paraId="1FA385A5">
            <w:pPr>
              <w:tabs>
                <w:tab w:val="left" w:pos="5400"/>
              </w:tabs>
              <w:rPr>
                <w:rFonts w:hint="eastAsia" w:eastAsia="宋体"/>
                <w:sz w:val="20"/>
                <w:lang w:val="en-US" w:eastAsia="zh-CN"/>
              </w:rPr>
            </w:pPr>
            <w:r>
              <w:rPr>
                <w:rFonts w:hint="eastAsia" w:eastAsia="宋体"/>
                <w:sz w:val="20"/>
                <w:lang w:val="en-US" w:eastAsia="zh-CN"/>
              </w:rPr>
              <w:t>3</w:t>
            </w:r>
          </w:p>
        </w:tc>
        <w:tc>
          <w:tcPr>
            <w:tcW w:w="1280" w:type="pct"/>
          </w:tcPr>
          <w:p w14:paraId="2CB2B74E">
            <w:pPr>
              <w:tabs>
                <w:tab w:val="left" w:pos="5400"/>
              </w:tabs>
              <w:rPr>
                <w:rFonts w:ascii="Times New Roman" w:hAnsi="Times New Roman" w:eastAsia="宋体" w:cs="Times New Roman"/>
                <w:sz w:val="24"/>
              </w:rPr>
            </w:pPr>
            <w:r>
              <w:rPr>
                <w:rFonts w:ascii="Times New Roman" w:hAnsi="Times New Roman" w:eastAsia="宋体" w:cs="Times New Roman"/>
                <w:sz w:val="24"/>
              </w:rPr>
              <w:t>Herein, we aimed to develop a prediction model to assess the risk of VA in patients post-CABG to aid clinicians in implementing proactive preventive and therapeutic measures for reducing in-hospital mortality and improving patient outcomes.</w:t>
            </w:r>
          </w:p>
          <w:p w14:paraId="7ABD51FD">
            <w:pPr>
              <w:tabs>
                <w:tab w:val="left" w:pos="5400"/>
              </w:tabs>
              <w:rPr>
                <w:sz w:val="20"/>
              </w:rPr>
            </w:pPr>
          </w:p>
        </w:tc>
      </w:tr>
      <w:bookmarkEnd w:id="19"/>
      <w:bookmarkEnd w:id="20"/>
      <w:tr w14:paraId="01605F5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719" w:type="pct"/>
            <w:gridSpan w:val="4"/>
          </w:tcPr>
          <w:p w14:paraId="080C06AE">
            <w:pPr>
              <w:pStyle w:val="10"/>
              <w:tabs>
                <w:tab w:val="left" w:pos="5400"/>
              </w:tabs>
              <w:rPr>
                <w:sz w:val="20"/>
              </w:rPr>
            </w:pPr>
            <w:bookmarkStart w:id="21" w:name="bold11"/>
            <w:bookmarkStart w:id="22" w:name="italic12"/>
            <w:r>
              <w:rPr>
                <w:sz w:val="20"/>
              </w:rPr>
              <w:t>Methods</w:t>
            </w:r>
          </w:p>
          <w:bookmarkEnd w:id="21"/>
          <w:bookmarkEnd w:id="22"/>
        </w:tc>
        <w:tc>
          <w:tcPr>
            <w:tcW w:w="1280" w:type="pct"/>
          </w:tcPr>
          <w:p w14:paraId="3322DEC5">
            <w:pPr>
              <w:pStyle w:val="10"/>
              <w:tabs>
                <w:tab w:val="left" w:pos="5400"/>
              </w:tabs>
              <w:rPr>
                <w:sz w:val="20"/>
              </w:rPr>
            </w:pPr>
          </w:p>
        </w:tc>
      </w:tr>
      <w:tr w14:paraId="70E9716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149C42C8">
            <w:pPr>
              <w:tabs>
                <w:tab w:val="left" w:pos="5400"/>
              </w:tabs>
              <w:rPr>
                <w:bCs/>
                <w:sz w:val="20"/>
              </w:rPr>
            </w:pPr>
            <w:bookmarkStart w:id="23" w:name="bold12" w:colFirst="0" w:colLast="0"/>
            <w:bookmarkStart w:id="24" w:name="italic13" w:colFirst="0" w:colLast="0"/>
            <w:r>
              <w:rPr>
                <w:bCs/>
                <w:sz w:val="20"/>
              </w:rPr>
              <w:t>Study design</w:t>
            </w:r>
          </w:p>
        </w:tc>
        <w:tc>
          <w:tcPr>
            <w:tcW w:w="206" w:type="pct"/>
          </w:tcPr>
          <w:p w14:paraId="74C1D528">
            <w:pPr>
              <w:tabs>
                <w:tab w:val="left" w:pos="5400"/>
              </w:tabs>
              <w:jc w:val="center"/>
              <w:rPr>
                <w:sz w:val="20"/>
              </w:rPr>
            </w:pPr>
            <w:r>
              <w:rPr>
                <w:sz w:val="20"/>
              </w:rPr>
              <w:t>4</w:t>
            </w:r>
          </w:p>
        </w:tc>
        <w:tc>
          <w:tcPr>
            <w:tcW w:w="2564" w:type="pct"/>
          </w:tcPr>
          <w:p w14:paraId="24F978FA">
            <w:pPr>
              <w:tabs>
                <w:tab w:val="left" w:pos="5400"/>
              </w:tabs>
              <w:rPr>
                <w:sz w:val="20"/>
              </w:rPr>
            </w:pPr>
            <w:r>
              <w:rPr>
                <w:sz w:val="20"/>
              </w:rPr>
              <w:t>Present key elements of study design early in the paper</w:t>
            </w:r>
          </w:p>
        </w:tc>
        <w:tc>
          <w:tcPr>
            <w:tcW w:w="295" w:type="pct"/>
          </w:tcPr>
          <w:p w14:paraId="5D45B4E2">
            <w:pPr>
              <w:tabs>
                <w:tab w:val="left" w:pos="5400"/>
              </w:tabs>
              <w:rPr>
                <w:rFonts w:hint="default" w:eastAsia="宋体"/>
                <w:sz w:val="20"/>
                <w:lang w:val="en-US" w:eastAsia="zh-CN"/>
              </w:rPr>
            </w:pPr>
            <w:r>
              <w:rPr>
                <w:rFonts w:hint="eastAsia" w:eastAsia="宋体"/>
                <w:sz w:val="20"/>
                <w:lang w:val="en-US" w:eastAsia="zh-CN"/>
              </w:rPr>
              <w:t>3-4</w:t>
            </w:r>
          </w:p>
        </w:tc>
        <w:tc>
          <w:tcPr>
            <w:tcW w:w="1280" w:type="pct"/>
          </w:tcPr>
          <w:p w14:paraId="5A73D346">
            <w:pPr>
              <w:tabs>
                <w:tab w:val="left" w:pos="5400"/>
              </w:tabs>
              <w:rPr>
                <w:rFonts w:ascii="Times New Roman" w:hAnsi="Times New Roman" w:eastAsia="宋体" w:cs="Times New Roman"/>
                <w:sz w:val="24"/>
              </w:rPr>
            </w:pPr>
            <w:r>
              <w:rPr>
                <w:rFonts w:ascii="Times New Roman" w:hAnsi="Times New Roman" w:eastAsia="宋体" w:cs="Times New Roman"/>
                <w:sz w:val="24"/>
              </w:rPr>
              <w:t>Data used herein were extracted from the publicly available Medical Information Mart for Intensive Care (MIMIC-IV version 2.2) database.  Notably, since this study involved the analysis of a third-party anonymized public database, Institutional Review Board (IRB) approval was exempted.</w:t>
            </w:r>
          </w:p>
          <w:p w14:paraId="0862D058">
            <w:pPr>
              <w:tabs>
                <w:tab w:val="left" w:pos="5400"/>
              </w:tabs>
              <w:rPr>
                <w:sz w:val="20"/>
              </w:rPr>
            </w:pPr>
          </w:p>
        </w:tc>
      </w:tr>
      <w:bookmarkEnd w:id="23"/>
      <w:bookmarkEnd w:id="24"/>
      <w:tr w14:paraId="0E9F267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3247D5E1">
            <w:pPr>
              <w:tabs>
                <w:tab w:val="left" w:pos="5400"/>
              </w:tabs>
              <w:rPr>
                <w:bCs/>
                <w:sz w:val="20"/>
              </w:rPr>
            </w:pPr>
            <w:bookmarkStart w:id="25" w:name="italic14" w:colFirst="0" w:colLast="0"/>
            <w:bookmarkStart w:id="26" w:name="bold13" w:colFirst="0" w:colLast="0"/>
            <w:r>
              <w:rPr>
                <w:bCs/>
                <w:sz w:val="20"/>
              </w:rPr>
              <w:t>Setting</w:t>
            </w:r>
          </w:p>
        </w:tc>
        <w:tc>
          <w:tcPr>
            <w:tcW w:w="206" w:type="pct"/>
          </w:tcPr>
          <w:p w14:paraId="0302FF5D">
            <w:pPr>
              <w:tabs>
                <w:tab w:val="left" w:pos="5400"/>
              </w:tabs>
              <w:jc w:val="center"/>
              <w:rPr>
                <w:sz w:val="20"/>
              </w:rPr>
            </w:pPr>
            <w:r>
              <w:rPr>
                <w:sz w:val="20"/>
              </w:rPr>
              <w:t>5</w:t>
            </w:r>
          </w:p>
        </w:tc>
        <w:tc>
          <w:tcPr>
            <w:tcW w:w="2564" w:type="pct"/>
          </w:tcPr>
          <w:p w14:paraId="6AEAD72F">
            <w:pPr>
              <w:tabs>
                <w:tab w:val="left" w:pos="5400"/>
              </w:tabs>
              <w:rPr>
                <w:sz w:val="20"/>
              </w:rPr>
            </w:pPr>
            <w:r>
              <w:rPr>
                <w:sz w:val="20"/>
              </w:rPr>
              <w:t>Describe the setting, locations, and relevant dates, including periods of recruitment, exposure, follow-up, and data collection</w:t>
            </w:r>
          </w:p>
        </w:tc>
        <w:tc>
          <w:tcPr>
            <w:tcW w:w="295" w:type="pct"/>
          </w:tcPr>
          <w:p w14:paraId="34C2C9CB">
            <w:pPr>
              <w:tabs>
                <w:tab w:val="left" w:pos="5400"/>
              </w:tabs>
              <w:rPr>
                <w:rFonts w:hint="eastAsia" w:eastAsia="宋体"/>
                <w:sz w:val="20"/>
                <w:lang w:val="en-US" w:eastAsia="zh-CN"/>
              </w:rPr>
            </w:pPr>
            <w:r>
              <w:rPr>
                <w:rFonts w:hint="eastAsia" w:eastAsia="宋体"/>
                <w:sz w:val="20"/>
                <w:lang w:val="en-US" w:eastAsia="zh-CN"/>
              </w:rPr>
              <w:t>4</w:t>
            </w:r>
          </w:p>
        </w:tc>
        <w:tc>
          <w:tcPr>
            <w:tcW w:w="1280" w:type="pct"/>
          </w:tcPr>
          <w:p w14:paraId="1D85991E">
            <w:pPr>
              <w:tabs>
                <w:tab w:val="left" w:pos="5400"/>
              </w:tabs>
              <w:rPr>
                <w:sz w:val="20"/>
              </w:rPr>
            </w:pPr>
            <w:r>
              <w:rPr>
                <w:rFonts w:ascii="Times New Roman" w:hAnsi="Times New Roman" w:eastAsia="宋体" w:cs="Times New Roman"/>
                <w:sz w:val="24"/>
              </w:rPr>
              <w:t xml:space="preserve">Data used herein were extracted from the publicly available Medical Information Mart for Intensive Care (MIMIC-IV version 2.2) database. This retrospective study involved the analysis of the clinical data of CAD patients who underwent CABG during their hospital stay. </w:t>
            </w:r>
          </w:p>
        </w:tc>
      </w:tr>
      <w:bookmarkEnd w:id="25"/>
      <w:bookmarkEnd w:id="26"/>
      <w:tr w14:paraId="22CC30B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vMerge w:val="restart"/>
          </w:tcPr>
          <w:p w14:paraId="18CAB936">
            <w:pPr>
              <w:tabs>
                <w:tab w:val="left" w:pos="5400"/>
              </w:tabs>
              <w:rPr>
                <w:bCs/>
                <w:sz w:val="20"/>
              </w:rPr>
            </w:pPr>
            <w:r>
              <w:rPr>
                <w:bCs/>
                <w:sz w:val="20"/>
              </w:rPr>
              <w:t>Participants</w:t>
            </w:r>
          </w:p>
        </w:tc>
        <w:tc>
          <w:tcPr>
            <w:tcW w:w="206" w:type="pct"/>
            <w:vMerge w:val="restart"/>
          </w:tcPr>
          <w:p w14:paraId="2C06F0F7">
            <w:pPr>
              <w:tabs>
                <w:tab w:val="left" w:pos="5400"/>
              </w:tabs>
              <w:jc w:val="center"/>
              <w:rPr>
                <w:sz w:val="20"/>
              </w:rPr>
            </w:pPr>
            <w:r>
              <w:rPr>
                <w:sz w:val="20"/>
              </w:rPr>
              <w:t>6</w:t>
            </w:r>
          </w:p>
        </w:tc>
        <w:tc>
          <w:tcPr>
            <w:tcW w:w="2564" w:type="pct"/>
          </w:tcPr>
          <w:p w14:paraId="1088E621">
            <w:pPr>
              <w:tabs>
                <w:tab w:val="left" w:pos="5400"/>
              </w:tabs>
              <w:rPr>
                <w:sz w:val="20"/>
              </w:rPr>
            </w:pPr>
            <w:r>
              <w:rPr>
                <w:sz w:val="20"/>
              </w:rPr>
              <w:t>(</w:t>
            </w:r>
            <w:r>
              <w:rPr>
                <w:i/>
                <w:sz w:val="20"/>
              </w:rPr>
              <w:t>a</w:t>
            </w:r>
            <w:r>
              <w:rPr>
                <w:sz w:val="20"/>
              </w:rPr>
              <w:t xml:space="preserve">) </w:t>
            </w:r>
            <w:r>
              <w:rPr>
                <w:i/>
                <w:sz w:val="20"/>
              </w:rPr>
              <w:t>Cohort study</w:t>
            </w:r>
            <w:r>
              <w:rPr>
                <w:sz w:val="20"/>
              </w:rPr>
              <w:t>—Give the eligibility criteria, and the sources and methods of selection of participants. Describe methods of follow-up</w:t>
            </w:r>
          </w:p>
          <w:p w14:paraId="45ED2550">
            <w:pPr>
              <w:tabs>
                <w:tab w:val="left" w:pos="5400"/>
              </w:tabs>
              <w:rPr>
                <w:sz w:val="20"/>
              </w:rPr>
            </w:pPr>
            <w:r>
              <w:rPr>
                <w:i/>
                <w:sz w:val="20"/>
              </w:rPr>
              <w:t>Case-control study</w:t>
            </w:r>
            <w:r>
              <w:rPr>
                <w:sz w:val="20"/>
              </w:rPr>
              <w:t>—Give the eligibility criteria, and the sources and methods of case ascertainment and control selection. Give the rationale for the choice of cases and controls</w:t>
            </w:r>
          </w:p>
          <w:p w14:paraId="2518CF05">
            <w:pPr>
              <w:tabs>
                <w:tab w:val="left" w:pos="5400"/>
              </w:tabs>
              <w:rPr>
                <w:sz w:val="20"/>
              </w:rPr>
            </w:pPr>
            <w:r>
              <w:rPr>
                <w:i/>
                <w:sz w:val="20"/>
              </w:rPr>
              <w:t>Cross-sectional study</w:t>
            </w:r>
            <w:r>
              <w:rPr>
                <w:sz w:val="20"/>
              </w:rPr>
              <w:t>—Give the eligibility criteria, and the sources and methods of selection of participants</w:t>
            </w:r>
          </w:p>
        </w:tc>
        <w:tc>
          <w:tcPr>
            <w:tcW w:w="295" w:type="pct"/>
          </w:tcPr>
          <w:p w14:paraId="140508BE">
            <w:pPr>
              <w:tabs>
                <w:tab w:val="left" w:pos="5400"/>
              </w:tabs>
              <w:rPr>
                <w:rFonts w:hint="eastAsia" w:eastAsia="宋体"/>
                <w:sz w:val="20"/>
                <w:lang w:val="en-US" w:eastAsia="zh-CN"/>
              </w:rPr>
            </w:pPr>
            <w:r>
              <w:rPr>
                <w:rFonts w:hint="eastAsia" w:eastAsia="宋体"/>
                <w:sz w:val="20"/>
                <w:lang w:val="en-US" w:eastAsia="zh-CN"/>
              </w:rPr>
              <w:t>4</w:t>
            </w:r>
          </w:p>
        </w:tc>
        <w:tc>
          <w:tcPr>
            <w:tcW w:w="1280" w:type="pct"/>
          </w:tcPr>
          <w:p w14:paraId="4CC7F88B">
            <w:pPr>
              <w:tabs>
                <w:tab w:val="left" w:pos="5400"/>
              </w:tabs>
              <w:rPr>
                <w:sz w:val="20"/>
              </w:rPr>
            </w:pPr>
            <w:r>
              <w:rPr>
                <w:rFonts w:ascii="Times New Roman" w:hAnsi="Times New Roman" w:eastAsia="宋体" w:cs="Times New Roman"/>
                <w:sz w:val="24"/>
              </w:rPr>
              <w:t>The exclusion criteria were as follows: (1) Patients with missing rhythm records; and (2)Patients with pre-existing VA before CABG. Notably, in the MIMIC-IV database, rhythm descriptions were recorded in the chartevents table.</w:t>
            </w:r>
          </w:p>
        </w:tc>
      </w:tr>
      <w:tr w14:paraId="4E9A786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vMerge w:val="continue"/>
          </w:tcPr>
          <w:p w14:paraId="37C7842B">
            <w:pPr>
              <w:tabs>
                <w:tab w:val="left" w:pos="5400"/>
              </w:tabs>
              <w:rPr>
                <w:bCs/>
                <w:sz w:val="20"/>
              </w:rPr>
            </w:pPr>
            <w:bookmarkStart w:id="27" w:name="italic15" w:colFirst="0" w:colLast="0"/>
            <w:bookmarkStart w:id="28" w:name="bold14" w:colFirst="0" w:colLast="0"/>
          </w:p>
        </w:tc>
        <w:tc>
          <w:tcPr>
            <w:tcW w:w="206" w:type="pct"/>
            <w:vMerge w:val="continue"/>
          </w:tcPr>
          <w:p w14:paraId="5A665EDC">
            <w:pPr>
              <w:tabs>
                <w:tab w:val="left" w:pos="5400"/>
              </w:tabs>
              <w:jc w:val="center"/>
              <w:rPr>
                <w:sz w:val="20"/>
              </w:rPr>
            </w:pPr>
          </w:p>
        </w:tc>
        <w:tc>
          <w:tcPr>
            <w:tcW w:w="2564" w:type="pct"/>
          </w:tcPr>
          <w:p w14:paraId="22A515E7">
            <w:pPr>
              <w:tabs>
                <w:tab w:val="left" w:pos="5400"/>
              </w:tabs>
              <w:rPr>
                <w:sz w:val="20"/>
              </w:rPr>
            </w:pPr>
            <w:r>
              <w:rPr>
                <w:sz w:val="20"/>
              </w:rPr>
              <w:t>(</w:t>
            </w:r>
            <w:r>
              <w:rPr>
                <w:i/>
                <w:sz w:val="20"/>
              </w:rPr>
              <w:t>b</w:t>
            </w:r>
            <w:r>
              <w:rPr>
                <w:sz w:val="20"/>
              </w:rPr>
              <w:t>)</w:t>
            </w:r>
            <w:r>
              <w:rPr>
                <w:b/>
                <w:bCs/>
                <w:sz w:val="20"/>
              </w:rPr>
              <w:t xml:space="preserve"> </w:t>
            </w:r>
            <w:r>
              <w:rPr>
                <w:bCs/>
                <w:i/>
                <w:sz w:val="20"/>
              </w:rPr>
              <w:t>Cohort study</w:t>
            </w:r>
            <w:r>
              <w:rPr>
                <w:sz w:val="20"/>
              </w:rPr>
              <w:t>—For matched studies, give matching criteria and number of exposed and unexposed</w:t>
            </w:r>
          </w:p>
          <w:p w14:paraId="6C5B5FA4">
            <w:pPr>
              <w:tabs>
                <w:tab w:val="left" w:pos="5400"/>
              </w:tabs>
              <w:rPr>
                <w:i/>
                <w:sz w:val="20"/>
              </w:rPr>
            </w:pPr>
            <w:r>
              <w:rPr>
                <w:bCs/>
                <w:i/>
                <w:sz w:val="20"/>
              </w:rPr>
              <w:t>Case-control study</w:t>
            </w:r>
            <w:r>
              <w:rPr>
                <w:sz w:val="20"/>
              </w:rPr>
              <w:t>—For matched studies, give matching criteria and the number of controls per case</w:t>
            </w:r>
          </w:p>
        </w:tc>
        <w:tc>
          <w:tcPr>
            <w:tcW w:w="295" w:type="pct"/>
          </w:tcPr>
          <w:p w14:paraId="2AA0F6FB">
            <w:pPr>
              <w:tabs>
                <w:tab w:val="left" w:pos="5400"/>
              </w:tabs>
              <w:rPr>
                <w:sz w:val="20"/>
              </w:rPr>
            </w:pPr>
          </w:p>
        </w:tc>
        <w:tc>
          <w:tcPr>
            <w:tcW w:w="1280" w:type="pct"/>
          </w:tcPr>
          <w:p w14:paraId="17FFD16B">
            <w:pPr>
              <w:tabs>
                <w:tab w:val="left" w:pos="5400"/>
              </w:tabs>
              <w:rPr>
                <w:sz w:val="20"/>
              </w:rPr>
            </w:pPr>
          </w:p>
        </w:tc>
      </w:tr>
      <w:bookmarkEnd w:id="27"/>
      <w:bookmarkEnd w:id="28"/>
      <w:tr w14:paraId="563797E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52E21AAC">
            <w:pPr>
              <w:tabs>
                <w:tab w:val="left" w:pos="5400"/>
              </w:tabs>
              <w:rPr>
                <w:bCs/>
                <w:sz w:val="20"/>
              </w:rPr>
            </w:pPr>
            <w:bookmarkStart w:id="29" w:name="bold16" w:colFirst="0" w:colLast="0"/>
            <w:bookmarkStart w:id="30" w:name="italic17" w:colFirst="0" w:colLast="0"/>
            <w:r>
              <w:rPr>
                <w:bCs/>
                <w:sz w:val="20"/>
              </w:rPr>
              <w:t>Variables</w:t>
            </w:r>
          </w:p>
        </w:tc>
        <w:tc>
          <w:tcPr>
            <w:tcW w:w="206" w:type="pct"/>
          </w:tcPr>
          <w:p w14:paraId="3C67B04D">
            <w:pPr>
              <w:tabs>
                <w:tab w:val="left" w:pos="5400"/>
              </w:tabs>
              <w:jc w:val="center"/>
              <w:rPr>
                <w:sz w:val="20"/>
              </w:rPr>
            </w:pPr>
            <w:r>
              <w:rPr>
                <w:sz w:val="20"/>
              </w:rPr>
              <w:t>7</w:t>
            </w:r>
          </w:p>
        </w:tc>
        <w:tc>
          <w:tcPr>
            <w:tcW w:w="2564" w:type="pct"/>
          </w:tcPr>
          <w:p w14:paraId="16E7753F">
            <w:pPr>
              <w:tabs>
                <w:tab w:val="left" w:pos="5400"/>
              </w:tabs>
              <w:rPr>
                <w:sz w:val="20"/>
              </w:rPr>
            </w:pPr>
            <w:r>
              <w:rPr>
                <w:sz w:val="20"/>
              </w:rPr>
              <w:t>Clearly define all outcomes, exposures, predictors, potential confounders, and effect modifiers. Give diagnostic criteria, if applicable</w:t>
            </w:r>
          </w:p>
        </w:tc>
        <w:tc>
          <w:tcPr>
            <w:tcW w:w="295" w:type="pct"/>
          </w:tcPr>
          <w:p w14:paraId="699E2F6B">
            <w:pPr>
              <w:tabs>
                <w:tab w:val="left" w:pos="5400"/>
              </w:tabs>
              <w:rPr>
                <w:rFonts w:hint="default" w:eastAsia="宋体"/>
                <w:sz w:val="20"/>
                <w:lang w:val="en-US" w:eastAsia="zh-CN"/>
              </w:rPr>
            </w:pPr>
            <w:r>
              <w:rPr>
                <w:rFonts w:hint="eastAsia" w:eastAsia="宋体"/>
                <w:sz w:val="20"/>
                <w:lang w:val="en-US" w:eastAsia="zh-CN"/>
              </w:rPr>
              <w:t>5-9</w:t>
            </w:r>
          </w:p>
        </w:tc>
        <w:tc>
          <w:tcPr>
            <w:tcW w:w="1280" w:type="pct"/>
          </w:tcPr>
          <w:p w14:paraId="28F2240F">
            <w:pPr>
              <w:tabs>
                <w:tab w:val="left" w:pos="5400"/>
              </w:tabs>
              <w:rPr>
                <w:rFonts w:hint="default" w:eastAsia="宋体"/>
                <w:sz w:val="20"/>
                <w:lang w:val="en-US" w:eastAsia="zh-CN"/>
              </w:rPr>
            </w:pPr>
            <w:r>
              <w:t xml:space="preserve">gender, age, </w:t>
            </w:r>
            <w:r>
              <w:rPr>
                <w:rFonts w:hint="eastAsia" w:eastAsia="宋体"/>
                <w:lang w:val="en-US" w:eastAsia="zh-CN"/>
              </w:rPr>
              <w:t>race</w:t>
            </w:r>
            <w:r>
              <w:t xml:space="preserve">, </w:t>
            </w:r>
            <w:r>
              <w:rPr>
                <w:rFonts w:hint="eastAsia" w:eastAsia="宋体"/>
                <w:lang w:val="en-US" w:eastAsia="zh-CN"/>
              </w:rPr>
              <w:t>B</w:t>
            </w:r>
            <w:r>
              <w:rPr>
                <w:rFonts w:hint="eastAsia"/>
                <w:lang w:val="en-US" w:eastAsia="zh-CN"/>
              </w:rPr>
              <w:t>MI</w:t>
            </w:r>
            <w:r>
              <w:t xml:space="preserve">, </w:t>
            </w:r>
            <w:r>
              <w:rPr>
                <w:rFonts w:hint="eastAsia"/>
              </w:rPr>
              <w:t>complication</w:t>
            </w:r>
            <w:r>
              <w:t xml:space="preserve">, </w:t>
            </w:r>
            <w:r>
              <w:rPr>
                <w:rFonts w:hint="eastAsia"/>
                <w:lang w:val="en-US" w:eastAsia="zh-CN"/>
              </w:rPr>
              <w:t>h</w:t>
            </w:r>
            <w:r>
              <w:t xml:space="preserve">eart </w:t>
            </w:r>
            <w:r>
              <w:rPr>
                <w:rFonts w:hint="eastAsia"/>
                <w:lang w:val="en-US" w:eastAsia="zh-CN"/>
              </w:rPr>
              <w:t>r</w:t>
            </w:r>
            <w:r>
              <w:t xml:space="preserve">ate, </w:t>
            </w:r>
            <w:r>
              <w:rPr>
                <w:rFonts w:hint="eastAsia"/>
                <w:lang w:val="en-US" w:eastAsia="zh-CN"/>
              </w:rPr>
              <w:t>t</w:t>
            </w:r>
            <w:r>
              <w:t xml:space="preserve">emperature, </w:t>
            </w:r>
            <w:r>
              <w:rPr>
                <w:rFonts w:hint="eastAsia"/>
                <w:lang w:val="en-US" w:eastAsia="zh-CN"/>
              </w:rPr>
              <w:t>s</w:t>
            </w:r>
            <w:r>
              <w:t>ystolic/</w:t>
            </w:r>
            <w:r>
              <w:rPr>
                <w:rFonts w:hint="eastAsia"/>
                <w:lang w:val="en-US" w:eastAsia="zh-CN"/>
              </w:rPr>
              <w:t>d</w:t>
            </w:r>
            <w:r>
              <w:t xml:space="preserve">iastolic </w:t>
            </w:r>
            <w:r>
              <w:rPr>
                <w:rFonts w:hint="eastAsia"/>
                <w:lang w:val="en-US" w:eastAsia="zh-CN"/>
              </w:rPr>
              <w:t>b</w:t>
            </w:r>
            <w:r>
              <w:t xml:space="preserve">lood </w:t>
            </w:r>
            <w:r>
              <w:rPr>
                <w:rFonts w:hint="eastAsia"/>
                <w:lang w:val="en-US" w:eastAsia="zh-CN"/>
              </w:rPr>
              <w:t>p</w:t>
            </w:r>
            <w:r>
              <w:t xml:space="preserve">ressure, and laboratory indicators </w:t>
            </w:r>
            <w:r>
              <w:rPr>
                <w:rFonts w:hint="eastAsia"/>
                <w:lang w:val="en-US" w:eastAsia="zh-CN"/>
              </w:rPr>
              <w:t>(l</w:t>
            </w:r>
            <w:r>
              <w:t>actate, PH, PO2, PCO2</w:t>
            </w:r>
            <w:r>
              <w:rPr>
                <w:rFonts w:hint="eastAsia"/>
                <w:lang w:val="en-US" w:eastAsia="zh-CN"/>
              </w:rPr>
              <w:t>, b</w:t>
            </w:r>
            <w:r>
              <w:t>ase excess</w:t>
            </w:r>
            <w:r>
              <w:rPr>
                <w:rFonts w:hint="eastAsia"/>
                <w:lang w:val="en-US" w:eastAsia="zh-CN"/>
              </w:rPr>
              <w:t>, a</w:t>
            </w:r>
            <w:r>
              <w:t>niongap</w:t>
            </w:r>
            <w:r>
              <w:rPr>
                <w:rFonts w:hint="eastAsia"/>
                <w:lang w:val="en-US" w:eastAsia="zh-CN"/>
              </w:rPr>
              <w:t>, w</w:t>
            </w:r>
            <w:r>
              <w:t xml:space="preserve">hite </w:t>
            </w:r>
            <w:r>
              <w:rPr>
                <w:rFonts w:hint="eastAsia"/>
                <w:lang w:val="en-US" w:eastAsia="zh-CN"/>
              </w:rPr>
              <w:t>b</w:t>
            </w:r>
            <w:r>
              <w:t xml:space="preserve">lood </w:t>
            </w:r>
            <w:r>
              <w:rPr>
                <w:rFonts w:hint="eastAsia"/>
                <w:lang w:val="en-US" w:eastAsia="zh-CN"/>
              </w:rPr>
              <w:t>c</w:t>
            </w:r>
            <w:r>
              <w:t>ell</w:t>
            </w:r>
            <w:r>
              <w:rPr>
                <w:rFonts w:hint="eastAsia"/>
                <w:lang w:val="en-US" w:eastAsia="zh-CN"/>
              </w:rPr>
              <w:t>, h</w:t>
            </w:r>
            <w:r>
              <w:t>ematocrit</w:t>
            </w:r>
            <w:r>
              <w:rPr>
                <w:rFonts w:hint="eastAsia"/>
                <w:lang w:val="en-US" w:eastAsia="zh-CN"/>
              </w:rPr>
              <w:t>, h</w:t>
            </w:r>
            <w:r>
              <w:t>emoglobin,</w:t>
            </w:r>
            <w:r>
              <w:rPr>
                <w:rFonts w:hint="eastAsia"/>
                <w:lang w:val="en-US" w:eastAsia="zh-CN"/>
              </w:rPr>
              <w:t xml:space="preserve"> p</w:t>
            </w:r>
            <w:r>
              <w:t>latelets</w:t>
            </w:r>
            <w:r>
              <w:rPr>
                <w:rFonts w:hint="eastAsia"/>
                <w:lang w:val="en-US" w:eastAsia="zh-CN"/>
              </w:rPr>
              <w:t>, b</w:t>
            </w:r>
            <w:r>
              <w:t xml:space="preserve">lood </w:t>
            </w:r>
            <w:r>
              <w:rPr>
                <w:rFonts w:hint="eastAsia"/>
                <w:lang w:val="en-US" w:eastAsia="zh-CN"/>
              </w:rPr>
              <w:t>u</w:t>
            </w:r>
            <w:r>
              <w:t xml:space="preserve">rea </w:t>
            </w:r>
            <w:r>
              <w:rPr>
                <w:rFonts w:hint="eastAsia"/>
                <w:lang w:val="en-US" w:eastAsia="zh-CN"/>
              </w:rPr>
              <w:t>n</w:t>
            </w:r>
            <w:r>
              <w:t>itrogen</w:t>
            </w:r>
            <w:r>
              <w:rPr>
                <w:rFonts w:hint="eastAsia"/>
                <w:lang w:val="en-US" w:eastAsia="zh-CN"/>
              </w:rPr>
              <w:t>,c</w:t>
            </w:r>
            <w:r>
              <w:t xml:space="preserve">reatinine, </w:t>
            </w:r>
            <w:r>
              <w:rPr>
                <w:rFonts w:hint="eastAsia" w:eastAsia="宋体"/>
                <w:lang w:val="en-US" w:eastAsia="zh-CN"/>
              </w:rPr>
              <w:t>g</w:t>
            </w:r>
            <w:r>
              <w:t>lucose,</w:t>
            </w:r>
            <w:r>
              <w:rPr>
                <w:rFonts w:hint="eastAsia"/>
                <w:lang w:val="en-US" w:eastAsia="zh-CN"/>
              </w:rPr>
              <w:t xml:space="preserve"> s</w:t>
            </w:r>
            <w:r>
              <w:t>odium,</w:t>
            </w:r>
            <w:r>
              <w:rPr>
                <w:rFonts w:hint="eastAsia" w:eastAsia="宋体"/>
                <w:lang w:val="en-US" w:eastAsia="zh-CN"/>
              </w:rPr>
              <w:t>p</w:t>
            </w:r>
            <w:r>
              <w:t>otassium,</w:t>
            </w:r>
            <w:r>
              <w:rPr>
                <w:rFonts w:hint="eastAsia" w:eastAsia="宋体"/>
                <w:lang w:val="en-US" w:eastAsia="zh-CN"/>
              </w:rPr>
              <w:t>b</w:t>
            </w:r>
            <w:r>
              <w:t>icarbonate,</w:t>
            </w:r>
            <w:r>
              <w:rPr>
                <w:rFonts w:hint="eastAsia" w:eastAsia="宋体"/>
                <w:lang w:val="en-US" w:eastAsia="zh-CN"/>
              </w:rPr>
              <w:t>m</w:t>
            </w:r>
            <w:r>
              <w:t xml:space="preserve">ean </w:t>
            </w:r>
            <w:r>
              <w:rPr>
                <w:rFonts w:hint="eastAsia" w:eastAsia="宋体"/>
                <w:lang w:val="en-US" w:eastAsia="zh-CN"/>
              </w:rPr>
              <w:t>c</w:t>
            </w:r>
            <w:r>
              <w:t xml:space="preserve">orpuscular </w:t>
            </w:r>
            <w:r>
              <w:rPr>
                <w:rFonts w:hint="eastAsia" w:eastAsia="宋体"/>
                <w:lang w:val="en-US" w:eastAsia="zh-CN"/>
              </w:rPr>
              <w:t>h</w:t>
            </w:r>
            <w:r>
              <w:t xml:space="preserve">emoglobin </w:t>
            </w:r>
            <w:r>
              <w:rPr>
                <w:rFonts w:hint="eastAsia" w:eastAsia="宋体"/>
                <w:lang w:val="en-US" w:eastAsia="zh-CN"/>
              </w:rPr>
              <w:t>c</w:t>
            </w:r>
            <w:r>
              <w:t>oncentration</w:t>
            </w:r>
            <w:r>
              <w:rPr>
                <w:rFonts w:hint="eastAsia"/>
                <w:lang w:val="en-US" w:eastAsia="zh-CN"/>
              </w:rPr>
              <w:t>, m</w:t>
            </w:r>
            <w:r>
              <w:t xml:space="preserve">ean </w:t>
            </w:r>
            <w:r>
              <w:rPr>
                <w:rFonts w:hint="eastAsia" w:eastAsia="宋体"/>
                <w:lang w:val="en-US" w:eastAsia="zh-CN"/>
              </w:rPr>
              <w:t>c</w:t>
            </w:r>
            <w:r>
              <w:t xml:space="preserve">orpuscular </w:t>
            </w:r>
            <w:r>
              <w:rPr>
                <w:rFonts w:hint="eastAsia" w:eastAsia="宋体"/>
                <w:lang w:val="en-US" w:eastAsia="zh-CN"/>
              </w:rPr>
              <w:t>v</w:t>
            </w:r>
            <w:r>
              <w:t>olume</w:t>
            </w:r>
            <w:r>
              <w:rPr>
                <w:rFonts w:hint="eastAsia"/>
                <w:lang w:val="en-US" w:eastAsia="zh-CN"/>
              </w:rPr>
              <w:t>, r</w:t>
            </w:r>
            <w:r>
              <w:t xml:space="preserve">ed </w:t>
            </w:r>
            <w:r>
              <w:rPr>
                <w:rFonts w:hint="eastAsia" w:eastAsia="宋体"/>
                <w:lang w:val="en-US" w:eastAsia="zh-CN"/>
              </w:rPr>
              <w:t>b</w:t>
            </w:r>
            <w:r>
              <w:t xml:space="preserve">lood </w:t>
            </w:r>
            <w:r>
              <w:rPr>
                <w:rFonts w:hint="eastAsia" w:eastAsia="宋体"/>
                <w:lang w:val="en-US" w:eastAsia="zh-CN"/>
              </w:rPr>
              <w:t>c</w:t>
            </w:r>
            <w:r>
              <w:t xml:space="preserve">ell </w:t>
            </w:r>
            <w:r>
              <w:rPr>
                <w:rFonts w:hint="eastAsia" w:eastAsia="宋体"/>
                <w:lang w:val="en-US" w:eastAsia="zh-CN"/>
              </w:rPr>
              <w:t>d</w:t>
            </w:r>
            <w:r>
              <w:t xml:space="preserve">istribution </w:t>
            </w:r>
            <w:r>
              <w:rPr>
                <w:rFonts w:hint="eastAsia" w:eastAsia="宋体"/>
                <w:lang w:val="en-US" w:eastAsia="zh-CN"/>
              </w:rPr>
              <w:t>w</w:t>
            </w:r>
            <w:r>
              <w:t>idth</w:t>
            </w:r>
            <w:r>
              <w:rPr>
                <w:rFonts w:hint="eastAsia"/>
                <w:lang w:val="en-US" w:eastAsia="zh-CN"/>
              </w:rPr>
              <w:t>),</w:t>
            </w:r>
            <w:r>
              <w:rPr>
                <w:rFonts w:ascii="Times New Roman" w:hAnsi="Times New Roman" w:eastAsia="宋体" w:cs="Times New Roman"/>
                <w:color w:val="000000"/>
                <w:kern w:val="0"/>
                <w:sz w:val="20"/>
                <w:szCs w:val="20"/>
                <w:lang w:bidi="ar"/>
              </w:rPr>
              <w:t>O</w:t>
            </w:r>
            <w:r>
              <w:rPr>
                <w:rStyle w:val="11"/>
                <w:rFonts w:eastAsia="宋体"/>
                <w:sz w:val="20"/>
                <w:szCs w:val="20"/>
                <w:lang w:bidi="ar"/>
              </w:rPr>
              <w:t>ASIS</w:t>
            </w:r>
            <w:r>
              <w:rPr>
                <w:rStyle w:val="11"/>
                <w:rFonts w:hint="eastAsia" w:eastAsia="宋体"/>
                <w:sz w:val="20"/>
                <w:szCs w:val="20"/>
                <w:lang w:val="en-US" w:eastAsia="zh-CN" w:bidi="ar"/>
              </w:rPr>
              <w:t xml:space="preserve"> score, </w:t>
            </w:r>
            <w:r>
              <w:rPr>
                <w:rFonts w:ascii="Times New Roman" w:hAnsi="Times New Roman" w:eastAsia="宋体" w:cs="Times New Roman"/>
                <w:color w:val="000000"/>
                <w:kern w:val="0"/>
                <w:sz w:val="20"/>
                <w:szCs w:val="20"/>
                <w:lang w:bidi="ar"/>
              </w:rPr>
              <w:t>S</w:t>
            </w:r>
            <w:r>
              <w:rPr>
                <w:rStyle w:val="11"/>
                <w:rFonts w:eastAsia="宋体"/>
                <w:sz w:val="20"/>
                <w:szCs w:val="20"/>
                <w:lang w:bidi="ar"/>
              </w:rPr>
              <w:t>APSII</w:t>
            </w:r>
            <w:r>
              <w:rPr>
                <w:rStyle w:val="11"/>
                <w:rFonts w:hint="eastAsia" w:eastAsia="宋体"/>
                <w:sz w:val="20"/>
                <w:szCs w:val="20"/>
                <w:lang w:val="en-US" w:eastAsia="zh-CN" w:bidi="ar"/>
              </w:rPr>
              <w:t xml:space="preserve"> score, </w:t>
            </w:r>
            <w:r>
              <w:rPr>
                <w:rFonts w:ascii="Times New Roman" w:hAnsi="Times New Roman" w:eastAsia="宋体" w:cs="Times New Roman"/>
                <w:color w:val="000000"/>
                <w:kern w:val="0"/>
                <w:sz w:val="20"/>
                <w:szCs w:val="20"/>
                <w:lang w:bidi="ar"/>
              </w:rPr>
              <w:t>L</w:t>
            </w:r>
            <w:r>
              <w:rPr>
                <w:rStyle w:val="11"/>
                <w:rFonts w:eastAsia="宋体"/>
                <w:sz w:val="20"/>
                <w:szCs w:val="20"/>
                <w:lang w:bidi="ar"/>
              </w:rPr>
              <w:t>ODS</w:t>
            </w:r>
            <w:r>
              <w:rPr>
                <w:rStyle w:val="11"/>
                <w:rFonts w:hint="eastAsia" w:eastAsia="宋体"/>
                <w:sz w:val="20"/>
                <w:szCs w:val="20"/>
                <w:lang w:val="en-US" w:eastAsia="zh-CN" w:bidi="ar"/>
              </w:rPr>
              <w:t xml:space="preserve"> score,treatment</w:t>
            </w:r>
          </w:p>
        </w:tc>
      </w:tr>
      <w:bookmarkEnd w:id="29"/>
      <w:bookmarkEnd w:id="30"/>
      <w:tr w14:paraId="52AF8A7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4" w:hRule="atLeast"/>
        </w:trPr>
        <w:tc>
          <w:tcPr>
            <w:tcW w:w="653" w:type="pct"/>
          </w:tcPr>
          <w:p w14:paraId="79769985">
            <w:pPr>
              <w:tabs>
                <w:tab w:val="left" w:pos="5400"/>
              </w:tabs>
              <w:rPr>
                <w:bCs/>
                <w:sz w:val="20"/>
              </w:rPr>
            </w:pPr>
            <w:bookmarkStart w:id="31" w:name="italic18"/>
            <w:bookmarkStart w:id="32" w:name="bold17"/>
            <w:r>
              <w:rPr>
                <w:bCs/>
                <w:sz w:val="20"/>
              </w:rPr>
              <w:t>Data sources/</w:t>
            </w:r>
            <w:bookmarkEnd w:id="31"/>
            <w:bookmarkEnd w:id="32"/>
            <w:bookmarkStart w:id="33" w:name="bold18"/>
            <w:bookmarkStart w:id="34" w:name="italic19"/>
            <w:r>
              <w:rPr>
                <w:bCs/>
                <w:sz w:val="20"/>
              </w:rPr>
              <w:t xml:space="preserve"> measurement</w:t>
            </w:r>
            <w:bookmarkEnd w:id="33"/>
            <w:bookmarkEnd w:id="34"/>
          </w:p>
        </w:tc>
        <w:tc>
          <w:tcPr>
            <w:tcW w:w="206" w:type="pct"/>
          </w:tcPr>
          <w:p w14:paraId="0E4A1010">
            <w:pPr>
              <w:tabs>
                <w:tab w:val="left" w:pos="5400"/>
              </w:tabs>
              <w:jc w:val="center"/>
              <w:rPr>
                <w:sz w:val="20"/>
              </w:rPr>
            </w:pPr>
            <w:r>
              <w:rPr>
                <w:sz w:val="20"/>
              </w:rPr>
              <w:t>8</w:t>
            </w:r>
            <w:bookmarkStart w:id="35" w:name="bold19"/>
            <w:r>
              <w:rPr>
                <w:bCs/>
                <w:sz w:val="20"/>
              </w:rPr>
              <w:t>*</w:t>
            </w:r>
            <w:bookmarkEnd w:id="35"/>
          </w:p>
        </w:tc>
        <w:tc>
          <w:tcPr>
            <w:tcW w:w="2564" w:type="pct"/>
          </w:tcPr>
          <w:p w14:paraId="4F88FE22">
            <w:pPr>
              <w:tabs>
                <w:tab w:val="left" w:pos="5400"/>
              </w:tabs>
              <w:rPr>
                <w:sz w:val="20"/>
              </w:rPr>
            </w:pPr>
            <w:r>
              <w:rPr>
                <w:i/>
                <w:sz w:val="20"/>
              </w:rPr>
              <w:t xml:space="preserve"> </w:t>
            </w:r>
            <w:r>
              <w:rPr>
                <w:sz w:val="20"/>
              </w:rPr>
              <w:t>For each variable of interest, give sources of data and details of methods of assessment (measurement). Describe comparability of assessment methods if there is more than one group</w:t>
            </w:r>
          </w:p>
        </w:tc>
        <w:tc>
          <w:tcPr>
            <w:tcW w:w="295" w:type="pct"/>
          </w:tcPr>
          <w:p w14:paraId="4A230E92">
            <w:pPr>
              <w:tabs>
                <w:tab w:val="left" w:pos="5400"/>
              </w:tabs>
              <w:rPr>
                <w:rFonts w:hint="eastAsia" w:eastAsia="宋体"/>
                <w:i/>
                <w:sz w:val="20"/>
                <w:lang w:val="en-US" w:eastAsia="zh-CN"/>
              </w:rPr>
            </w:pPr>
            <w:r>
              <w:rPr>
                <w:rFonts w:hint="eastAsia" w:eastAsia="宋体"/>
                <w:i/>
                <w:sz w:val="20"/>
                <w:lang w:val="en-US" w:eastAsia="zh-CN"/>
              </w:rPr>
              <w:t>3</w:t>
            </w:r>
          </w:p>
        </w:tc>
        <w:tc>
          <w:tcPr>
            <w:tcW w:w="1280" w:type="pct"/>
          </w:tcPr>
          <w:p w14:paraId="130B8BD5">
            <w:pPr>
              <w:tabs>
                <w:tab w:val="left" w:pos="5400"/>
              </w:tabs>
              <w:rPr>
                <w:i/>
                <w:sz w:val="20"/>
              </w:rPr>
            </w:pPr>
            <w:r>
              <w:rPr>
                <w:rFonts w:hint="eastAsia" w:ascii="Times New Roman" w:hAnsi="Times New Roman" w:eastAsia="宋体" w:cs="Times New Roman"/>
                <w:sz w:val="24"/>
                <w:lang w:val="en-US" w:eastAsia="zh-CN"/>
              </w:rPr>
              <w:t>M</w:t>
            </w:r>
            <w:r>
              <w:rPr>
                <w:rFonts w:ascii="Times New Roman" w:hAnsi="Times New Roman" w:eastAsia="宋体" w:cs="Times New Roman"/>
                <w:sz w:val="24"/>
              </w:rPr>
              <w:t>edical records, laboratory results, demographic information, and International Classification of Diseases (ICD) codes for patients admitted to the Intensive Care Units (ICUs) of Beth Israel Deaconess Medical Center between 2008 and 2019 were extracted.</w:t>
            </w:r>
          </w:p>
        </w:tc>
      </w:tr>
      <w:tr w14:paraId="1313A64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4A6AEA43">
            <w:pPr>
              <w:tabs>
                <w:tab w:val="left" w:pos="5400"/>
              </w:tabs>
              <w:rPr>
                <w:bCs/>
                <w:color w:val="000000"/>
                <w:sz w:val="20"/>
              </w:rPr>
            </w:pPr>
            <w:bookmarkStart w:id="36" w:name="bold20" w:colFirst="0" w:colLast="0"/>
            <w:bookmarkStart w:id="37" w:name="italic20" w:colFirst="0" w:colLast="0"/>
            <w:r>
              <w:rPr>
                <w:bCs/>
                <w:color w:val="000000"/>
                <w:sz w:val="20"/>
              </w:rPr>
              <w:t>Bias</w:t>
            </w:r>
          </w:p>
        </w:tc>
        <w:tc>
          <w:tcPr>
            <w:tcW w:w="206" w:type="pct"/>
          </w:tcPr>
          <w:p w14:paraId="23A432C7">
            <w:pPr>
              <w:tabs>
                <w:tab w:val="left" w:pos="5400"/>
              </w:tabs>
              <w:jc w:val="center"/>
              <w:rPr>
                <w:sz w:val="20"/>
              </w:rPr>
            </w:pPr>
            <w:r>
              <w:rPr>
                <w:sz w:val="20"/>
              </w:rPr>
              <w:t>9</w:t>
            </w:r>
          </w:p>
        </w:tc>
        <w:tc>
          <w:tcPr>
            <w:tcW w:w="2564" w:type="pct"/>
          </w:tcPr>
          <w:p w14:paraId="117FD46E">
            <w:pPr>
              <w:tabs>
                <w:tab w:val="left" w:pos="5400"/>
              </w:tabs>
              <w:rPr>
                <w:color w:val="000000"/>
                <w:sz w:val="20"/>
              </w:rPr>
            </w:pPr>
            <w:r>
              <w:rPr>
                <w:color w:val="000000"/>
                <w:sz w:val="20"/>
              </w:rPr>
              <w:t>Describe any efforts to address potential sources of bias</w:t>
            </w:r>
          </w:p>
        </w:tc>
        <w:tc>
          <w:tcPr>
            <w:tcW w:w="295" w:type="pct"/>
          </w:tcPr>
          <w:p w14:paraId="16FBCC02">
            <w:pPr>
              <w:tabs>
                <w:tab w:val="left" w:pos="5400"/>
              </w:tabs>
              <w:rPr>
                <w:rFonts w:hint="eastAsia" w:eastAsia="宋体"/>
                <w:color w:val="000000"/>
                <w:sz w:val="20"/>
                <w:lang w:val="en-US" w:eastAsia="zh-CN"/>
              </w:rPr>
            </w:pPr>
            <w:r>
              <w:rPr>
                <w:rFonts w:hint="eastAsia" w:eastAsia="宋体"/>
                <w:color w:val="000000"/>
                <w:sz w:val="20"/>
                <w:lang w:val="en-US" w:eastAsia="zh-CN"/>
              </w:rPr>
              <w:t>4</w:t>
            </w:r>
          </w:p>
        </w:tc>
        <w:tc>
          <w:tcPr>
            <w:tcW w:w="1280" w:type="pct"/>
          </w:tcPr>
          <w:p w14:paraId="69DCBDBD">
            <w:pPr>
              <w:tabs>
                <w:tab w:val="left" w:pos="5400"/>
              </w:tabs>
              <w:rPr>
                <w:color w:val="000000"/>
                <w:sz w:val="20"/>
              </w:rPr>
            </w:pPr>
            <w:r>
              <w:rPr>
                <w:rFonts w:ascii="Times New Roman" w:hAnsi="Times New Roman" w:eastAsia="宋体" w:cs="Times New Roman"/>
                <w:sz w:val="24"/>
              </w:rPr>
              <w:t>This retrospective study involved the analysis of the clinical data of CAD patients who underwent CABG during their hospital stay. Baseline clinical data for patients upon ICU admission were extracted using SQL queries</w:t>
            </w:r>
          </w:p>
        </w:tc>
      </w:tr>
      <w:bookmarkEnd w:id="36"/>
      <w:bookmarkEnd w:id="37"/>
      <w:tr w14:paraId="6B31714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653" w:type="pct"/>
          </w:tcPr>
          <w:p w14:paraId="54FBEB81">
            <w:pPr>
              <w:tabs>
                <w:tab w:val="left" w:pos="5400"/>
              </w:tabs>
              <w:rPr>
                <w:bCs/>
                <w:sz w:val="20"/>
              </w:rPr>
            </w:pPr>
            <w:bookmarkStart w:id="38" w:name="italic21" w:colFirst="0" w:colLast="0"/>
            <w:bookmarkStart w:id="39" w:name="bold21" w:colFirst="0" w:colLast="0"/>
            <w:r>
              <w:rPr>
                <w:bCs/>
                <w:sz w:val="20"/>
              </w:rPr>
              <w:t>Study size</w:t>
            </w:r>
          </w:p>
        </w:tc>
        <w:tc>
          <w:tcPr>
            <w:tcW w:w="206" w:type="pct"/>
          </w:tcPr>
          <w:p w14:paraId="5F77B20F">
            <w:pPr>
              <w:tabs>
                <w:tab w:val="left" w:pos="5400"/>
              </w:tabs>
              <w:jc w:val="center"/>
              <w:rPr>
                <w:sz w:val="20"/>
              </w:rPr>
            </w:pPr>
            <w:r>
              <w:rPr>
                <w:sz w:val="20"/>
              </w:rPr>
              <w:t>10</w:t>
            </w:r>
          </w:p>
        </w:tc>
        <w:tc>
          <w:tcPr>
            <w:tcW w:w="2564" w:type="pct"/>
          </w:tcPr>
          <w:p w14:paraId="0F3E42E0">
            <w:pPr>
              <w:tabs>
                <w:tab w:val="left" w:pos="5400"/>
              </w:tabs>
              <w:rPr>
                <w:sz w:val="20"/>
              </w:rPr>
            </w:pPr>
            <w:r>
              <w:rPr>
                <w:sz w:val="20"/>
              </w:rPr>
              <w:t>Explain how the study size was arrived at</w:t>
            </w:r>
          </w:p>
        </w:tc>
        <w:tc>
          <w:tcPr>
            <w:tcW w:w="295" w:type="pct"/>
          </w:tcPr>
          <w:p w14:paraId="28A2F592">
            <w:pPr>
              <w:tabs>
                <w:tab w:val="left" w:pos="5400"/>
              </w:tabs>
              <w:rPr>
                <w:rFonts w:hint="eastAsia" w:eastAsia="宋体"/>
                <w:sz w:val="20"/>
                <w:lang w:val="en-US" w:eastAsia="zh-CN"/>
              </w:rPr>
            </w:pPr>
            <w:r>
              <w:rPr>
                <w:rFonts w:hint="eastAsia" w:eastAsia="宋体"/>
                <w:sz w:val="20"/>
                <w:lang w:val="en-US" w:eastAsia="zh-CN"/>
              </w:rPr>
              <w:t>4</w:t>
            </w:r>
          </w:p>
        </w:tc>
        <w:tc>
          <w:tcPr>
            <w:tcW w:w="1280" w:type="pct"/>
          </w:tcPr>
          <w:p w14:paraId="1E7252A5">
            <w:pPr>
              <w:tabs>
                <w:tab w:val="left" w:pos="5400"/>
              </w:tabs>
              <w:rPr>
                <w:sz w:val="20"/>
              </w:rPr>
            </w:pPr>
            <w:r>
              <w:t>Strictly following the inclusion criteria, the final participants were determined</w:t>
            </w:r>
          </w:p>
        </w:tc>
      </w:tr>
      <w:tr w14:paraId="7B546DF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Align w:val="top"/>
          </w:tcPr>
          <w:p w14:paraId="5C2ABCED">
            <w:pPr>
              <w:tabs>
                <w:tab w:val="left" w:pos="5400"/>
              </w:tabs>
              <w:rPr>
                <w:bCs/>
                <w:sz w:val="20"/>
              </w:rPr>
            </w:pPr>
            <w:r>
              <w:rPr>
                <w:bCs/>
                <w:sz w:val="20"/>
              </w:rPr>
              <w:t>Quantitative variables</w:t>
            </w:r>
          </w:p>
        </w:tc>
        <w:tc>
          <w:tcPr>
            <w:tcW w:w="600" w:type="dxa"/>
            <w:vAlign w:val="top"/>
          </w:tcPr>
          <w:p w14:paraId="10058E00">
            <w:pPr>
              <w:tabs>
                <w:tab w:val="left" w:pos="5400"/>
              </w:tabs>
              <w:jc w:val="center"/>
              <w:rPr>
                <w:sz w:val="20"/>
              </w:rPr>
            </w:pPr>
            <w:r>
              <w:rPr>
                <w:sz w:val="20"/>
              </w:rPr>
              <w:t>11</w:t>
            </w:r>
          </w:p>
        </w:tc>
        <w:tc>
          <w:tcPr>
            <w:tcW w:w="1942" w:type="dxa"/>
            <w:vAlign w:val="top"/>
          </w:tcPr>
          <w:p w14:paraId="75594F08">
            <w:pPr>
              <w:tabs>
                <w:tab w:val="left" w:pos="5400"/>
              </w:tabs>
              <w:rPr>
                <w:sz w:val="20"/>
              </w:rPr>
            </w:pPr>
            <w:r>
              <w:rPr>
                <w:sz w:val="20"/>
              </w:rPr>
              <w:t>Explain how quantitative variables were handled in the analyses. If applicable, describe which groupings were chosen and why</w:t>
            </w:r>
          </w:p>
        </w:tc>
        <w:tc>
          <w:tcPr>
            <w:tcW w:w="611" w:type="dxa"/>
            <w:vAlign w:val="top"/>
          </w:tcPr>
          <w:p w14:paraId="25770096">
            <w:pPr>
              <w:tabs>
                <w:tab w:val="left" w:pos="5400"/>
              </w:tabs>
              <w:rPr>
                <w:rFonts w:hint="eastAsia" w:eastAsia="宋体"/>
                <w:sz w:val="20"/>
                <w:lang w:val="en-US" w:eastAsia="zh-CN"/>
              </w:rPr>
            </w:pPr>
            <w:r>
              <w:rPr>
                <w:rFonts w:hint="eastAsia" w:eastAsia="宋体"/>
                <w:sz w:val="20"/>
                <w:lang w:val="en-US" w:eastAsia="zh-CN"/>
              </w:rPr>
              <w:t>4-5</w:t>
            </w:r>
          </w:p>
        </w:tc>
        <w:tc>
          <w:tcPr>
            <w:tcW w:w="3388" w:type="dxa"/>
            <w:vAlign w:val="top"/>
          </w:tcPr>
          <w:p w14:paraId="437B4DD9">
            <w:pPr>
              <w:tabs>
                <w:tab w:val="left" w:pos="5400"/>
              </w:tabs>
            </w:pPr>
            <w:r>
              <w:rPr>
                <w:rFonts w:ascii="Times New Roman" w:hAnsi="Times New Roman" w:eastAsia="宋体" w:cs="Times New Roman"/>
                <w:sz w:val="24"/>
              </w:rPr>
              <w:t>For continuous variables, normally and non-normally distributed data were expressed as Mean± Standard Deviation (SD) and Medians [Interquartile Ranges(IQR)], respectively.</w:t>
            </w:r>
          </w:p>
        </w:tc>
      </w:tr>
      <w:tr w14:paraId="4D9EC51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restart"/>
            <w:vAlign w:val="top"/>
          </w:tcPr>
          <w:p w14:paraId="28144685">
            <w:pPr>
              <w:tabs>
                <w:tab w:val="left" w:pos="5400"/>
              </w:tabs>
              <w:rPr>
                <w:bCs/>
                <w:sz w:val="20"/>
              </w:rPr>
            </w:pPr>
            <w:r>
              <w:rPr>
                <w:sz w:val="20"/>
              </w:rPr>
              <w:t>Statistical methods</w:t>
            </w:r>
          </w:p>
        </w:tc>
        <w:tc>
          <w:tcPr>
            <w:tcW w:w="600" w:type="dxa"/>
            <w:vMerge w:val="restart"/>
            <w:vAlign w:val="top"/>
          </w:tcPr>
          <w:p w14:paraId="38725FD8">
            <w:pPr>
              <w:tabs>
                <w:tab w:val="left" w:pos="5400"/>
              </w:tabs>
              <w:jc w:val="center"/>
              <w:rPr>
                <w:sz w:val="20"/>
              </w:rPr>
            </w:pPr>
            <w:r>
              <w:rPr>
                <w:sz w:val="20"/>
              </w:rPr>
              <w:t>12</w:t>
            </w:r>
          </w:p>
        </w:tc>
        <w:tc>
          <w:tcPr>
            <w:tcW w:w="1942" w:type="dxa"/>
            <w:vAlign w:val="top"/>
          </w:tcPr>
          <w:p w14:paraId="7A256CFE">
            <w:pPr>
              <w:tabs>
                <w:tab w:val="left" w:pos="5400"/>
              </w:tabs>
              <w:rPr>
                <w:sz w:val="20"/>
              </w:rPr>
            </w:pPr>
            <w:r>
              <w:rPr>
                <w:sz w:val="20"/>
              </w:rPr>
              <w:t>(</w:t>
            </w:r>
            <w:r>
              <w:rPr>
                <w:i/>
                <w:sz w:val="20"/>
              </w:rPr>
              <w:t>a</w:t>
            </w:r>
            <w:r>
              <w:rPr>
                <w:sz w:val="20"/>
              </w:rPr>
              <w:t>) Describe all statistical methods, including those used to control for confounding</w:t>
            </w:r>
          </w:p>
        </w:tc>
        <w:tc>
          <w:tcPr>
            <w:tcW w:w="611" w:type="dxa"/>
            <w:vAlign w:val="top"/>
          </w:tcPr>
          <w:p w14:paraId="6F7AD3E7">
            <w:pPr>
              <w:tabs>
                <w:tab w:val="left" w:pos="5400"/>
              </w:tabs>
              <w:rPr>
                <w:rFonts w:hint="eastAsia" w:eastAsia="宋体"/>
                <w:sz w:val="20"/>
                <w:lang w:val="en-US" w:eastAsia="zh-CN"/>
              </w:rPr>
            </w:pPr>
            <w:r>
              <w:rPr>
                <w:rFonts w:hint="eastAsia" w:eastAsia="宋体"/>
                <w:sz w:val="20"/>
                <w:lang w:val="en-US" w:eastAsia="zh-CN"/>
              </w:rPr>
              <w:t>4-5</w:t>
            </w:r>
          </w:p>
        </w:tc>
        <w:tc>
          <w:tcPr>
            <w:tcW w:w="3388" w:type="dxa"/>
            <w:vAlign w:val="top"/>
          </w:tcPr>
          <w:p w14:paraId="7DE62076">
            <w:pPr>
              <w:tabs>
                <w:tab w:val="left" w:pos="5400"/>
              </w:tabs>
              <w:rPr>
                <w:rFonts w:ascii="Times New Roman" w:hAnsi="Times New Roman" w:eastAsia="宋体" w:cs="Times New Roman"/>
                <w:sz w:val="24"/>
              </w:rPr>
            </w:pPr>
            <w:r>
              <w:rPr>
                <w:rFonts w:ascii="Times New Roman" w:hAnsi="Times New Roman" w:eastAsia="宋体" w:cs="Times New Roman"/>
                <w:sz w:val="24"/>
              </w:rPr>
              <w:t>For continuous variables,independent sample t-tests or Mann-Whitney U tests were used for comparisons. Categorical variables were presented as frequencies (percentages) and compared using chi-square tests.</w:t>
            </w:r>
          </w:p>
          <w:p w14:paraId="4980ECF5">
            <w:pPr>
              <w:tabs>
                <w:tab w:val="left" w:pos="5400"/>
              </w:tabs>
            </w:pPr>
          </w:p>
        </w:tc>
      </w:tr>
      <w:tr w14:paraId="307FF9A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75DE5538">
            <w:pPr>
              <w:tabs>
                <w:tab w:val="left" w:pos="5400"/>
              </w:tabs>
              <w:rPr>
                <w:bCs/>
                <w:sz w:val="20"/>
              </w:rPr>
            </w:pPr>
          </w:p>
        </w:tc>
        <w:tc>
          <w:tcPr>
            <w:tcW w:w="600" w:type="dxa"/>
            <w:vMerge w:val="continue"/>
            <w:vAlign w:val="top"/>
          </w:tcPr>
          <w:p w14:paraId="0E0F39ED">
            <w:pPr>
              <w:tabs>
                <w:tab w:val="left" w:pos="5400"/>
              </w:tabs>
              <w:jc w:val="center"/>
              <w:rPr>
                <w:sz w:val="20"/>
              </w:rPr>
            </w:pPr>
          </w:p>
        </w:tc>
        <w:tc>
          <w:tcPr>
            <w:tcW w:w="1942" w:type="dxa"/>
            <w:vAlign w:val="top"/>
          </w:tcPr>
          <w:p w14:paraId="5F2DD1FA">
            <w:pPr>
              <w:tabs>
                <w:tab w:val="left" w:pos="5400"/>
              </w:tabs>
              <w:rPr>
                <w:sz w:val="20"/>
              </w:rPr>
            </w:pPr>
            <w:r>
              <w:rPr>
                <w:sz w:val="20"/>
              </w:rPr>
              <w:t>(</w:t>
            </w:r>
            <w:r>
              <w:rPr>
                <w:i/>
                <w:sz w:val="20"/>
              </w:rPr>
              <w:t>b</w:t>
            </w:r>
            <w:r>
              <w:rPr>
                <w:sz w:val="20"/>
              </w:rPr>
              <w:t>) Describe any methods used to examine subgroups and interactions</w:t>
            </w:r>
          </w:p>
        </w:tc>
        <w:tc>
          <w:tcPr>
            <w:tcW w:w="611" w:type="dxa"/>
            <w:vAlign w:val="top"/>
          </w:tcPr>
          <w:p w14:paraId="7E2A0B6B">
            <w:pPr>
              <w:tabs>
                <w:tab w:val="left" w:pos="5400"/>
              </w:tabs>
              <w:rPr>
                <w:rFonts w:hint="eastAsia" w:eastAsia="宋体"/>
                <w:sz w:val="20"/>
                <w:lang w:val="en-US" w:eastAsia="zh-CN"/>
              </w:rPr>
            </w:pPr>
          </w:p>
        </w:tc>
        <w:tc>
          <w:tcPr>
            <w:tcW w:w="3388" w:type="dxa"/>
            <w:vAlign w:val="top"/>
          </w:tcPr>
          <w:p w14:paraId="00D14103">
            <w:pPr>
              <w:tabs>
                <w:tab w:val="left" w:pos="5400"/>
              </w:tabs>
            </w:pPr>
            <w:r>
              <w:t>No subgroup analysis was conducted</w:t>
            </w:r>
          </w:p>
        </w:tc>
      </w:tr>
      <w:tr w14:paraId="6CD696D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1572A842">
            <w:pPr>
              <w:tabs>
                <w:tab w:val="left" w:pos="5400"/>
              </w:tabs>
              <w:rPr>
                <w:bCs/>
                <w:sz w:val="20"/>
              </w:rPr>
            </w:pPr>
          </w:p>
        </w:tc>
        <w:tc>
          <w:tcPr>
            <w:tcW w:w="600" w:type="dxa"/>
            <w:vMerge w:val="continue"/>
            <w:vAlign w:val="top"/>
          </w:tcPr>
          <w:p w14:paraId="3FD8B2F6">
            <w:pPr>
              <w:tabs>
                <w:tab w:val="left" w:pos="5400"/>
              </w:tabs>
              <w:jc w:val="center"/>
              <w:rPr>
                <w:sz w:val="20"/>
              </w:rPr>
            </w:pPr>
          </w:p>
        </w:tc>
        <w:tc>
          <w:tcPr>
            <w:tcW w:w="1942" w:type="dxa"/>
            <w:vAlign w:val="top"/>
          </w:tcPr>
          <w:p w14:paraId="259E8766">
            <w:pPr>
              <w:tabs>
                <w:tab w:val="left" w:pos="5400"/>
              </w:tabs>
              <w:rPr>
                <w:sz w:val="20"/>
              </w:rPr>
            </w:pPr>
            <w:r>
              <w:rPr>
                <w:sz w:val="20"/>
              </w:rPr>
              <w:t>(</w:t>
            </w:r>
            <w:r>
              <w:rPr>
                <w:i/>
                <w:sz w:val="20"/>
              </w:rPr>
              <w:t>c</w:t>
            </w:r>
            <w:r>
              <w:rPr>
                <w:sz w:val="20"/>
              </w:rPr>
              <w:t>) Explain how missing data were addressed</w:t>
            </w:r>
          </w:p>
        </w:tc>
        <w:tc>
          <w:tcPr>
            <w:tcW w:w="611" w:type="dxa"/>
            <w:vAlign w:val="top"/>
          </w:tcPr>
          <w:p w14:paraId="3F9A9896">
            <w:pPr>
              <w:tabs>
                <w:tab w:val="left" w:pos="5400"/>
              </w:tabs>
              <w:rPr>
                <w:rFonts w:hint="eastAsia" w:eastAsia="宋体"/>
                <w:sz w:val="20"/>
                <w:lang w:val="en-US" w:eastAsia="zh-CN"/>
              </w:rPr>
            </w:pPr>
            <w:r>
              <w:rPr>
                <w:rFonts w:hint="eastAsia" w:eastAsia="宋体"/>
                <w:sz w:val="20"/>
                <w:lang w:val="en-US" w:eastAsia="zh-CN"/>
              </w:rPr>
              <w:t>4</w:t>
            </w:r>
          </w:p>
        </w:tc>
        <w:tc>
          <w:tcPr>
            <w:tcW w:w="3388" w:type="dxa"/>
            <w:vAlign w:val="top"/>
          </w:tcPr>
          <w:p w14:paraId="74E577E5">
            <w:pPr>
              <w:tabs>
                <w:tab w:val="left" w:pos="5400"/>
              </w:tabs>
            </w:pPr>
            <w:r>
              <w:rPr>
                <w:rFonts w:ascii="Times New Roman" w:hAnsi="Times New Roman" w:eastAsia="宋体" w:cs="Times New Roman"/>
                <w:sz w:val="24"/>
              </w:rPr>
              <w:t>Variables with &gt; 20% missing data were excluded. At the same time, mean imputation was used for outliers and variables with &lt;5% missing values, whereas multiple imputation was employed for variables with 5-20% missing values</w:t>
            </w:r>
          </w:p>
        </w:tc>
      </w:tr>
      <w:tr w14:paraId="064265B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56524842">
            <w:pPr>
              <w:tabs>
                <w:tab w:val="left" w:pos="5400"/>
              </w:tabs>
              <w:rPr>
                <w:bCs/>
                <w:sz w:val="20"/>
              </w:rPr>
            </w:pPr>
          </w:p>
        </w:tc>
        <w:tc>
          <w:tcPr>
            <w:tcW w:w="600" w:type="dxa"/>
            <w:vMerge w:val="continue"/>
            <w:vAlign w:val="top"/>
          </w:tcPr>
          <w:p w14:paraId="681B2231">
            <w:pPr>
              <w:tabs>
                <w:tab w:val="left" w:pos="5400"/>
              </w:tabs>
              <w:jc w:val="center"/>
              <w:rPr>
                <w:sz w:val="20"/>
              </w:rPr>
            </w:pPr>
          </w:p>
        </w:tc>
        <w:tc>
          <w:tcPr>
            <w:tcW w:w="1942" w:type="dxa"/>
            <w:vAlign w:val="top"/>
          </w:tcPr>
          <w:p w14:paraId="70A93F6E">
            <w:pPr>
              <w:tabs>
                <w:tab w:val="left" w:pos="5400"/>
              </w:tabs>
              <w:rPr>
                <w:sz w:val="20"/>
              </w:rPr>
            </w:pPr>
            <w:r>
              <w:rPr>
                <w:sz w:val="20"/>
              </w:rPr>
              <w:t>(</w:t>
            </w:r>
            <w:r>
              <w:rPr>
                <w:i/>
                <w:sz w:val="20"/>
              </w:rPr>
              <w:t>d</w:t>
            </w:r>
            <w:r>
              <w:rPr>
                <w:sz w:val="20"/>
              </w:rPr>
              <w:t xml:space="preserve">) </w:t>
            </w:r>
            <w:r>
              <w:rPr>
                <w:bCs/>
                <w:i/>
                <w:sz w:val="20"/>
              </w:rPr>
              <w:t>Cohort study</w:t>
            </w:r>
            <w:r>
              <w:rPr>
                <w:sz w:val="20"/>
              </w:rPr>
              <w:t>—If applicable, explain how loss to follow-up was addressed</w:t>
            </w:r>
          </w:p>
          <w:p w14:paraId="15D6853E">
            <w:pPr>
              <w:tabs>
                <w:tab w:val="left" w:pos="5400"/>
              </w:tabs>
              <w:rPr>
                <w:sz w:val="20"/>
              </w:rPr>
            </w:pPr>
            <w:r>
              <w:rPr>
                <w:bCs/>
                <w:i/>
                <w:sz w:val="20"/>
              </w:rPr>
              <w:t>Case-control study</w:t>
            </w:r>
            <w:r>
              <w:rPr>
                <w:sz w:val="20"/>
              </w:rPr>
              <w:t>—If applicable, explain how matching of cases and controls was addressed</w:t>
            </w:r>
          </w:p>
          <w:p w14:paraId="30B29D3C">
            <w:pPr>
              <w:tabs>
                <w:tab w:val="left" w:pos="5400"/>
              </w:tabs>
              <w:rPr>
                <w:sz w:val="20"/>
              </w:rPr>
            </w:pPr>
            <w:r>
              <w:rPr>
                <w:bCs/>
                <w:i/>
                <w:sz w:val="20"/>
              </w:rPr>
              <w:t>Cross-sectional study</w:t>
            </w:r>
            <w:r>
              <w:rPr>
                <w:sz w:val="20"/>
              </w:rPr>
              <w:t>—If applicable, describe analytical methods taking account of sampling strategy</w:t>
            </w:r>
          </w:p>
        </w:tc>
        <w:tc>
          <w:tcPr>
            <w:tcW w:w="611" w:type="dxa"/>
            <w:vAlign w:val="top"/>
          </w:tcPr>
          <w:p w14:paraId="37B1AA8D">
            <w:pPr>
              <w:tabs>
                <w:tab w:val="left" w:pos="5400"/>
              </w:tabs>
              <w:rPr>
                <w:rFonts w:hint="eastAsia" w:eastAsia="宋体"/>
                <w:sz w:val="20"/>
                <w:lang w:val="en-US" w:eastAsia="zh-CN"/>
              </w:rPr>
            </w:pPr>
            <w:r>
              <w:rPr>
                <w:rFonts w:hint="eastAsia" w:eastAsia="宋体"/>
                <w:sz w:val="20"/>
                <w:lang w:val="en-US" w:eastAsia="zh-CN"/>
              </w:rPr>
              <w:t>5</w:t>
            </w:r>
          </w:p>
        </w:tc>
        <w:tc>
          <w:tcPr>
            <w:tcW w:w="3388" w:type="dxa"/>
            <w:vAlign w:val="top"/>
          </w:tcPr>
          <w:p w14:paraId="182280DA">
            <w:pPr>
              <w:tabs>
                <w:tab w:val="left" w:pos="5400"/>
              </w:tabs>
            </w:pPr>
            <w:r>
              <w:rPr>
                <w:rFonts w:hint="eastAsia" w:ascii="Times New Roman" w:hAnsi="Times New Roman" w:eastAsia="宋体" w:cs="Times New Roman"/>
                <w:sz w:val="24"/>
                <w:lang w:val="en-US" w:eastAsia="zh-CN"/>
              </w:rPr>
              <w:t>S</w:t>
            </w:r>
            <w:r>
              <w:rPr>
                <w:rFonts w:ascii="Times New Roman" w:hAnsi="Times New Roman" w:eastAsia="宋体" w:cs="Times New Roman"/>
                <w:sz w:val="24"/>
              </w:rPr>
              <w:t>plit the 5,267 CABG patients into two groups: Training (N=3,689) and validation (N=1,578) sets.</w:t>
            </w:r>
          </w:p>
        </w:tc>
      </w:tr>
      <w:tr w14:paraId="2012011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731B2B26">
            <w:pPr>
              <w:tabs>
                <w:tab w:val="left" w:pos="5400"/>
              </w:tabs>
              <w:rPr>
                <w:bCs/>
                <w:sz w:val="20"/>
              </w:rPr>
            </w:pPr>
          </w:p>
        </w:tc>
        <w:tc>
          <w:tcPr>
            <w:tcW w:w="600" w:type="dxa"/>
            <w:vMerge w:val="continue"/>
            <w:vAlign w:val="top"/>
          </w:tcPr>
          <w:p w14:paraId="6910E5D5">
            <w:pPr>
              <w:tabs>
                <w:tab w:val="left" w:pos="5400"/>
              </w:tabs>
              <w:jc w:val="center"/>
              <w:rPr>
                <w:sz w:val="20"/>
              </w:rPr>
            </w:pPr>
          </w:p>
        </w:tc>
        <w:tc>
          <w:tcPr>
            <w:tcW w:w="1942" w:type="dxa"/>
            <w:vAlign w:val="top"/>
          </w:tcPr>
          <w:p w14:paraId="6752989C">
            <w:pPr>
              <w:tabs>
                <w:tab w:val="left" w:pos="5400"/>
              </w:tabs>
              <w:rPr>
                <w:sz w:val="20"/>
              </w:rPr>
            </w:pPr>
            <w:r>
              <w:rPr>
                <w:sz w:val="20"/>
              </w:rPr>
              <w:t>(</w:t>
            </w:r>
            <w:r>
              <w:rPr>
                <w:i/>
                <w:sz w:val="20"/>
                <w:u w:val="single"/>
              </w:rPr>
              <w:t>e</w:t>
            </w:r>
            <w:r>
              <w:rPr>
                <w:sz w:val="20"/>
              </w:rPr>
              <w:t>) Describe any sensitivity analyses</w:t>
            </w:r>
          </w:p>
        </w:tc>
        <w:tc>
          <w:tcPr>
            <w:tcW w:w="611" w:type="dxa"/>
            <w:vAlign w:val="top"/>
          </w:tcPr>
          <w:p w14:paraId="1DD7BA79">
            <w:pPr>
              <w:tabs>
                <w:tab w:val="left" w:pos="5400"/>
              </w:tabs>
              <w:rPr>
                <w:rFonts w:hint="eastAsia" w:eastAsia="宋体"/>
                <w:sz w:val="20"/>
                <w:lang w:val="en-US" w:eastAsia="zh-CN"/>
              </w:rPr>
            </w:pPr>
            <w:r>
              <w:rPr>
                <w:rFonts w:hint="eastAsia" w:eastAsia="宋体"/>
                <w:sz w:val="20"/>
                <w:lang w:val="en-US" w:eastAsia="zh-CN"/>
              </w:rPr>
              <w:t>5-6</w:t>
            </w:r>
          </w:p>
        </w:tc>
        <w:tc>
          <w:tcPr>
            <w:tcW w:w="3388" w:type="dxa"/>
            <w:vAlign w:val="top"/>
          </w:tcPr>
          <w:p w14:paraId="042D5DC6">
            <w:pPr>
              <w:tabs>
                <w:tab w:val="left" w:pos="5400"/>
              </w:tabs>
            </w:pPr>
            <w:r>
              <w:rPr>
                <w:rFonts w:hint="eastAsia" w:eastAsia="宋体"/>
                <w:lang w:val="en-US" w:eastAsia="zh-CN"/>
              </w:rPr>
              <w:t>T</w:t>
            </w:r>
            <w:r>
              <w:t>he Receiver Operating Characteristic (ROC) curve [Area Under the Curve (AUC)], and calibration curve, Decision Curve Analysis (DCA)</w:t>
            </w:r>
          </w:p>
        </w:tc>
      </w:tr>
      <w:tr w14:paraId="5D9C6DC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20" w:type="dxa"/>
            <w:gridSpan w:val="5"/>
            <w:vAlign w:val="top"/>
          </w:tcPr>
          <w:p w14:paraId="3D58BDB5">
            <w:pPr>
              <w:pStyle w:val="10"/>
              <w:tabs>
                <w:tab w:val="left" w:pos="5400"/>
              </w:tabs>
              <w:ind w:firstLine="0" w:firstLineChars="0"/>
            </w:pPr>
            <w:r>
              <w:rPr>
                <w:sz w:val="20"/>
              </w:rPr>
              <w:t>Results</w:t>
            </w:r>
          </w:p>
        </w:tc>
      </w:tr>
      <w:tr w14:paraId="695B344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restart"/>
            <w:vAlign w:val="top"/>
          </w:tcPr>
          <w:p w14:paraId="4F03686C">
            <w:pPr>
              <w:tabs>
                <w:tab w:val="left" w:pos="5400"/>
              </w:tabs>
              <w:rPr>
                <w:bCs/>
                <w:sz w:val="20"/>
              </w:rPr>
            </w:pPr>
            <w:r>
              <w:rPr>
                <w:bCs/>
                <w:sz w:val="20"/>
              </w:rPr>
              <w:t>Participants</w:t>
            </w:r>
          </w:p>
        </w:tc>
        <w:tc>
          <w:tcPr>
            <w:tcW w:w="600" w:type="dxa"/>
            <w:vMerge w:val="restart"/>
            <w:vAlign w:val="top"/>
          </w:tcPr>
          <w:p w14:paraId="5B96FC26">
            <w:pPr>
              <w:tabs>
                <w:tab w:val="left" w:pos="5400"/>
              </w:tabs>
              <w:jc w:val="center"/>
              <w:rPr>
                <w:sz w:val="20"/>
              </w:rPr>
            </w:pPr>
            <w:r>
              <w:rPr>
                <w:sz w:val="20"/>
              </w:rPr>
              <w:t>13</w:t>
            </w:r>
            <w:r>
              <w:rPr>
                <w:bCs/>
                <w:sz w:val="20"/>
              </w:rPr>
              <w:t>*</w:t>
            </w:r>
          </w:p>
        </w:tc>
        <w:tc>
          <w:tcPr>
            <w:tcW w:w="1942" w:type="dxa"/>
            <w:vAlign w:val="top"/>
          </w:tcPr>
          <w:p w14:paraId="2065C549">
            <w:pPr>
              <w:tabs>
                <w:tab w:val="left" w:pos="5400"/>
              </w:tabs>
              <w:rPr>
                <w:sz w:val="20"/>
              </w:rPr>
            </w:pPr>
            <w:r>
              <w:rPr>
                <w:sz w:val="20"/>
              </w:rPr>
              <w:t>(a) Report numbers of individuals at each stage of study—eg numbers potentially eligible, examined for eligibility, confirmed eligible, included in the study, completing follow-up, and analysed</w:t>
            </w:r>
          </w:p>
        </w:tc>
        <w:tc>
          <w:tcPr>
            <w:tcW w:w="611" w:type="dxa"/>
            <w:vAlign w:val="top"/>
          </w:tcPr>
          <w:p w14:paraId="453B24B8">
            <w:pPr>
              <w:tabs>
                <w:tab w:val="left" w:pos="5400"/>
              </w:tabs>
              <w:rPr>
                <w:rFonts w:hint="eastAsia" w:eastAsia="宋体"/>
                <w:sz w:val="20"/>
                <w:lang w:val="en-US" w:eastAsia="zh-CN"/>
              </w:rPr>
            </w:pPr>
            <w:r>
              <w:rPr>
                <w:rFonts w:hint="eastAsia" w:eastAsia="宋体"/>
                <w:sz w:val="20"/>
                <w:lang w:val="en-US" w:eastAsia="zh-CN"/>
              </w:rPr>
              <w:t>5</w:t>
            </w:r>
          </w:p>
        </w:tc>
        <w:tc>
          <w:tcPr>
            <w:tcW w:w="3388" w:type="dxa"/>
            <w:vAlign w:val="top"/>
          </w:tcPr>
          <w:p w14:paraId="0202138C">
            <w:pPr>
              <w:tabs>
                <w:tab w:val="left" w:pos="5400"/>
              </w:tabs>
            </w:pPr>
            <w:r>
              <w:rPr>
                <w:rFonts w:hint="eastAsia"/>
                <w:lang w:val="en-US"/>
              </w:rPr>
              <w:t>5649 patients underwent coronary bypass grafting in MIMIC IV</w:t>
            </w:r>
            <w:r>
              <w:rPr>
                <w:rFonts w:hint="eastAsia"/>
                <w:lang w:val="en-US" w:eastAsia="zh-CN"/>
              </w:rPr>
              <w:t>,</w:t>
            </w:r>
            <w:r>
              <w:rPr>
                <w:rFonts w:hint="eastAsia"/>
                <w:lang w:val="en-US"/>
              </w:rPr>
              <w:t>Venricular arrhythmias before operation(n=48)</w:t>
            </w:r>
            <w:r>
              <w:rPr>
                <w:rFonts w:hint="eastAsia"/>
                <w:lang w:val="en-US" w:eastAsia="zh-CN"/>
              </w:rPr>
              <w:t>,</w:t>
            </w:r>
            <w:r>
              <w:rPr>
                <w:rFonts w:hint="eastAsia"/>
                <w:lang w:val="en-US"/>
              </w:rPr>
              <w:t>Missing Heart Rhythm Recording(n=334)</w:t>
            </w:r>
            <w:r>
              <w:rPr>
                <w:rFonts w:hint="eastAsia"/>
                <w:lang w:val="en-US" w:eastAsia="zh-CN"/>
              </w:rPr>
              <w:t>,</w:t>
            </w:r>
            <w:r>
              <w:rPr>
                <w:rFonts w:hint="eastAsia"/>
                <w:lang w:val="en-US"/>
              </w:rPr>
              <w:t>5267 patients were enrolled finally</w:t>
            </w:r>
          </w:p>
        </w:tc>
      </w:tr>
      <w:tr w14:paraId="79FE3A2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6D2BA842">
            <w:pPr>
              <w:tabs>
                <w:tab w:val="left" w:pos="5400"/>
              </w:tabs>
              <w:rPr>
                <w:bCs/>
                <w:sz w:val="20"/>
              </w:rPr>
            </w:pPr>
          </w:p>
        </w:tc>
        <w:tc>
          <w:tcPr>
            <w:tcW w:w="600" w:type="dxa"/>
            <w:vMerge w:val="continue"/>
            <w:vAlign w:val="top"/>
          </w:tcPr>
          <w:p w14:paraId="00F40244">
            <w:pPr>
              <w:tabs>
                <w:tab w:val="left" w:pos="5400"/>
              </w:tabs>
              <w:jc w:val="center"/>
              <w:rPr>
                <w:sz w:val="20"/>
              </w:rPr>
            </w:pPr>
          </w:p>
        </w:tc>
        <w:tc>
          <w:tcPr>
            <w:tcW w:w="1942" w:type="dxa"/>
            <w:vAlign w:val="top"/>
          </w:tcPr>
          <w:p w14:paraId="6B950DD1">
            <w:pPr>
              <w:tabs>
                <w:tab w:val="left" w:pos="5400"/>
              </w:tabs>
              <w:rPr>
                <w:sz w:val="20"/>
              </w:rPr>
            </w:pPr>
            <w:r>
              <w:rPr>
                <w:sz w:val="20"/>
              </w:rPr>
              <w:t>(b) Give reasons for non-participation at each stage</w:t>
            </w:r>
          </w:p>
        </w:tc>
        <w:tc>
          <w:tcPr>
            <w:tcW w:w="611" w:type="dxa"/>
            <w:vAlign w:val="top"/>
          </w:tcPr>
          <w:p w14:paraId="1CC41BC2">
            <w:pPr>
              <w:tabs>
                <w:tab w:val="left" w:pos="5400"/>
              </w:tabs>
              <w:rPr>
                <w:rFonts w:hint="eastAsia" w:eastAsia="宋体"/>
                <w:sz w:val="20"/>
                <w:lang w:val="en-US" w:eastAsia="zh-CN"/>
              </w:rPr>
            </w:pPr>
            <w:r>
              <w:rPr>
                <w:rFonts w:hint="eastAsia" w:eastAsia="宋体"/>
                <w:sz w:val="20"/>
                <w:lang w:val="en-US" w:eastAsia="zh-CN"/>
              </w:rPr>
              <w:t>4</w:t>
            </w:r>
          </w:p>
        </w:tc>
        <w:tc>
          <w:tcPr>
            <w:tcW w:w="3388" w:type="dxa"/>
            <w:vAlign w:val="top"/>
          </w:tcPr>
          <w:p w14:paraId="1763478F">
            <w:pPr>
              <w:tabs>
                <w:tab w:val="left" w:pos="5400"/>
              </w:tabs>
            </w:pPr>
            <w:r>
              <w:t>Exclusion criteria</w:t>
            </w:r>
          </w:p>
        </w:tc>
      </w:tr>
      <w:tr w14:paraId="304550E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4471588B">
            <w:pPr>
              <w:tabs>
                <w:tab w:val="left" w:pos="5400"/>
              </w:tabs>
              <w:rPr>
                <w:bCs/>
                <w:sz w:val="20"/>
              </w:rPr>
            </w:pPr>
          </w:p>
        </w:tc>
        <w:tc>
          <w:tcPr>
            <w:tcW w:w="600" w:type="dxa"/>
            <w:vMerge w:val="continue"/>
            <w:vAlign w:val="top"/>
          </w:tcPr>
          <w:p w14:paraId="4A3E1DCF">
            <w:pPr>
              <w:tabs>
                <w:tab w:val="left" w:pos="5400"/>
              </w:tabs>
              <w:jc w:val="center"/>
              <w:rPr>
                <w:sz w:val="20"/>
              </w:rPr>
            </w:pPr>
          </w:p>
        </w:tc>
        <w:tc>
          <w:tcPr>
            <w:tcW w:w="1942" w:type="dxa"/>
            <w:vAlign w:val="top"/>
          </w:tcPr>
          <w:p w14:paraId="26A4A42E">
            <w:pPr>
              <w:tabs>
                <w:tab w:val="left" w:pos="5400"/>
              </w:tabs>
              <w:rPr>
                <w:sz w:val="20"/>
              </w:rPr>
            </w:pPr>
            <w:r>
              <w:rPr>
                <w:sz w:val="20"/>
              </w:rPr>
              <w:t>(c) Consider use of a flow diagram</w:t>
            </w:r>
          </w:p>
        </w:tc>
        <w:tc>
          <w:tcPr>
            <w:tcW w:w="611" w:type="dxa"/>
            <w:vAlign w:val="top"/>
          </w:tcPr>
          <w:p w14:paraId="6D53D729">
            <w:pPr>
              <w:tabs>
                <w:tab w:val="left" w:pos="5400"/>
              </w:tabs>
              <w:rPr>
                <w:rFonts w:hint="eastAsia" w:eastAsia="宋体"/>
                <w:sz w:val="20"/>
                <w:lang w:val="en-US" w:eastAsia="zh-CN"/>
              </w:rPr>
            </w:pPr>
            <w:r>
              <w:rPr>
                <w:rFonts w:hint="eastAsia" w:eastAsia="宋体"/>
                <w:sz w:val="20"/>
                <w:lang w:val="en-US" w:eastAsia="zh-CN"/>
              </w:rPr>
              <w:t>4</w:t>
            </w:r>
          </w:p>
        </w:tc>
        <w:tc>
          <w:tcPr>
            <w:tcW w:w="3388" w:type="dxa"/>
            <w:vAlign w:val="top"/>
          </w:tcPr>
          <w:p w14:paraId="5A1DCC23">
            <w:pPr>
              <w:tabs>
                <w:tab w:val="left" w:pos="5400"/>
              </w:tabs>
            </w:pPr>
            <w:r>
              <w:t>Figure 1</w:t>
            </w:r>
          </w:p>
        </w:tc>
      </w:tr>
      <w:tr w14:paraId="32B4603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restart"/>
            <w:vAlign w:val="top"/>
          </w:tcPr>
          <w:p w14:paraId="187BD566">
            <w:pPr>
              <w:tabs>
                <w:tab w:val="left" w:pos="5400"/>
              </w:tabs>
              <w:rPr>
                <w:bCs/>
                <w:sz w:val="20"/>
              </w:rPr>
            </w:pPr>
            <w:r>
              <w:rPr>
                <w:bCs/>
                <w:sz w:val="20"/>
              </w:rPr>
              <w:t>Descriptive data</w:t>
            </w:r>
          </w:p>
        </w:tc>
        <w:tc>
          <w:tcPr>
            <w:tcW w:w="600" w:type="dxa"/>
            <w:vMerge w:val="restart"/>
            <w:vAlign w:val="top"/>
          </w:tcPr>
          <w:p w14:paraId="14F9062D">
            <w:pPr>
              <w:tabs>
                <w:tab w:val="left" w:pos="5400"/>
              </w:tabs>
              <w:jc w:val="center"/>
              <w:rPr>
                <w:sz w:val="20"/>
              </w:rPr>
            </w:pPr>
            <w:r>
              <w:rPr>
                <w:sz w:val="20"/>
              </w:rPr>
              <w:t>14</w:t>
            </w:r>
            <w:r>
              <w:rPr>
                <w:bCs/>
                <w:sz w:val="20"/>
              </w:rPr>
              <w:t>*</w:t>
            </w:r>
          </w:p>
        </w:tc>
        <w:tc>
          <w:tcPr>
            <w:tcW w:w="1942" w:type="dxa"/>
            <w:vAlign w:val="top"/>
          </w:tcPr>
          <w:p w14:paraId="013FB140">
            <w:pPr>
              <w:tabs>
                <w:tab w:val="left" w:pos="5400"/>
              </w:tabs>
              <w:rPr>
                <w:sz w:val="20"/>
              </w:rPr>
            </w:pPr>
            <w:r>
              <w:rPr>
                <w:sz w:val="20"/>
              </w:rPr>
              <w:t>(a) Give characteristics of study participants (eg demographic, clinical, social) and information on exposures and potential confounders</w:t>
            </w:r>
          </w:p>
        </w:tc>
        <w:tc>
          <w:tcPr>
            <w:tcW w:w="611" w:type="dxa"/>
            <w:vAlign w:val="top"/>
          </w:tcPr>
          <w:p w14:paraId="30214FF4">
            <w:pPr>
              <w:tabs>
                <w:tab w:val="left" w:pos="5400"/>
              </w:tabs>
              <w:rPr>
                <w:rFonts w:hint="eastAsia" w:eastAsia="宋体"/>
                <w:sz w:val="20"/>
                <w:lang w:val="en-US" w:eastAsia="zh-CN"/>
              </w:rPr>
            </w:pPr>
            <w:r>
              <w:rPr>
                <w:rFonts w:hint="eastAsia" w:eastAsia="宋体"/>
                <w:sz w:val="20"/>
                <w:lang w:val="en-US" w:eastAsia="zh-CN"/>
              </w:rPr>
              <w:t>6</w:t>
            </w:r>
          </w:p>
        </w:tc>
        <w:tc>
          <w:tcPr>
            <w:tcW w:w="3388" w:type="dxa"/>
            <w:vAlign w:val="top"/>
          </w:tcPr>
          <w:p w14:paraId="04AB20BD">
            <w:pPr>
              <w:tabs>
                <w:tab w:val="left" w:pos="5400"/>
              </w:tabs>
            </w:pPr>
            <w:r>
              <w:t xml:space="preserve">The median age was </w:t>
            </w:r>
            <w:r>
              <w:rPr>
                <w:rFonts w:hint="eastAsia" w:eastAsia="宋体"/>
                <w:lang w:val="en-US" w:eastAsia="zh-CN"/>
              </w:rPr>
              <w:t>69</w:t>
            </w:r>
            <w:r>
              <w:t xml:space="preserve"> [</w:t>
            </w:r>
            <w:r>
              <w:rPr>
                <w:rFonts w:hint="eastAsia" w:eastAsia="宋体"/>
                <w:lang w:val="en-US" w:eastAsia="zh-CN"/>
              </w:rPr>
              <w:t>61</w:t>
            </w:r>
            <w:r>
              <w:t xml:space="preserve">; </w:t>
            </w:r>
            <w:r>
              <w:rPr>
                <w:rFonts w:hint="eastAsia" w:eastAsia="宋体"/>
                <w:lang w:val="en-US" w:eastAsia="zh-CN"/>
              </w:rPr>
              <w:t>76</w:t>
            </w:r>
            <w:r>
              <w:t xml:space="preserve">], with </w:t>
            </w:r>
            <w:r>
              <w:rPr>
                <w:rFonts w:hint="eastAsia" w:eastAsia="宋体"/>
                <w:lang w:val="en-US" w:eastAsia="zh-CN"/>
              </w:rPr>
              <w:t>4053</w:t>
            </w:r>
            <w:r>
              <w:t xml:space="preserve"> (</w:t>
            </w:r>
            <w:r>
              <w:rPr>
                <w:rFonts w:hint="eastAsia" w:eastAsia="宋体"/>
                <w:lang w:val="en-US" w:eastAsia="zh-CN"/>
              </w:rPr>
              <w:t>76.95</w:t>
            </w:r>
            <w:r>
              <w:t xml:space="preserve">%) males. </w:t>
            </w:r>
          </w:p>
        </w:tc>
      </w:tr>
      <w:tr w14:paraId="0EA42D2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7CCD6CD4">
            <w:pPr>
              <w:tabs>
                <w:tab w:val="left" w:pos="5400"/>
              </w:tabs>
              <w:rPr>
                <w:bCs/>
                <w:sz w:val="20"/>
              </w:rPr>
            </w:pPr>
          </w:p>
        </w:tc>
        <w:tc>
          <w:tcPr>
            <w:tcW w:w="600" w:type="dxa"/>
            <w:vMerge w:val="continue"/>
            <w:vAlign w:val="top"/>
          </w:tcPr>
          <w:p w14:paraId="73697EFC">
            <w:pPr>
              <w:tabs>
                <w:tab w:val="left" w:pos="5400"/>
              </w:tabs>
              <w:jc w:val="center"/>
              <w:rPr>
                <w:sz w:val="20"/>
              </w:rPr>
            </w:pPr>
          </w:p>
        </w:tc>
        <w:tc>
          <w:tcPr>
            <w:tcW w:w="1942" w:type="dxa"/>
            <w:vAlign w:val="top"/>
          </w:tcPr>
          <w:p w14:paraId="293E8E12">
            <w:pPr>
              <w:tabs>
                <w:tab w:val="left" w:pos="5400"/>
              </w:tabs>
              <w:rPr>
                <w:sz w:val="20"/>
              </w:rPr>
            </w:pPr>
            <w:r>
              <w:rPr>
                <w:sz w:val="20"/>
              </w:rPr>
              <w:t>(b) Indicate number of participants with missing data for each variable of interest</w:t>
            </w:r>
          </w:p>
        </w:tc>
        <w:tc>
          <w:tcPr>
            <w:tcW w:w="611" w:type="dxa"/>
            <w:vAlign w:val="top"/>
          </w:tcPr>
          <w:p w14:paraId="57EA7078">
            <w:pPr>
              <w:tabs>
                <w:tab w:val="left" w:pos="5400"/>
              </w:tabs>
              <w:rPr>
                <w:rFonts w:hint="eastAsia" w:eastAsia="宋体"/>
                <w:sz w:val="20"/>
                <w:lang w:val="en-US" w:eastAsia="zh-CN"/>
              </w:rPr>
            </w:pPr>
          </w:p>
        </w:tc>
        <w:tc>
          <w:tcPr>
            <w:tcW w:w="3388" w:type="dxa"/>
            <w:vAlign w:val="top"/>
          </w:tcPr>
          <w:p w14:paraId="17AF75EC">
            <w:pPr>
              <w:tabs>
                <w:tab w:val="left" w:pos="5400"/>
              </w:tabs>
            </w:pPr>
            <w:r>
              <w:t>S1 Table. Approaches for managing missing data in variables.</w:t>
            </w:r>
          </w:p>
          <w:p w14:paraId="725EBB04">
            <w:pPr>
              <w:tabs>
                <w:tab w:val="left" w:pos="5400"/>
              </w:tabs>
            </w:pPr>
          </w:p>
        </w:tc>
      </w:tr>
      <w:tr w14:paraId="2EF61CD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71B984A7">
            <w:pPr>
              <w:tabs>
                <w:tab w:val="left" w:pos="5400"/>
              </w:tabs>
              <w:rPr>
                <w:bCs/>
                <w:sz w:val="20"/>
              </w:rPr>
            </w:pPr>
          </w:p>
        </w:tc>
        <w:tc>
          <w:tcPr>
            <w:tcW w:w="600" w:type="dxa"/>
            <w:vMerge w:val="continue"/>
            <w:vAlign w:val="top"/>
          </w:tcPr>
          <w:p w14:paraId="4CA1F09B">
            <w:pPr>
              <w:tabs>
                <w:tab w:val="left" w:pos="5400"/>
              </w:tabs>
              <w:jc w:val="center"/>
              <w:rPr>
                <w:sz w:val="20"/>
              </w:rPr>
            </w:pPr>
          </w:p>
        </w:tc>
        <w:tc>
          <w:tcPr>
            <w:tcW w:w="1942" w:type="dxa"/>
            <w:vAlign w:val="top"/>
          </w:tcPr>
          <w:p w14:paraId="22C64C5B">
            <w:pPr>
              <w:tabs>
                <w:tab w:val="left" w:pos="5400"/>
              </w:tabs>
              <w:rPr>
                <w:sz w:val="20"/>
              </w:rPr>
            </w:pPr>
            <w:r>
              <w:rPr>
                <w:sz w:val="20"/>
              </w:rPr>
              <w:t xml:space="preserve">(c) </w:t>
            </w:r>
            <w:r>
              <w:rPr>
                <w:i/>
                <w:sz w:val="20"/>
              </w:rPr>
              <w:t>Cohort study</w:t>
            </w:r>
            <w:r>
              <w:rPr>
                <w:sz w:val="20"/>
              </w:rPr>
              <w:t>—Summarise follow-up time (eg, average and total amount)</w:t>
            </w:r>
          </w:p>
        </w:tc>
        <w:tc>
          <w:tcPr>
            <w:tcW w:w="611" w:type="dxa"/>
            <w:vAlign w:val="top"/>
          </w:tcPr>
          <w:p w14:paraId="456AF96B">
            <w:pPr>
              <w:tabs>
                <w:tab w:val="left" w:pos="5400"/>
              </w:tabs>
              <w:rPr>
                <w:rFonts w:hint="eastAsia" w:eastAsia="宋体"/>
                <w:sz w:val="20"/>
                <w:lang w:val="en-US" w:eastAsia="zh-CN"/>
              </w:rPr>
            </w:pPr>
          </w:p>
        </w:tc>
        <w:tc>
          <w:tcPr>
            <w:tcW w:w="3388" w:type="dxa"/>
            <w:vAlign w:val="top"/>
          </w:tcPr>
          <w:p w14:paraId="02D0187F">
            <w:pPr>
              <w:tabs>
                <w:tab w:val="left" w:pos="5400"/>
              </w:tabs>
            </w:pPr>
            <w:r>
              <w:t>No follow-up was conducted</w:t>
            </w:r>
          </w:p>
        </w:tc>
      </w:tr>
      <w:tr w14:paraId="70CDE7C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restart"/>
            <w:vAlign w:val="top"/>
          </w:tcPr>
          <w:p w14:paraId="799C0801">
            <w:pPr>
              <w:tabs>
                <w:tab w:val="left" w:pos="5400"/>
              </w:tabs>
              <w:rPr>
                <w:bCs/>
                <w:sz w:val="20"/>
              </w:rPr>
            </w:pPr>
            <w:r>
              <w:rPr>
                <w:bCs/>
                <w:sz w:val="20"/>
              </w:rPr>
              <w:t>Outcome data</w:t>
            </w:r>
          </w:p>
        </w:tc>
        <w:tc>
          <w:tcPr>
            <w:tcW w:w="600" w:type="dxa"/>
            <w:vMerge w:val="restart"/>
            <w:vAlign w:val="top"/>
          </w:tcPr>
          <w:p w14:paraId="33156AD0">
            <w:pPr>
              <w:tabs>
                <w:tab w:val="left" w:pos="5400"/>
              </w:tabs>
              <w:jc w:val="center"/>
              <w:rPr>
                <w:sz w:val="20"/>
              </w:rPr>
            </w:pPr>
            <w:r>
              <w:rPr>
                <w:sz w:val="20"/>
              </w:rPr>
              <w:t>15</w:t>
            </w:r>
            <w:r>
              <w:rPr>
                <w:bCs/>
                <w:sz w:val="20"/>
              </w:rPr>
              <w:t>*</w:t>
            </w:r>
          </w:p>
        </w:tc>
        <w:tc>
          <w:tcPr>
            <w:tcW w:w="1942" w:type="dxa"/>
            <w:vAlign w:val="top"/>
          </w:tcPr>
          <w:p w14:paraId="483F712D">
            <w:pPr>
              <w:tabs>
                <w:tab w:val="left" w:pos="5400"/>
              </w:tabs>
              <w:rPr>
                <w:sz w:val="20"/>
              </w:rPr>
            </w:pPr>
            <w:r>
              <w:rPr>
                <w:i/>
                <w:sz w:val="20"/>
              </w:rPr>
              <w:t>Cohort study</w:t>
            </w:r>
            <w:r>
              <w:rPr>
                <w:sz w:val="20"/>
              </w:rPr>
              <w:t>—Report numbers of outcome events or summary measures over time</w:t>
            </w:r>
          </w:p>
        </w:tc>
        <w:tc>
          <w:tcPr>
            <w:tcW w:w="611" w:type="dxa"/>
            <w:vAlign w:val="top"/>
          </w:tcPr>
          <w:p w14:paraId="03E5BF3F">
            <w:pPr>
              <w:tabs>
                <w:tab w:val="left" w:pos="5400"/>
              </w:tabs>
              <w:rPr>
                <w:rFonts w:hint="eastAsia" w:eastAsia="宋体"/>
                <w:sz w:val="20"/>
                <w:lang w:val="en-US" w:eastAsia="zh-CN"/>
              </w:rPr>
            </w:pPr>
          </w:p>
        </w:tc>
        <w:tc>
          <w:tcPr>
            <w:tcW w:w="3388" w:type="dxa"/>
            <w:vAlign w:val="top"/>
          </w:tcPr>
          <w:p w14:paraId="120AEB02">
            <w:pPr>
              <w:tabs>
                <w:tab w:val="left" w:pos="5400"/>
              </w:tabs>
            </w:pPr>
          </w:p>
        </w:tc>
      </w:tr>
      <w:tr w14:paraId="49A05BC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9" w:type="dxa"/>
            <w:vMerge w:val="continue"/>
            <w:vAlign w:val="top"/>
          </w:tcPr>
          <w:p w14:paraId="13A4CC9F">
            <w:pPr>
              <w:tabs>
                <w:tab w:val="left" w:pos="5400"/>
              </w:tabs>
              <w:rPr>
                <w:bCs/>
                <w:sz w:val="20"/>
              </w:rPr>
            </w:pPr>
          </w:p>
        </w:tc>
        <w:tc>
          <w:tcPr>
            <w:tcW w:w="600" w:type="dxa"/>
            <w:vMerge w:val="continue"/>
            <w:vAlign w:val="top"/>
          </w:tcPr>
          <w:p w14:paraId="7D79A317">
            <w:pPr>
              <w:tabs>
                <w:tab w:val="left" w:pos="5400"/>
              </w:tabs>
              <w:jc w:val="center"/>
              <w:rPr>
                <w:sz w:val="20"/>
              </w:rPr>
            </w:pPr>
          </w:p>
        </w:tc>
        <w:tc>
          <w:tcPr>
            <w:tcW w:w="1942" w:type="dxa"/>
            <w:vAlign w:val="top"/>
          </w:tcPr>
          <w:p w14:paraId="41570106">
            <w:pPr>
              <w:tabs>
                <w:tab w:val="left" w:pos="5400"/>
              </w:tabs>
              <w:rPr>
                <w:sz w:val="20"/>
              </w:rPr>
            </w:pPr>
            <w:r>
              <w:rPr>
                <w:i/>
                <w:sz w:val="20"/>
              </w:rPr>
              <w:t>Case-control study—</w:t>
            </w:r>
            <w:r>
              <w:rPr>
                <w:sz w:val="20"/>
              </w:rPr>
              <w:t>Report numbers in each exposure category, or summary measures of exposure</w:t>
            </w:r>
          </w:p>
        </w:tc>
        <w:tc>
          <w:tcPr>
            <w:tcW w:w="611" w:type="dxa"/>
            <w:vAlign w:val="top"/>
          </w:tcPr>
          <w:p w14:paraId="4A9FE7F5">
            <w:pPr>
              <w:tabs>
                <w:tab w:val="left" w:pos="5400"/>
              </w:tabs>
              <w:rPr>
                <w:rFonts w:hint="eastAsia" w:eastAsia="宋体"/>
                <w:sz w:val="20"/>
                <w:lang w:val="en-US" w:eastAsia="zh-CN"/>
              </w:rPr>
            </w:pPr>
          </w:p>
        </w:tc>
        <w:tc>
          <w:tcPr>
            <w:tcW w:w="3388" w:type="dxa"/>
            <w:vAlign w:val="top"/>
          </w:tcPr>
          <w:p w14:paraId="6CCA7C58">
            <w:pPr>
              <w:tabs>
                <w:tab w:val="left" w:pos="5400"/>
              </w:tabs>
            </w:pPr>
          </w:p>
        </w:tc>
      </w:tr>
      <w:bookmarkEnd w:id="38"/>
      <w:bookmarkEnd w:id="39"/>
    </w:tbl>
    <w:tbl>
      <w:tblPr>
        <w:tblStyle w:val="4"/>
        <w:tblpPr w:leftFromText="180" w:rightFromText="180" w:vertAnchor="text" w:horzAnchor="page" w:tblpX="2277" w:tblpY="11"/>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975"/>
        <w:gridCol w:w="610"/>
        <w:gridCol w:w="1947"/>
        <w:gridCol w:w="609"/>
        <w:gridCol w:w="3378"/>
      </w:tblGrid>
      <w:tr w14:paraId="167EF39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5" w:type="dxa"/>
            <w:vMerge w:val="restart"/>
            <w:vAlign w:val="top"/>
          </w:tcPr>
          <w:p w14:paraId="1469EE60">
            <w:pPr>
              <w:tabs>
                <w:tab w:val="left" w:pos="5400"/>
              </w:tabs>
              <w:rPr>
                <w:bCs/>
                <w:sz w:val="20"/>
              </w:rPr>
            </w:pPr>
            <w:r>
              <w:rPr>
                <w:bCs/>
                <w:sz w:val="20"/>
              </w:rPr>
              <w:t>Main results</w:t>
            </w:r>
          </w:p>
        </w:tc>
        <w:tc>
          <w:tcPr>
            <w:tcW w:w="610" w:type="dxa"/>
            <w:vMerge w:val="restart"/>
            <w:vAlign w:val="top"/>
          </w:tcPr>
          <w:p w14:paraId="7AF966CC">
            <w:pPr>
              <w:tabs>
                <w:tab w:val="left" w:pos="5400"/>
              </w:tabs>
              <w:jc w:val="center"/>
              <w:rPr>
                <w:sz w:val="20"/>
              </w:rPr>
            </w:pPr>
            <w:r>
              <w:rPr>
                <w:sz w:val="20"/>
              </w:rPr>
              <w:t>16</w:t>
            </w:r>
          </w:p>
        </w:tc>
        <w:tc>
          <w:tcPr>
            <w:tcW w:w="1947" w:type="dxa"/>
            <w:vAlign w:val="top"/>
          </w:tcPr>
          <w:p w14:paraId="29426F91">
            <w:pPr>
              <w:tabs>
                <w:tab w:val="left" w:pos="5400"/>
              </w:tabs>
              <w:rPr>
                <w:sz w:val="20"/>
              </w:rPr>
            </w:pPr>
            <w:r>
              <w:rPr>
                <w:sz w:val="20"/>
              </w:rPr>
              <w:t>(</w:t>
            </w:r>
            <w:r>
              <w:rPr>
                <w:i/>
                <w:sz w:val="20"/>
              </w:rPr>
              <w:t>a</w:t>
            </w:r>
            <w:r>
              <w:rPr>
                <w:sz w:val="20"/>
              </w:rPr>
              <w:t>) Give unadjusted estimates and, if applicable, confounder-adjusted estimates and their precision (eg, 95% confidence interval). Make clear which confounders were adjusted for and why they were included</w:t>
            </w:r>
          </w:p>
        </w:tc>
        <w:tc>
          <w:tcPr>
            <w:tcW w:w="609" w:type="dxa"/>
            <w:vAlign w:val="top"/>
          </w:tcPr>
          <w:p w14:paraId="36955166">
            <w:pPr>
              <w:tabs>
                <w:tab w:val="left" w:pos="5400"/>
              </w:tabs>
              <w:rPr>
                <w:rFonts w:hint="default" w:eastAsia="宋体"/>
                <w:sz w:val="20"/>
                <w:lang w:val="en-US" w:eastAsia="zh-CN"/>
              </w:rPr>
            </w:pPr>
          </w:p>
        </w:tc>
        <w:tc>
          <w:tcPr>
            <w:tcW w:w="3378" w:type="dxa"/>
            <w:vAlign w:val="top"/>
          </w:tcPr>
          <w:p w14:paraId="107FFE8A">
            <w:pPr>
              <w:tabs>
                <w:tab w:val="left" w:pos="5400"/>
              </w:tabs>
              <w:rPr>
                <w:sz w:val="20"/>
              </w:rPr>
            </w:pPr>
            <w:r>
              <w:t>unadjusted</w:t>
            </w:r>
          </w:p>
        </w:tc>
      </w:tr>
      <w:tr w14:paraId="6F669F1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5" w:type="dxa"/>
            <w:vMerge w:val="continue"/>
            <w:vAlign w:val="top"/>
          </w:tcPr>
          <w:p w14:paraId="6048745E">
            <w:pPr>
              <w:tabs>
                <w:tab w:val="left" w:pos="5400"/>
              </w:tabs>
              <w:rPr>
                <w:sz w:val="20"/>
              </w:rPr>
            </w:pPr>
          </w:p>
        </w:tc>
        <w:tc>
          <w:tcPr>
            <w:tcW w:w="610" w:type="dxa"/>
            <w:vMerge w:val="continue"/>
            <w:vAlign w:val="top"/>
          </w:tcPr>
          <w:p w14:paraId="65D47593">
            <w:pPr>
              <w:tabs>
                <w:tab w:val="left" w:pos="5400"/>
              </w:tabs>
              <w:jc w:val="center"/>
              <w:rPr>
                <w:sz w:val="20"/>
              </w:rPr>
            </w:pPr>
          </w:p>
        </w:tc>
        <w:tc>
          <w:tcPr>
            <w:tcW w:w="1947" w:type="dxa"/>
            <w:vAlign w:val="top"/>
          </w:tcPr>
          <w:p w14:paraId="2B5A2FF0">
            <w:pPr>
              <w:tabs>
                <w:tab w:val="left" w:pos="5400"/>
              </w:tabs>
              <w:rPr>
                <w:sz w:val="20"/>
              </w:rPr>
            </w:pPr>
            <w:r>
              <w:rPr>
                <w:sz w:val="20"/>
              </w:rPr>
              <w:t>(</w:t>
            </w:r>
            <w:r>
              <w:rPr>
                <w:i/>
                <w:sz w:val="20"/>
              </w:rPr>
              <w:t>b</w:t>
            </w:r>
            <w:r>
              <w:rPr>
                <w:sz w:val="20"/>
              </w:rPr>
              <w:t>) Report category boundaries when continuous variables were categorized</w:t>
            </w:r>
          </w:p>
        </w:tc>
        <w:tc>
          <w:tcPr>
            <w:tcW w:w="609" w:type="dxa"/>
            <w:vAlign w:val="top"/>
          </w:tcPr>
          <w:p w14:paraId="7082E334">
            <w:pPr>
              <w:tabs>
                <w:tab w:val="left" w:pos="5400"/>
              </w:tabs>
              <w:rPr>
                <w:rFonts w:hint="default" w:eastAsia="宋体"/>
                <w:sz w:val="20"/>
                <w:lang w:val="en-US" w:eastAsia="zh-CN"/>
              </w:rPr>
            </w:pPr>
          </w:p>
        </w:tc>
        <w:tc>
          <w:tcPr>
            <w:tcW w:w="3378" w:type="dxa"/>
            <w:vAlign w:val="top"/>
          </w:tcPr>
          <w:p w14:paraId="76938881">
            <w:pPr>
              <w:tabs>
                <w:tab w:val="left" w:pos="5400"/>
              </w:tabs>
            </w:pPr>
            <w:r>
              <w:t>S1 Fig.</w:t>
            </w:r>
            <w:r>
              <w:rPr>
                <w:rFonts w:hint="eastAsia"/>
              </w:rPr>
              <w:t xml:space="preserve"> </w:t>
            </w:r>
            <w:r>
              <w:t>Transform continuous variables into categorical variables using cut-off values derived from the ROC curve</w:t>
            </w:r>
            <w:r>
              <w:rPr>
                <w:rFonts w:hint="eastAsia"/>
              </w:rPr>
              <w:t>.</w:t>
            </w:r>
          </w:p>
          <w:p w14:paraId="77A1D4ED">
            <w:pPr>
              <w:tabs>
                <w:tab w:val="left" w:pos="5400"/>
              </w:tabs>
              <w:rPr>
                <w:sz w:val="20"/>
              </w:rPr>
            </w:pPr>
          </w:p>
        </w:tc>
      </w:tr>
      <w:tr w14:paraId="1E36337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975" w:type="dxa"/>
            <w:vMerge w:val="continue"/>
            <w:vAlign w:val="top"/>
          </w:tcPr>
          <w:p w14:paraId="11A1BF65">
            <w:pPr>
              <w:tabs>
                <w:tab w:val="left" w:pos="5400"/>
              </w:tabs>
              <w:rPr>
                <w:bCs/>
                <w:sz w:val="20"/>
              </w:rPr>
            </w:pPr>
            <w:bookmarkStart w:id="40" w:name="bold24" w:colFirst="0" w:colLast="0"/>
            <w:bookmarkStart w:id="41" w:name="italic26" w:colFirst="0" w:colLast="0"/>
          </w:p>
        </w:tc>
        <w:tc>
          <w:tcPr>
            <w:tcW w:w="610" w:type="dxa"/>
            <w:vMerge w:val="continue"/>
            <w:vAlign w:val="top"/>
          </w:tcPr>
          <w:p w14:paraId="581921AC">
            <w:pPr>
              <w:tabs>
                <w:tab w:val="left" w:pos="5400"/>
              </w:tabs>
              <w:jc w:val="center"/>
              <w:rPr>
                <w:sz w:val="20"/>
              </w:rPr>
            </w:pPr>
          </w:p>
        </w:tc>
        <w:tc>
          <w:tcPr>
            <w:tcW w:w="1947" w:type="dxa"/>
            <w:vAlign w:val="top"/>
          </w:tcPr>
          <w:p w14:paraId="20D0BDFF">
            <w:pPr>
              <w:tabs>
                <w:tab w:val="left" w:pos="5400"/>
              </w:tabs>
              <w:rPr>
                <w:sz w:val="20"/>
              </w:rPr>
            </w:pPr>
            <w:r>
              <w:rPr>
                <w:sz w:val="20"/>
              </w:rPr>
              <w:t>(</w:t>
            </w:r>
            <w:r>
              <w:rPr>
                <w:i/>
                <w:sz w:val="20"/>
              </w:rPr>
              <w:t>c</w:t>
            </w:r>
            <w:r>
              <w:rPr>
                <w:sz w:val="20"/>
              </w:rPr>
              <w:t>) If relevant, consider translating estimates of relative risk into absolute risk for a meaningful time period</w:t>
            </w:r>
          </w:p>
        </w:tc>
        <w:tc>
          <w:tcPr>
            <w:tcW w:w="609" w:type="dxa"/>
            <w:vAlign w:val="top"/>
          </w:tcPr>
          <w:p w14:paraId="0B0C5550">
            <w:pPr>
              <w:tabs>
                <w:tab w:val="left" w:pos="5400"/>
              </w:tabs>
              <w:rPr>
                <w:sz w:val="20"/>
              </w:rPr>
            </w:pPr>
          </w:p>
        </w:tc>
        <w:tc>
          <w:tcPr>
            <w:tcW w:w="3378" w:type="dxa"/>
            <w:vAlign w:val="top"/>
          </w:tcPr>
          <w:p w14:paraId="7C7D1205">
            <w:pPr>
              <w:tabs>
                <w:tab w:val="left" w:pos="5400"/>
              </w:tabs>
              <w:rPr>
                <w:sz w:val="20"/>
              </w:rPr>
            </w:pPr>
          </w:p>
        </w:tc>
      </w:tr>
      <w:bookmarkEnd w:id="40"/>
      <w:bookmarkEnd w:id="41"/>
    </w:tbl>
    <w:tbl>
      <w:tblPr>
        <w:tblStyle w:val="4"/>
        <w:tblpPr w:leftFromText="180" w:rightFromText="180" w:vertAnchor="text" w:horzAnchor="page" w:tblpX="2286" w:tblpY="13"/>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957"/>
        <w:gridCol w:w="609"/>
        <w:gridCol w:w="1966"/>
        <w:gridCol w:w="610"/>
        <w:gridCol w:w="3377"/>
      </w:tblGrid>
      <w:tr w14:paraId="1E2E5E6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48" w:type="pct"/>
          </w:tcPr>
          <w:p w14:paraId="54FC8354">
            <w:pPr>
              <w:tabs>
                <w:tab w:val="left" w:pos="5400"/>
              </w:tabs>
              <w:rPr>
                <w:bCs/>
                <w:sz w:val="20"/>
              </w:rPr>
            </w:pPr>
            <w:bookmarkStart w:id="56" w:name="_GoBack"/>
            <w:bookmarkEnd w:id="56"/>
            <w:r>
              <w:rPr>
                <w:bCs/>
                <w:sz w:val="20"/>
              </w:rPr>
              <w:t>Other analyses</w:t>
            </w:r>
          </w:p>
        </w:tc>
        <w:tc>
          <w:tcPr>
            <w:tcW w:w="357" w:type="pct"/>
          </w:tcPr>
          <w:p w14:paraId="17EF93FB">
            <w:pPr>
              <w:tabs>
                <w:tab w:val="left" w:pos="5400"/>
              </w:tabs>
              <w:jc w:val="center"/>
              <w:rPr>
                <w:sz w:val="20"/>
              </w:rPr>
            </w:pPr>
            <w:r>
              <w:rPr>
                <w:sz w:val="20"/>
              </w:rPr>
              <w:t>17</w:t>
            </w:r>
          </w:p>
        </w:tc>
        <w:tc>
          <w:tcPr>
            <w:tcW w:w="1153" w:type="pct"/>
          </w:tcPr>
          <w:p w14:paraId="3B85DCA7">
            <w:pPr>
              <w:tabs>
                <w:tab w:val="left" w:pos="5400"/>
              </w:tabs>
              <w:rPr>
                <w:sz w:val="20"/>
              </w:rPr>
            </w:pPr>
            <w:r>
              <w:rPr>
                <w:sz w:val="20"/>
              </w:rPr>
              <w:t>Report other analyses done—eg analyses of subgroups and interactions, and sensitivity analyses</w:t>
            </w:r>
          </w:p>
        </w:tc>
        <w:tc>
          <w:tcPr>
            <w:tcW w:w="358" w:type="pct"/>
          </w:tcPr>
          <w:p w14:paraId="52E11B8E">
            <w:pPr>
              <w:tabs>
                <w:tab w:val="left" w:pos="5400"/>
              </w:tabs>
              <w:rPr>
                <w:sz w:val="20"/>
              </w:rPr>
            </w:pPr>
          </w:p>
        </w:tc>
        <w:tc>
          <w:tcPr>
            <w:tcW w:w="1982" w:type="pct"/>
          </w:tcPr>
          <w:p w14:paraId="193545AE">
            <w:pPr>
              <w:tabs>
                <w:tab w:val="left" w:pos="5400"/>
              </w:tabs>
              <w:rPr>
                <w:sz w:val="20"/>
              </w:rPr>
            </w:pPr>
          </w:p>
        </w:tc>
      </w:tr>
      <w:tr w14:paraId="2CD7BA4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000" w:type="pct"/>
            <w:gridSpan w:val="5"/>
          </w:tcPr>
          <w:p w14:paraId="235698F3">
            <w:pPr>
              <w:pStyle w:val="10"/>
              <w:tabs>
                <w:tab w:val="left" w:pos="5400"/>
              </w:tabs>
              <w:rPr>
                <w:sz w:val="20"/>
              </w:rPr>
            </w:pPr>
            <w:bookmarkStart w:id="42" w:name="italic44"/>
            <w:bookmarkStart w:id="43" w:name="bold45"/>
            <w:r>
              <w:rPr>
                <w:sz w:val="20"/>
              </w:rPr>
              <w:t>Discussion</w:t>
            </w:r>
            <w:bookmarkEnd w:id="42"/>
            <w:bookmarkEnd w:id="43"/>
          </w:p>
        </w:tc>
      </w:tr>
      <w:tr w14:paraId="73A601C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48" w:type="pct"/>
          </w:tcPr>
          <w:p w14:paraId="1187B0C3">
            <w:pPr>
              <w:tabs>
                <w:tab w:val="left" w:pos="5400"/>
              </w:tabs>
              <w:rPr>
                <w:bCs/>
                <w:sz w:val="20"/>
              </w:rPr>
            </w:pPr>
            <w:bookmarkStart w:id="44" w:name="italic45" w:colFirst="0" w:colLast="0"/>
            <w:bookmarkStart w:id="45" w:name="bold46" w:colFirst="0" w:colLast="0"/>
            <w:r>
              <w:rPr>
                <w:bCs/>
                <w:sz w:val="20"/>
              </w:rPr>
              <w:t>Key results</w:t>
            </w:r>
          </w:p>
        </w:tc>
        <w:tc>
          <w:tcPr>
            <w:tcW w:w="357" w:type="pct"/>
          </w:tcPr>
          <w:p w14:paraId="122BAE81">
            <w:pPr>
              <w:tabs>
                <w:tab w:val="left" w:pos="5400"/>
              </w:tabs>
              <w:jc w:val="center"/>
              <w:rPr>
                <w:sz w:val="20"/>
              </w:rPr>
            </w:pPr>
            <w:r>
              <w:rPr>
                <w:sz w:val="20"/>
              </w:rPr>
              <w:t>18</w:t>
            </w:r>
          </w:p>
        </w:tc>
        <w:tc>
          <w:tcPr>
            <w:tcW w:w="1153" w:type="pct"/>
          </w:tcPr>
          <w:p w14:paraId="7AD7C8F1">
            <w:pPr>
              <w:tabs>
                <w:tab w:val="left" w:pos="5400"/>
              </w:tabs>
              <w:rPr>
                <w:sz w:val="20"/>
              </w:rPr>
            </w:pPr>
            <w:r>
              <w:rPr>
                <w:sz w:val="20"/>
              </w:rPr>
              <w:t>Summarise key results with reference to study objectives</w:t>
            </w:r>
          </w:p>
        </w:tc>
        <w:tc>
          <w:tcPr>
            <w:tcW w:w="358" w:type="pct"/>
          </w:tcPr>
          <w:p w14:paraId="17FE9C1C">
            <w:pPr>
              <w:tabs>
                <w:tab w:val="left" w:pos="5400"/>
              </w:tabs>
              <w:rPr>
                <w:rFonts w:hint="default" w:eastAsia="宋体"/>
                <w:sz w:val="20"/>
                <w:lang w:val="en-US" w:eastAsia="zh-CN"/>
              </w:rPr>
            </w:pPr>
            <w:r>
              <w:rPr>
                <w:rFonts w:hint="eastAsia" w:eastAsia="宋体"/>
                <w:sz w:val="20"/>
                <w:lang w:val="en-US" w:eastAsia="zh-CN"/>
              </w:rPr>
              <w:t>10</w:t>
            </w:r>
          </w:p>
        </w:tc>
        <w:tc>
          <w:tcPr>
            <w:tcW w:w="1982" w:type="pct"/>
          </w:tcPr>
          <w:p w14:paraId="3F3A4EA5">
            <w:pPr>
              <w:tabs>
                <w:tab w:val="left" w:pos="5400"/>
              </w:tabs>
              <w:rPr>
                <w:sz w:val="20"/>
              </w:rPr>
            </w:pPr>
            <w:r>
              <w:rPr>
                <w:rFonts w:ascii="Times New Roman" w:hAnsi="Times New Roman" w:eastAsia="宋体" w:cs="Times New Roman"/>
                <w:sz w:val="24"/>
              </w:rPr>
              <w:t>The final model included the following eight variables: CHF, AFib, base excess, SBP , WBC count , use of milrinone or dobutamine, CRRT, and LODS score. This model was used to predict the risk of VA (Table 2) and was visualized using a nomogram (Fig 4).</w:t>
            </w:r>
          </w:p>
        </w:tc>
      </w:tr>
      <w:bookmarkEnd w:id="44"/>
      <w:bookmarkEnd w:id="45"/>
      <w:tr w14:paraId="557ECC3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48" w:type="pct"/>
          </w:tcPr>
          <w:p w14:paraId="09A2928B">
            <w:pPr>
              <w:tabs>
                <w:tab w:val="left" w:pos="5400"/>
              </w:tabs>
              <w:rPr>
                <w:bCs/>
                <w:sz w:val="20"/>
              </w:rPr>
            </w:pPr>
            <w:bookmarkStart w:id="46" w:name="bold47" w:colFirst="0" w:colLast="0"/>
            <w:bookmarkStart w:id="47" w:name="italic46" w:colFirst="0" w:colLast="0"/>
            <w:r>
              <w:rPr>
                <w:bCs/>
                <w:sz w:val="20"/>
              </w:rPr>
              <w:t>Limitations</w:t>
            </w:r>
          </w:p>
        </w:tc>
        <w:tc>
          <w:tcPr>
            <w:tcW w:w="357" w:type="pct"/>
          </w:tcPr>
          <w:p w14:paraId="31C66B24">
            <w:pPr>
              <w:tabs>
                <w:tab w:val="left" w:pos="5400"/>
              </w:tabs>
              <w:jc w:val="center"/>
              <w:rPr>
                <w:sz w:val="20"/>
              </w:rPr>
            </w:pPr>
            <w:r>
              <w:rPr>
                <w:sz w:val="20"/>
              </w:rPr>
              <w:t>19</w:t>
            </w:r>
          </w:p>
        </w:tc>
        <w:tc>
          <w:tcPr>
            <w:tcW w:w="1153" w:type="pct"/>
          </w:tcPr>
          <w:p w14:paraId="24E0D2D3">
            <w:pPr>
              <w:tabs>
                <w:tab w:val="left" w:pos="5400"/>
              </w:tabs>
              <w:rPr>
                <w:sz w:val="20"/>
              </w:rPr>
            </w:pPr>
            <w:r>
              <w:rPr>
                <w:sz w:val="20"/>
              </w:rPr>
              <w:t>Discuss limitations of the study, taking into account sources of potential bias or imprecision. Discuss both direction and magnitude of any potential bias</w:t>
            </w:r>
          </w:p>
        </w:tc>
        <w:tc>
          <w:tcPr>
            <w:tcW w:w="358" w:type="pct"/>
          </w:tcPr>
          <w:p w14:paraId="5F542D2C">
            <w:pPr>
              <w:tabs>
                <w:tab w:val="left" w:pos="5400"/>
              </w:tabs>
              <w:rPr>
                <w:rFonts w:hint="default" w:eastAsia="宋体"/>
                <w:sz w:val="20"/>
                <w:lang w:val="en-US" w:eastAsia="zh-CN"/>
              </w:rPr>
            </w:pPr>
            <w:r>
              <w:rPr>
                <w:rFonts w:hint="eastAsia" w:eastAsia="宋体"/>
                <w:sz w:val="20"/>
                <w:lang w:val="en-US" w:eastAsia="zh-CN"/>
              </w:rPr>
              <w:t>14</w:t>
            </w:r>
          </w:p>
        </w:tc>
        <w:tc>
          <w:tcPr>
            <w:tcW w:w="1982" w:type="pct"/>
          </w:tcPr>
          <w:p w14:paraId="6FAAA72A">
            <w:pPr>
              <w:tabs>
                <w:tab w:val="left" w:pos="5400"/>
              </w:tabs>
              <w:rPr>
                <w:rFonts w:ascii="Times New Roman" w:hAnsi="Times New Roman" w:eastAsia="宋体" w:cs="Times New Roman"/>
                <w:sz w:val="24"/>
              </w:rPr>
            </w:pPr>
            <w:r>
              <w:rPr>
                <w:rFonts w:ascii="Times New Roman" w:hAnsi="Times New Roman" w:eastAsia="宋体" w:cs="Times New Roman"/>
                <w:sz w:val="24"/>
              </w:rPr>
              <w:t>This study had some limitations. First, it involves a retrospective analysis of patients’ clinical data, necessitating additional prospective research to further validate its findings. Second, due to missing data, indicators such as troponin, Brain Natriuretic Peptide (BNP), and Left Ventricular Ejection Fraction (LVEF) were excluded, potentially affecting the model's accuracy.</w:t>
            </w:r>
          </w:p>
          <w:p w14:paraId="419C4F5D">
            <w:pPr>
              <w:tabs>
                <w:tab w:val="left" w:pos="5400"/>
              </w:tabs>
              <w:rPr>
                <w:sz w:val="20"/>
              </w:rPr>
            </w:pPr>
          </w:p>
        </w:tc>
      </w:tr>
      <w:bookmarkEnd w:id="46"/>
      <w:bookmarkEnd w:id="47"/>
      <w:tr w14:paraId="09E71BB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48" w:type="pct"/>
          </w:tcPr>
          <w:p w14:paraId="54D566D6">
            <w:pPr>
              <w:tabs>
                <w:tab w:val="left" w:pos="5400"/>
              </w:tabs>
              <w:rPr>
                <w:bCs/>
                <w:sz w:val="20"/>
              </w:rPr>
            </w:pPr>
            <w:bookmarkStart w:id="48" w:name="bold48" w:colFirst="0" w:colLast="0"/>
            <w:bookmarkStart w:id="49" w:name="italic47" w:colFirst="0" w:colLast="0"/>
            <w:r>
              <w:rPr>
                <w:bCs/>
                <w:sz w:val="20"/>
              </w:rPr>
              <w:t>Interpretation</w:t>
            </w:r>
          </w:p>
        </w:tc>
        <w:tc>
          <w:tcPr>
            <w:tcW w:w="357" w:type="pct"/>
          </w:tcPr>
          <w:p w14:paraId="44939862">
            <w:pPr>
              <w:tabs>
                <w:tab w:val="left" w:pos="5400"/>
              </w:tabs>
              <w:jc w:val="center"/>
              <w:rPr>
                <w:sz w:val="20"/>
              </w:rPr>
            </w:pPr>
            <w:r>
              <w:rPr>
                <w:sz w:val="20"/>
              </w:rPr>
              <w:t>20</w:t>
            </w:r>
          </w:p>
        </w:tc>
        <w:tc>
          <w:tcPr>
            <w:tcW w:w="1153" w:type="pct"/>
          </w:tcPr>
          <w:p w14:paraId="10402815">
            <w:pPr>
              <w:tabs>
                <w:tab w:val="left" w:pos="5400"/>
              </w:tabs>
              <w:rPr>
                <w:sz w:val="20"/>
              </w:rPr>
            </w:pPr>
            <w:r>
              <w:rPr>
                <w:sz w:val="20"/>
              </w:rPr>
              <w:t>Give a cautious overall interpretation of results considering objectives, limitations, multiplicity of analyses, results from similar studies, and other relevant evidence</w:t>
            </w:r>
          </w:p>
        </w:tc>
        <w:tc>
          <w:tcPr>
            <w:tcW w:w="358" w:type="pct"/>
          </w:tcPr>
          <w:p w14:paraId="681E6644">
            <w:pPr>
              <w:tabs>
                <w:tab w:val="left" w:pos="5400"/>
              </w:tabs>
              <w:rPr>
                <w:rFonts w:hint="default" w:eastAsia="宋体"/>
                <w:sz w:val="20"/>
                <w:lang w:val="en-US" w:eastAsia="zh-CN"/>
              </w:rPr>
            </w:pPr>
            <w:r>
              <w:rPr>
                <w:rFonts w:hint="eastAsia" w:eastAsia="宋体"/>
                <w:sz w:val="20"/>
                <w:lang w:val="en-US" w:eastAsia="zh-CN"/>
              </w:rPr>
              <w:t>15</w:t>
            </w:r>
          </w:p>
        </w:tc>
        <w:tc>
          <w:tcPr>
            <w:tcW w:w="1982" w:type="pct"/>
          </w:tcPr>
          <w:p w14:paraId="2BB96FDF">
            <w:pPr>
              <w:tabs>
                <w:tab w:val="left" w:pos="5400"/>
              </w:tabs>
              <w:rPr>
                <w:rFonts w:ascii="Times New Roman" w:hAnsi="Times New Roman" w:eastAsia="宋体" w:cs="Times New Roman"/>
                <w:sz w:val="24"/>
              </w:rPr>
            </w:pPr>
            <w:r>
              <w:rPr>
                <w:rFonts w:ascii="Times New Roman" w:hAnsi="Times New Roman" w:eastAsia="宋体" w:cs="Times New Roman"/>
                <w:sz w:val="24"/>
              </w:rPr>
              <w:t>This study employed a nomogram to verify eight indicators, Notably, these indicators are very meaningful in identifying VA risk post-CABG and could be leveraged to ensure early VA prediction, thus facilitating risk stratification, enhancing patient monitoring and management post-CABG, and reducing VA incidence in high-risk patients.</w:t>
            </w:r>
          </w:p>
          <w:p w14:paraId="44AD0F3A">
            <w:pPr>
              <w:tabs>
                <w:tab w:val="left" w:pos="5400"/>
              </w:tabs>
              <w:rPr>
                <w:sz w:val="20"/>
              </w:rPr>
            </w:pPr>
          </w:p>
        </w:tc>
      </w:tr>
      <w:bookmarkEnd w:id="48"/>
      <w:bookmarkEnd w:id="49"/>
      <w:tr w14:paraId="32E957F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48" w:type="pct"/>
          </w:tcPr>
          <w:p w14:paraId="55081651">
            <w:pPr>
              <w:tabs>
                <w:tab w:val="left" w:pos="5400"/>
              </w:tabs>
              <w:rPr>
                <w:bCs/>
                <w:sz w:val="20"/>
              </w:rPr>
            </w:pPr>
            <w:bookmarkStart w:id="50" w:name="italic48" w:colFirst="0" w:colLast="0"/>
            <w:bookmarkStart w:id="51" w:name="bold49" w:colFirst="0" w:colLast="0"/>
            <w:r>
              <w:rPr>
                <w:bCs/>
                <w:sz w:val="20"/>
              </w:rPr>
              <w:t>Generalisability</w:t>
            </w:r>
          </w:p>
        </w:tc>
        <w:tc>
          <w:tcPr>
            <w:tcW w:w="357" w:type="pct"/>
          </w:tcPr>
          <w:p w14:paraId="180C0912">
            <w:pPr>
              <w:tabs>
                <w:tab w:val="left" w:pos="5400"/>
              </w:tabs>
              <w:jc w:val="center"/>
              <w:rPr>
                <w:sz w:val="20"/>
              </w:rPr>
            </w:pPr>
            <w:r>
              <w:rPr>
                <w:sz w:val="20"/>
              </w:rPr>
              <w:t>21</w:t>
            </w:r>
          </w:p>
        </w:tc>
        <w:tc>
          <w:tcPr>
            <w:tcW w:w="1153" w:type="pct"/>
          </w:tcPr>
          <w:p w14:paraId="3C342E9E">
            <w:pPr>
              <w:tabs>
                <w:tab w:val="left" w:pos="5400"/>
              </w:tabs>
              <w:rPr>
                <w:sz w:val="20"/>
              </w:rPr>
            </w:pPr>
            <w:r>
              <w:rPr>
                <w:sz w:val="20"/>
              </w:rPr>
              <w:t>Discuss the generalisability (external validity) of the study results</w:t>
            </w:r>
          </w:p>
        </w:tc>
        <w:tc>
          <w:tcPr>
            <w:tcW w:w="358" w:type="pct"/>
          </w:tcPr>
          <w:p w14:paraId="6C9FBEC3">
            <w:pPr>
              <w:tabs>
                <w:tab w:val="left" w:pos="5400"/>
              </w:tabs>
              <w:rPr>
                <w:sz w:val="20"/>
              </w:rPr>
            </w:pPr>
          </w:p>
        </w:tc>
        <w:tc>
          <w:tcPr>
            <w:tcW w:w="1982" w:type="pct"/>
          </w:tcPr>
          <w:p w14:paraId="28EC4E3C">
            <w:pPr>
              <w:tabs>
                <w:tab w:val="left" w:pos="5400"/>
              </w:tabs>
              <w:rPr>
                <w:sz w:val="20"/>
              </w:rPr>
            </w:pPr>
          </w:p>
        </w:tc>
      </w:tr>
      <w:bookmarkEnd w:id="50"/>
      <w:bookmarkEnd w:id="51"/>
      <w:tr w14:paraId="38C4A65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506" w:type="pct"/>
            <w:gridSpan w:val="2"/>
          </w:tcPr>
          <w:p w14:paraId="561B37EB">
            <w:pPr>
              <w:pStyle w:val="10"/>
              <w:tabs>
                <w:tab w:val="left" w:pos="5400"/>
              </w:tabs>
              <w:rPr>
                <w:sz w:val="20"/>
              </w:rPr>
            </w:pPr>
            <w:bookmarkStart w:id="52" w:name="italic49"/>
            <w:bookmarkStart w:id="53" w:name="bold50"/>
            <w:r>
              <w:rPr>
                <w:sz w:val="20"/>
              </w:rPr>
              <w:t>Other information</w:t>
            </w:r>
          </w:p>
          <w:bookmarkEnd w:id="52"/>
          <w:bookmarkEnd w:id="53"/>
        </w:tc>
        <w:tc>
          <w:tcPr>
            <w:tcW w:w="3493" w:type="pct"/>
            <w:gridSpan w:val="3"/>
          </w:tcPr>
          <w:p w14:paraId="193F4F12">
            <w:pPr>
              <w:pStyle w:val="10"/>
              <w:tabs>
                <w:tab w:val="left" w:pos="5400"/>
              </w:tabs>
              <w:rPr>
                <w:sz w:val="20"/>
              </w:rPr>
            </w:pPr>
          </w:p>
        </w:tc>
      </w:tr>
      <w:tr w14:paraId="729CF00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48" w:type="pct"/>
          </w:tcPr>
          <w:p w14:paraId="7F22D13A">
            <w:pPr>
              <w:tabs>
                <w:tab w:val="left" w:pos="5400"/>
              </w:tabs>
              <w:rPr>
                <w:bCs/>
                <w:sz w:val="20"/>
              </w:rPr>
            </w:pPr>
            <w:bookmarkStart w:id="54" w:name="bold51" w:colFirst="0" w:colLast="0"/>
            <w:bookmarkStart w:id="55" w:name="italic50" w:colFirst="0" w:colLast="0"/>
            <w:r>
              <w:rPr>
                <w:bCs/>
                <w:sz w:val="20"/>
              </w:rPr>
              <w:t>Funding</w:t>
            </w:r>
          </w:p>
        </w:tc>
        <w:tc>
          <w:tcPr>
            <w:tcW w:w="357" w:type="pct"/>
          </w:tcPr>
          <w:p w14:paraId="0F14650E">
            <w:pPr>
              <w:tabs>
                <w:tab w:val="left" w:pos="5400"/>
              </w:tabs>
              <w:jc w:val="center"/>
              <w:rPr>
                <w:sz w:val="20"/>
              </w:rPr>
            </w:pPr>
            <w:r>
              <w:rPr>
                <w:sz w:val="20"/>
              </w:rPr>
              <w:t>22</w:t>
            </w:r>
          </w:p>
        </w:tc>
        <w:tc>
          <w:tcPr>
            <w:tcW w:w="1153" w:type="pct"/>
          </w:tcPr>
          <w:p w14:paraId="2237631A">
            <w:pPr>
              <w:tabs>
                <w:tab w:val="left" w:pos="5400"/>
              </w:tabs>
              <w:rPr>
                <w:sz w:val="20"/>
              </w:rPr>
            </w:pPr>
            <w:r>
              <w:rPr>
                <w:sz w:val="20"/>
              </w:rPr>
              <w:t>Give the source of funding and the role of the funders for the present study and, if applicable, for the original study on which the present article is based</w:t>
            </w:r>
          </w:p>
        </w:tc>
        <w:tc>
          <w:tcPr>
            <w:tcW w:w="358" w:type="pct"/>
          </w:tcPr>
          <w:p w14:paraId="656DC0C1">
            <w:pPr>
              <w:tabs>
                <w:tab w:val="left" w:pos="5400"/>
              </w:tabs>
              <w:rPr>
                <w:rFonts w:hint="default" w:eastAsia="宋体"/>
                <w:sz w:val="20"/>
                <w:lang w:val="en-US" w:eastAsia="zh-CN"/>
              </w:rPr>
            </w:pPr>
            <w:r>
              <w:rPr>
                <w:rFonts w:hint="eastAsia" w:eastAsia="宋体"/>
                <w:sz w:val="20"/>
                <w:lang w:val="en-US" w:eastAsia="zh-CN"/>
              </w:rPr>
              <w:t>16</w:t>
            </w:r>
          </w:p>
        </w:tc>
        <w:tc>
          <w:tcPr>
            <w:tcW w:w="1982" w:type="pct"/>
          </w:tcPr>
          <w:p w14:paraId="79F310B0">
            <w:pPr>
              <w:tabs>
                <w:tab w:val="left" w:pos="5400"/>
              </w:tabs>
              <w:rPr>
                <w:rFonts w:ascii="Times New Roman" w:hAnsi="Times New Roman" w:eastAsia="宋体" w:cs="Times New Roman"/>
                <w:sz w:val="24"/>
              </w:rPr>
            </w:pPr>
            <w:r>
              <w:rPr>
                <w:rFonts w:ascii="Times New Roman" w:hAnsi="Times New Roman" w:eastAsia="宋体" w:cs="Times New Roman"/>
                <w:sz w:val="24"/>
              </w:rPr>
              <w:t>This research was funded by the Tianjin Key Medical Discipline (Specialty) Construction Project (TJYXZDXK-055B).</w:t>
            </w:r>
          </w:p>
          <w:p w14:paraId="3CD5208C">
            <w:pPr>
              <w:tabs>
                <w:tab w:val="left" w:pos="5400"/>
              </w:tabs>
              <w:rPr>
                <w:sz w:val="20"/>
              </w:rPr>
            </w:pPr>
          </w:p>
        </w:tc>
      </w:tr>
      <w:bookmarkEnd w:id="54"/>
      <w:bookmarkEnd w:id="55"/>
    </w:tbl>
    <w:p w14:paraId="4460CD00">
      <w:pPr>
        <w:adjustRightInd w:val="0"/>
        <w:snapToGrid w:val="0"/>
        <w:spacing w:line="240" w:lineRule="auto"/>
        <w:rPr>
          <w:rFonts w:hint="default" w:ascii="Times New Roman" w:hAnsi="Times New Roman" w:eastAsia="宋体" w:cs="Times New Roman"/>
          <w:b/>
          <w:bCs/>
          <w:sz w:val="24"/>
          <w:lang w:val="en-US" w:eastAsia="zh-CN"/>
        </w:rPr>
      </w:pPr>
    </w:p>
    <w:p w14:paraId="76CC2BDA">
      <w:pPr>
        <w:pStyle w:val="12"/>
        <w:tabs>
          <w:tab w:val="left" w:pos="5400"/>
        </w:tabs>
        <w:rPr>
          <w:sz w:val="20"/>
        </w:rPr>
      </w:pPr>
      <w:r>
        <w:rPr>
          <w:bCs/>
          <w:sz w:val="20"/>
        </w:rPr>
        <w:t>*</w:t>
      </w:r>
      <w:r>
        <w:rPr>
          <w:sz w:val="20"/>
        </w:rPr>
        <w:t>Give information separately for cases and controls in case-control studies and, if applicable, for exposed and unexposed groups in cohort and cross-sectional studies.</w:t>
      </w:r>
    </w:p>
    <w:p w14:paraId="352F02E1">
      <w:pPr>
        <w:pStyle w:val="12"/>
        <w:tabs>
          <w:tab w:val="left" w:pos="5400"/>
        </w:tabs>
        <w:rPr>
          <w:sz w:val="20"/>
        </w:rPr>
      </w:pPr>
    </w:p>
    <w:p w14:paraId="4A4C91D0">
      <w:pPr>
        <w:pStyle w:val="12"/>
        <w:tabs>
          <w:tab w:val="left" w:pos="5400"/>
        </w:tabs>
        <w:rPr>
          <w:sz w:val="20"/>
        </w:rPr>
      </w:pPr>
      <w:r>
        <w:rPr>
          <w:b/>
          <w:sz w:val="20"/>
        </w:rPr>
        <w:t>Note:</w:t>
      </w:r>
      <w:r>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w:t>
      </w:r>
      <w:r>
        <w:rPr>
          <w:sz w:val="20"/>
        </w:rPr>
        <w:fldChar w:fldCharType="begin"/>
      </w:r>
      <w:r>
        <w:rPr>
          <w:sz w:val="20"/>
        </w:rPr>
        <w:instrText xml:space="preserve"> HYPERLINK "http://www.strobe-statement.org." </w:instrText>
      </w:r>
      <w:r>
        <w:rPr>
          <w:sz w:val="20"/>
        </w:rPr>
        <w:fldChar w:fldCharType="separate"/>
      </w:r>
      <w:r>
        <w:rPr>
          <w:rStyle w:val="6"/>
          <w:sz w:val="20"/>
        </w:rPr>
        <w:t>www.strobe-statement.org.</w:t>
      </w:r>
      <w:r>
        <w:rPr>
          <w:sz w:val="20"/>
        </w:rPr>
        <w:fldChar w:fldCharType="end"/>
      </w:r>
    </w:p>
    <w:p w14:paraId="1568E50B">
      <w:pPr>
        <w:adjustRightInd w:val="0"/>
        <w:snapToGrid w:val="0"/>
        <w:spacing w:line="240" w:lineRule="auto"/>
        <w:rPr>
          <w:rFonts w:hint="eastAsia" w:ascii="Times New Roman" w:hAnsi="Times New Roman" w:eastAsia="宋体" w:cs="Times New Roman"/>
          <w:b/>
          <w:bCs/>
          <w:sz w:val="24"/>
          <w:lang w:val="en-US" w:eastAsia="zh-CN"/>
        </w:rPr>
      </w:pPr>
    </w:p>
    <w:p w14:paraId="5E12BA42">
      <w:pPr>
        <w:adjustRightInd w:val="0"/>
        <w:snapToGrid w:val="0"/>
        <w:spacing w:line="480" w:lineRule="auto"/>
        <w:rPr>
          <w:rFonts w:hint="eastAsia" w:ascii="Times New Roman" w:hAnsi="Times New Roman" w:eastAsia="宋体" w:cs="Times New Roman"/>
          <w:b/>
          <w:bCs/>
          <w:sz w:val="24"/>
          <w:lang w:val="en-US" w:eastAsia="zh-CN"/>
        </w:rPr>
      </w:pPr>
    </w:p>
    <w:p w14:paraId="34A0C8ED">
      <w:pPr>
        <w:rPr>
          <w:rFonts w:hint="eastAsia" w:ascii="Times New Roman" w:hAnsi="Times New Roman" w:eastAsia="宋体" w:cs="Times New Roman"/>
          <w:b/>
          <w:bCs/>
          <w:sz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yriadPro-Sem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593D76"/>
    <w:rsid w:val="0BEB4472"/>
    <w:rsid w:val="0E566AFA"/>
    <w:rsid w:val="460A7B9E"/>
    <w:rsid w:val="4E0039F5"/>
    <w:rsid w:val="5A3E1174"/>
    <w:rsid w:val="5F4215D9"/>
    <w:rsid w:val="707D4598"/>
    <w:rsid w:val="73614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iPriority w:val="0"/>
    <w:rPr>
      <w:color w:val="0000FF"/>
      <w:u w:val="single"/>
    </w:rPr>
  </w:style>
  <w:style w:type="paragraph" w:customStyle="1" w:styleId="7">
    <w:name w:val="TableTitle"/>
    <w:basedOn w:val="1"/>
    <w:uiPriority w:val="0"/>
  </w:style>
  <w:style w:type="paragraph" w:customStyle="1" w:styleId="8">
    <w:name w:val="TableHeader"/>
    <w:basedOn w:val="9"/>
    <w:uiPriority w:val="0"/>
    <w:pPr>
      <w:spacing w:before="120" w:line="240" w:lineRule="auto"/>
      <w:ind w:firstLine="0"/>
    </w:pPr>
    <w:rPr>
      <w:b/>
    </w:rPr>
  </w:style>
  <w:style w:type="paragraph" w:customStyle="1" w:styleId="9">
    <w:name w:val="Para"/>
    <w:basedOn w:val="1"/>
    <w:uiPriority w:val="0"/>
    <w:pPr>
      <w:spacing w:line="360" w:lineRule="auto"/>
      <w:ind w:firstLine="288"/>
    </w:pPr>
  </w:style>
  <w:style w:type="paragraph" w:customStyle="1" w:styleId="10">
    <w:name w:val="TableSubHead"/>
    <w:basedOn w:val="8"/>
    <w:uiPriority w:val="0"/>
  </w:style>
  <w:style w:type="character" w:customStyle="1" w:styleId="11">
    <w:name w:val="font11"/>
    <w:basedOn w:val="5"/>
    <w:qFormat/>
    <w:uiPriority w:val="0"/>
    <w:rPr>
      <w:rFonts w:hint="default" w:ascii="Times New Roman" w:hAnsi="Times New Roman" w:cs="Times New Roman"/>
      <w:color w:val="000000"/>
      <w:sz w:val="18"/>
      <w:szCs w:val="18"/>
      <w:u w:val="none"/>
    </w:rPr>
  </w:style>
  <w:style w:type="paragraph" w:customStyle="1" w:styleId="12">
    <w:name w:val="TableNote"/>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12</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2025-04-20T07:00:40Z</dcterms:created>
  <dc:creator>86136</dc:creator>
  <cp:lastModifiedBy>漆剑破暮</cp:lastModifiedBy>
  <dcterms:modified xsi:type="dcterms:W3CDTF">2025-04-20T08:25:21Z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eyJoZGlkIjoiNjNiYjk0NGQyODFlYmFhMDgwMTVkYjNkYzUzMGI4MWIiLCJ1c2VySWQiOiI0NDIxNjc5NjYifQ==</vt:lpwstr>
  </property>
  <property fmtid="{D5CDD505-2E9C-101B-9397-08002B2CF9AE}" pid="4" name="ICV">
    <vt:lpwstr>28F7D99FBA494C968DEA19CFBD9C49F3_12</vt:lpwstr>
  </property>
</Properties>
</file>