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A14555" w14:textId="77777777" w:rsidR="00B231AE" w:rsidRPr="00F71525" w:rsidRDefault="00B231AE" w:rsidP="00B231AE">
      <w:pPr>
        <w:rPr>
          <w:rFonts w:ascii="Arial" w:hAnsi="Arial" w:cs="Arial"/>
          <w:sz w:val="21"/>
          <w:szCs w:val="21"/>
        </w:rPr>
      </w:pPr>
      <w:r w:rsidRPr="00F71525">
        <w:rPr>
          <w:rFonts w:ascii="Arial" w:hAnsi="Arial" w:cs="Arial"/>
          <w:b/>
          <w:color w:val="000000" w:themeColor="text1"/>
          <w:sz w:val="22"/>
          <w:szCs w:val="22"/>
        </w:rPr>
        <w:t>Suppl. Table S1.</w:t>
      </w:r>
      <w:r w:rsidRPr="00F71525">
        <w:rPr>
          <w:rFonts w:ascii="Arial" w:hAnsi="Arial" w:cs="Arial"/>
          <w:color w:val="000000" w:themeColor="text1"/>
          <w:sz w:val="22"/>
          <w:szCs w:val="22"/>
        </w:rPr>
        <w:t xml:space="preserve"> Comparison of serum concentrations of bone biomarkers between healthy controls and RA patients and changes of those over 6 months in the RA patients</w:t>
      </w:r>
    </w:p>
    <w:tbl>
      <w:tblPr>
        <w:tblStyle w:val="a5"/>
        <w:tblpPr w:leftFromText="142" w:rightFromText="142" w:vertAnchor="text" w:tblpY="1"/>
        <w:tblOverlap w:val="never"/>
        <w:tblW w:w="15036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8"/>
        <w:gridCol w:w="2228"/>
        <w:gridCol w:w="2268"/>
        <w:gridCol w:w="1194"/>
        <w:gridCol w:w="2500"/>
        <w:gridCol w:w="1604"/>
        <w:gridCol w:w="2215"/>
        <w:gridCol w:w="1569"/>
      </w:tblGrid>
      <w:tr w:rsidR="00B231AE" w:rsidRPr="00F71525" w14:paraId="208115DB" w14:textId="77777777" w:rsidTr="00F71525">
        <w:tc>
          <w:tcPr>
            <w:tcW w:w="1458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</w:tcPr>
          <w:p w14:paraId="01EDD222" w14:textId="77777777" w:rsidR="00B231AE" w:rsidRPr="00F71525" w:rsidRDefault="00B231AE" w:rsidP="00E0017F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28" w:type="dxa"/>
            <w:vMerge w:val="restart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BA30665" w14:textId="77777777" w:rsidR="00B231AE" w:rsidRPr="00F71525" w:rsidRDefault="00B231AE" w:rsidP="00E0017F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eastAsia="Times New Roman" w:hAnsi="Arial" w:cs="Arial"/>
                <w:b/>
                <w:color w:val="000000" w:themeColor="text1"/>
                <w:sz w:val="20"/>
                <w:szCs w:val="20"/>
              </w:rPr>
              <w:t>HC</w:t>
            </w:r>
          </w:p>
        </w:tc>
        <w:tc>
          <w:tcPr>
            <w:tcW w:w="11350" w:type="dxa"/>
            <w:gridSpan w:val="6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8391254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RA</w:t>
            </w:r>
          </w:p>
        </w:tc>
      </w:tr>
      <w:tr w:rsidR="00B231AE" w:rsidRPr="00F71525" w14:paraId="4D34FC9F" w14:textId="77777777" w:rsidTr="00F71525">
        <w:tc>
          <w:tcPr>
            <w:tcW w:w="1458" w:type="dxa"/>
            <w:vMerge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13303745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28" w:type="dxa"/>
            <w:vMerge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BC51B32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3B131CC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Baseline</w:t>
            </w:r>
          </w:p>
        </w:tc>
        <w:tc>
          <w:tcPr>
            <w:tcW w:w="119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FD0106A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</w:pPr>
            <w:r w:rsidRPr="00F71525"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  <w:t>p-value</w:t>
            </w:r>
          </w:p>
          <w:p w14:paraId="3C1279EA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  <w:t>vs. HC*</w:t>
            </w:r>
          </w:p>
        </w:tc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2BDBE3D2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 months</w:t>
            </w:r>
          </w:p>
        </w:tc>
        <w:tc>
          <w:tcPr>
            <w:tcW w:w="1604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</w:tcPr>
          <w:p w14:paraId="2DBFB2A7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</w:pPr>
            <w:r w:rsidRPr="00F71525"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  <w:t>p-value</w:t>
            </w:r>
          </w:p>
          <w:p w14:paraId="2E356F76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  <w:t>vs. baseline</w:t>
            </w:r>
            <w:r w:rsidRPr="00F71525"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221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5301BD96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 months</w:t>
            </w:r>
          </w:p>
        </w:tc>
        <w:tc>
          <w:tcPr>
            <w:tcW w:w="156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04D2F46B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</w:pPr>
            <w:r w:rsidRPr="00F71525"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  <w:t>p-value</w:t>
            </w:r>
          </w:p>
          <w:p w14:paraId="2BF766F1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</w:rPr>
              <w:t>vs. baseline</w:t>
            </w:r>
            <w:r w:rsidRPr="00F71525">
              <w:rPr>
                <w:rFonts w:ascii="Arial" w:eastAsia="Meiryo UI" w:hAnsi="Arial" w:cs="Arial"/>
                <w:b/>
                <w:color w:val="000000" w:themeColor="text1"/>
                <w:kern w:val="24"/>
                <w:sz w:val="20"/>
                <w:szCs w:val="20"/>
                <w:vertAlign w:val="superscript"/>
              </w:rPr>
              <w:t>#</w:t>
            </w:r>
          </w:p>
        </w:tc>
      </w:tr>
      <w:tr w:rsidR="00B231AE" w:rsidRPr="00F71525" w14:paraId="030CE309" w14:textId="77777777" w:rsidTr="00F71525">
        <w:trPr>
          <w:trHeight w:val="720"/>
        </w:trPr>
        <w:tc>
          <w:tcPr>
            <w:tcW w:w="1458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14:paraId="04CC4E23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</w:pPr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 xml:space="preserve">Dkk-1, </w:t>
            </w:r>
            <w:proofErr w:type="spellStart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pg</w:t>
            </w:r>
            <w:proofErr w:type="spellEnd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/ml</w:t>
            </w:r>
          </w:p>
        </w:tc>
        <w:tc>
          <w:tcPr>
            <w:tcW w:w="2228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2CDE372F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4362 (2866–5026)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3F7CED4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3340 (2573–4243)</w:t>
            </w:r>
          </w:p>
        </w:tc>
        <w:tc>
          <w:tcPr>
            <w:tcW w:w="119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34C6832B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2500" w:type="dxa"/>
            <w:tcBorders>
              <w:top w:val="single" w:sz="12" w:space="0" w:color="auto"/>
              <w:left w:val="single" w:sz="8" w:space="0" w:color="auto"/>
            </w:tcBorders>
            <w:vAlign w:val="center"/>
          </w:tcPr>
          <w:p w14:paraId="3EA2CE88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3260 (2519–4282)</w:t>
            </w:r>
          </w:p>
        </w:tc>
        <w:tc>
          <w:tcPr>
            <w:tcW w:w="1604" w:type="dxa"/>
            <w:tcBorders>
              <w:top w:val="single" w:sz="12" w:space="0" w:color="auto"/>
              <w:left w:val="single" w:sz="8" w:space="0" w:color="auto"/>
            </w:tcBorders>
            <w:vAlign w:val="center"/>
          </w:tcPr>
          <w:p w14:paraId="06D9FCF2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0.86</w:t>
            </w:r>
          </w:p>
        </w:tc>
        <w:tc>
          <w:tcPr>
            <w:tcW w:w="2215" w:type="dxa"/>
            <w:tcBorders>
              <w:top w:val="single" w:sz="12" w:space="0" w:color="auto"/>
              <w:left w:val="single" w:sz="8" w:space="0" w:color="auto"/>
            </w:tcBorders>
            <w:vAlign w:val="center"/>
          </w:tcPr>
          <w:p w14:paraId="73C9729A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3242 (2689–4251)</w:t>
            </w:r>
          </w:p>
        </w:tc>
        <w:tc>
          <w:tcPr>
            <w:tcW w:w="1569" w:type="dxa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14:paraId="123E81F9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0.98</w:t>
            </w:r>
          </w:p>
        </w:tc>
      </w:tr>
      <w:tr w:rsidR="00B231AE" w:rsidRPr="00F71525" w14:paraId="6B67DE41" w14:textId="77777777" w:rsidTr="00F71525">
        <w:trPr>
          <w:trHeight w:val="720"/>
        </w:trPr>
        <w:tc>
          <w:tcPr>
            <w:tcW w:w="1458" w:type="dxa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14:paraId="206E7EE1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 xml:space="preserve">SOST, </w:t>
            </w:r>
            <w:proofErr w:type="spellStart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pg</w:t>
            </w:r>
            <w:proofErr w:type="spellEnd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/ml</w:t>
            </w:r>
          </w:p>
        </w:tc>
        <w:tc>
          <w:tcPr>
            <w:tcW w:w="2228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A063077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2509 (1939–3315)</w:t>
            </w:r>
          </w:p>
        </w:tc>
        <w:tc>
          <w:tcPr>
            <w:tcW w:w="2268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6A7E34F2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2616 (1983–3279)</w:t>
            </w:r>
          </w:p>
        </w:tc>
        <w:tc>
          <w:tcPr>
            <w:tcW w:w="1194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6C22174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2500" w:type="dxa"/>
            <w:tcBorders>
              <w:left w:val="single" w:sz="8" w:space="0" w:color="auto"/>
            </w:tcBorders>
            <w:vAlign w:val="center"/>
          </w:tcPr>
          <w:p w14:paraId="608A0414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2588 (2171–3506)</w:t>
            </w:r>
          </w:p>
        </w:tc>
        <w:tc>
          <w:tcPr>
            <w:tcW w:w="1604" w:type="dxa"/>
            <w:tcBorders>
              <w:left w:val="single" w:sz="8" w:space="0" w:color="auto"/>
            </w:tcBorders>
            <w:vAlign w:val="center"/>
          </w:tcPr>
          <w:p w14:paraId="29CB6229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2215" w:type="dxa"/>
            <w:tcBorders>
              <w:left w:val="single" w:sz="8" w:space="0" w:color="auto"/>
            </w:tcBorders>
            <w:vAlign w:val="center"/>
          </w:tcPr>
          <w:p w14:paraId="7A819223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2738 (2127–3465)</w:t>
            </w:r>
          </w:p>
        </w:tc>
        <w:tc>
          <w:tcPr>
            <w:tcW w:w="1569" w:type="dxa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57D04159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0.62</w:t>
            </w:r>
          </w:p>
        </w:tc>
      </w:tr>
      <w:tr w:rsidR="00B231AE" w:rsidRPr="00F71525" w14:paraId="56319F36" w14:textId="77777777" w:rsidTr="00F71525">
        <w:trPr>
          <w:trHeight w:val="720"/>
        </w:trPr>
        <w:tc>
          <w:tcPr>
            <w:tcW w:w="1458" w:type="dxa"/>
            <w:tcBorders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14:paraId="0AC6452C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OC</w:t>
            </w:r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proofErr w:type="spellStart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pg</w:t>
            </w:r>
            <w:proofErr w:type="spellEnd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/ml</w:t>
            </w:r>
          </w:p>
        </w:tc>
        <w:tc>
          <w:tcPr>
            <w:tcW w:w="2228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3586FA4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28492(18700–35923)</w:t>
            </w:r>
          </w:p>
        </w:tc>
        <w:tc>
          <w:tcPr>
            <w:tcW w:w="2268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2BFCB6F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17109 (11075–35817)</w:t>
            </w:r>
          </w:p>
        </w:tc>
        <w:tc>
          <w:tcPr>
            <w:tcW w:w="1194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32EC27AF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0.099</w:t>
            </w:r>
          </w:p>
        </w:tc>
        <w:tc>
          <w:tcPr>
            <w:tcW w:w="2500" w:type="dxa"/>
            <w:tcBorders>
              <w:left w:val="single" w:sz="8" w:space="0" w:color="auto"/>
              <w:bottom w:val="nil"/>
            </w:tcBorders>
            <w:vAlign w:val="center"/>
          </w:tcPr>
          <w:p w14:paraId="28BB2D8E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18271 (12754–31724)</w:t>
            </w:r>
          </w:p>
        </w:tc>
        <w:tc>
          <w:tcPr>
            <w:tcW w:w="1604" w:type="dxa"/>
            <w:tcBorders>
              <w:left w:val="single" w:sz="8" w:space="0" w:color="auto"/>
              <w:bottom w:val="nil"/>
            </w:tcBorders>
            <w:vAlign w:val="center"/>
          </w:tcPr>
          <w:p w14:paraId="2FCF7747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2215" w:type="dxa"/>
            <w:tcBorders>
              <w:left w:val="single" w:sz="8" w:space="0" w:color="auto"/>
              <w:bottom w:val="nil"/>
            </w:tcBorders>
            <w:vAlign w:val="center"/>
          </w:tcPr>
          <w:p w14:paraId="451FBEB4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21533 (14559–28715)</w:t>
            </w:r>
          </w:p>
        </w:tc>
        <w:tc>
          <w:tcPr>
            <w:tcW w:w="1569" w:type="dxa"/>
            <w:tcBorders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6DE3C60C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0.26</w:t>
            </w:r>
          </w:p>
        </w:tc>
      </w:tr>
      <w:tr w:rsidR="00B231AE" w:rsidRPr="00F71525" w14:paraId="1E011D42" w14:textId="77777777" w:rsidTr="00F71525">
        <w:trPr>
          <w:trHeight w:val="720"/>
        </w:trPr>
        <w:tc>
          <w:tcPr>
            <w:tcW w:w="1458" w:type="dxa"/>
            <w:tcBorders>
              <w:left w:val="single" w:sz="12" w:space="0" w:color="auto"/>
              <w:bottom w:val="nil"/>
              <w:right w:val="single" w:sz="8" w:space="0" w:color="auto"/>
            </w:tcBorders>
            <w:vAlign w:val="center"/>
          </w:tcPr>
          <w:p w14:paraId="48B5C757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OPG</w:t>
            </w:r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proofErr w:type="spellStart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pg</w:t>
            </w:r>
            <w:proofErr w:type="spellEnd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/ml</w:t>
            </w:r>
          </w:p>
        </w:tc>
        <w:tc>
          <w:tcPr>
            <w:tcW w:w="2228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0AD1D97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1036 (896–1184)</w:t>
            </w:r>
          </w:p>
        </w:tc>
        <w:tc>
          <w:tcPr>
            <w:tcW w:w="2268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0C54DA30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951 (768–1387)</w:t>
            </w:r>
          </w:p>
        </w:tc>
        <w:tc>
          <w:tcPr>
            <w:tcW w:w="1194" w:type="dxa"/>
            <w:tcBorders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2E431CFC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0.76</w:t>
            </w:r>
          </w:p>
        </w:tc>
        <w:tc>
          <w:tcPr>
            <w:tcW w:w="2500" w:type="dxa"/>
            <w:tcBorders>
              <w:left w:val="single" w:sz="8" w:space="0" w:color="auto"/>
              <w:bottom w:val="nil"/>
            </w:tcBorders>
            <w:vAlign w:val="center"/>
          </w:tcPr>
          <w:p w14:paraId="5FBBC1B4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1082 (903–1469)</w:t>
            </w:r>
          </w:p>
        </w:tc>
        <w:tc>
          <w:tcPr>
            <w:tcW w:w="1604" w:type="dxa"/>
            <w:tcBorders>
              <w:left w:val="single" w:sz="8" w:space="0" w:color="auto"/>
              <w:bottom w:val="nil"/>
            </w:tcBorders>
            <w:vAlign w:val="center"/>
          </w:tcPr>
          <w:p w14:paraId="410309E5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0.085</w:t>
            </w:r>
          </w:p>
        </w:tc>
        <w:tc>
          <w:tcPr>
            <w:tcW w:w="2215" w:type="dxa"/>
            <w:tcBorders>
              <w:left w:val="single" w:sz="8" w:space="0" w:color="auto"/>
              <w:bottom w:val="nil"/>
            </w:tcBorders>
            <w:vAlign w:val="center"/>
          </w:tcPr>
          <w:p w14:paraId="2C9F5CC6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1181 (903–1469)</w:t>
            </w:r>
          </w:p>
        </w:tc>
        <w:tc>
          <w:tcPr>
            <w:tcW w:w="1569" w:type="dxa"/>
            <w:tcBorders>
              <w:left w:val="single" w:sz="8" w:space="0" w:color="auto"/>
              <w:bottom w:val="nil"/>
              <w:right w:val="single" w:sz="12" w:space="0" w:color="auto"/>
            </w:tcBorders>
            <w:vAlign w:val="center"/>
          </w:tcPr>
          <w:p w14:paraId="78B6F5D0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0.016</w:t>
            </w:r>
          </w:p>
        </w:tc>
      </w:tr>
      <w:tr w:rsidR="00B231AE" w:rsidRPr="00F71525" w14:paraId="2BFA19D7" w14:textId="77777777" w:rsidTr="00F71525">
        <w:trPr>
          <w:trHeight w:val="720"/>
        </w:trPr>
        <w:tc>
          <w:tcPr>
            <w:tcW w:w="1458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BCC27A6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OPN</w:t>
            </w:r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 xml:space="preserve">, </w:t>
            </w:r>
            <w:proofErr w:type="spellStart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pg</w:t>
            </w:r>
            <w:proofErr w:type="spellEnd"/>
            <w:r w:rsidRPr="00F71525"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  <w:t>/ml</w:t>
            </w:r>
          </w:p>
        </w:tc>
        <w:tc>
          <w:tcPr>
            <w:tcW w:w="2228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5219C765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9053 (6282–14337)</w:t>
            </w:r>
          </w:p>
        </w:tc>
        <w:tc>
          <w:tcPr>
            <w:tcW w:w="2268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2036175" w14:textId="08610C63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22928 (173</w:t>
            </w:r>
            <w:r w:rsidR="007523A2"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05</w:t>
            </w: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–37</w:t>
            </w:r>
            <w:r w:rsidR="007523A2"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566</w:t>
            </w: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194" w:type="dxa"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6BE9156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&lt;0.0001</w:t>
            </w:r>
          </w:p>
        </w:tc>
        <w:tc>
          <w:tcPr>
            <w:tcW w:w="2500" w:type="dxa"/>
            <w:tcBorders>
              <w:top w:val="nil"/>
              <w:left w:val="single" w:sz="8" w:space="0" w:color="auto"/>
              <w:bottom w:val="single" w:sz="12" w:space="0" w:color="auto"/>
            </w:tcBorders>
            <w:vAlign w:val="center"/>
          </w:tcPr>
          <w:p w14:paraId="27DA3CD4" w14:textId="736D63D6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7523A2"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3689</w:t>
            </w: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</w:t>
            </w:r>
            <w:r w:rsidR="007523A2"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13849</w:t>
            </w: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–3</w:t>
            </w:r>
            <w:r w:rsidR="007523A2"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2156</w:t>
            </w: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604" w:type="dxa"/>
            <w:tcBorders>
              <w:top w:val="nil"/>
              <w:left w:val="single" w:sz="8" w:space="0" w:color="auto"/>
              <w:bottom w:val="single" w:sz="12" w:space="0" w:color="auto"/>
            </w:tcBorders>
            <w:vAlign w:val="center"/>
          </w:tcPr>
          <w:p w14:paraId="7A5C4769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0.76</w:t>
            </w:r>
          </w:p>
        </w:tc>
        <w:tc>
          <w:tcPr>
            <w:tcW w:w="2215" w:type="dxa"/>
            <w:tcBorders>
              <w:top w:val="nil"/>
              <w:left w:val="single" w:sz="8" w:space="0" w:color="auto"/>
              <w:bottom w:val="single" w:sz="12" w:space="0" w:color="auto"/>
            </w:tcBorders>
            <w:vAlign w:val="center"/>
          </w:tcPr>
          <w:p w14:paraId="412C8267" w14:textId="2F312D49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21818 (1</w:t>
            </w:r>
            <w:r w:rsidR="007523A2"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3895</w:t>
            </w: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–3</w:t>
            </w:r>
            <w:r w:rsidR="007523A2"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3550</w:t>
            </w: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69" w:type="dxa"/>
            <w:tcBorders>
              <w:top w:val="nil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937B9D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0.85</w:t>
            </w:r>
          </w:p>
        </w:tc>
      </w:tr>
      <w:tr w:rsidR="00B231AE" w:rsidRPr="00F71525" w14:paraId="7EE8C9CE" w14:textId="77777777" w:rsidTr="00F71525">
        <w:tc>
          <w:tcPr>
            <w:tcW w:w="15036" w:type="dxa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4BE24D9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>The data are median (interquartile range, Q</w:t>
            </w: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  <w:vertAlign w:val="subscript"/>
              </w:rPr>
              <w:t>1–4</w:t>
            </w: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>–Q</w:t>
            </w: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  <w:vertAlign w:val="subscript"/>
              </w:rPr>
              <w:t>3/4</w:t>
            </w: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>) or number (percentage).</w:t>
            </w:r>
          </w:p>
          <w:p w14:paraId="7D986734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hAnsi="Arial" w:cs="Arial"/>
              </w:rPr>
            </w:pP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>*</w:t>
            </w:r>
            <w:r w:rsidRPr="00F71525">
              <w:rPr>
                <w:rFonts w:ascii="Arial" w:hAnsi="Arial" w:cs="Arial"/>
                <w:color w:val="000000" w:themeColor="text1"/>
                <w:sz w:val="20"/>
                <w:szCs w:val="20"/>
              </w:rPr>
              <w:t>C</w:t>
            </w: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 xml:space="preserve">omparisons of </w:t>
            </w:r>
            <w:r w:rsidRPr="00F71525">
              <w:rPr>
                <w:rFonts w:ascii="Arial" w:eastAsia="游ゴシック" w:hAnsi="Arial" w:cs="Arial"/>
                <w:color w:val="000000"/>
                <w:sz w:val="19"/>
                <w:szCs w:val="19"/>
              </w:rPr>
              <w:t xml:space="preserve">the serum concentration of bone biomarkers </w:t>
            </w: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 xml:space="preserve">between HC and RA </w:t>
            </w:r>
            <w:r w:rsidRPr="00F71525">
              <w:rPr>
                <w:rFonts w:ascii="Arial" w:eastAsia="游ゴシック" w:hAnsi="Arial" w:cs="Arial"/>
                <w:color w:val="000000"/>
                <w:sz w:val="19"/>
                <w:szCs w:val="19"/>
              </w:rPr>
              <w:t xml:space="preserve">were analyzed using </w:t>
            </w: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 xml:space="preserve">the Mann-Whitney U-test. </w:t>
            </w:r>
          </w:p>
          <w:p w14:paraId="5ABC35F1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</w:pP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>#</w:t>
            </w:r>
            <w:r w:rsidRPr="00F71525">
              <w:rPr>
                <w:rFonts w:ascii="Arial" w:eastAsia="游ゴシック" w:hAnsi="Arial" w:cs="Arial"/>
                <w:color w:val="000000"/>
                <w:sz w:val="19"/>
                <w:szCs w:val="19"/>
              </w:rPr>
              <w:t xml:space="preserve"> The changes in the serum concentration of bone biomarkers from baseline were analyzed using the Wilcoxon signed ranks test.</w:t>
            </w:r>
          </w:p>
          <w:p w14:paraId="016E48BA" w14:textId="77777777" w:rsidR="00B231AE" w:rsidRPr="00F71525" w:rsidRDefault="00B231AE" w:rsidP="00E0017F">
            <w:pPr>
              <w:pStyle w:val="Web"/>
              <w:spacing w:before="0" w:beforeAutospacing="0" w:after="0" w:afterAutospacing="0"/>
              <w:rPr>
                <w:rFonts w:ascii="Arial" w:eastAsia="Meiryo UI" w:hAnsi="Arial" w:cs="Arial"/>
                <w:color w:val="000000" w:themeColor="text1"/>
                <w:kern w:val="24"/>
                <w:sz w:val="20"/>
                <w:szCs w:val="20"/>
              </w:rPr>
            </w:pPr>
            <w:r w:rsidRPr="00F71525">
              <w:rPr>
                <w:rFonts w:ascii="Arial" w:eastAsia="游明朝" w:hAnsi="Arial" w:cs="Arial"/>
                <w:color w:val="000000" w:themeColor="text1"/>
                <w:sz w:val="20"/>
                <w:szCs w:val="20"/>
              </w:rPr>
              <w:t>HC: healthy control, PD: power Doppler, RA: rheumatoid arthritis</w:t>
            </w:r>
          </w:p>
        </w:tc>
      </w:tr>
    </w:tbl>
    <w:p w14:paraId="4392D38E" w14:textId="0536FE3A" w:rsidR="00F71525" w:rsidRPr="00F71525" w:rsidRDefault="00F71525">
      <w:pPr>
        <w:rPr>
          <w:rFonts w:ascii="Arial" w:hAnsi="Arial" w:cs="Arial"/>
        </w:rPr>
      </w:pPr>
    </w:p>
    <w:p w14:paraId="29C39FAF" w14:textId="77777777" w:rsidR="00F71525" w:rsidRPr="00F71525" w:rsidRDefault="00F71525">
      <w:pPr>
        <w:rPr>
          <w:rFonts w:ascii="Arial" w:hAnsi="Arial" w:cs="Arial"/>
        </w:rPr>
      </w:pPr>
      <w:r w:rsidRPr="00F71525">
        <w:rPr>
          <w:rFonts w:ascii="Arial" w:hAnsi="Arial" w:cs="Arial"/>
        </w:rPr>
        <w:br w:type="page"/>
      </w:r>
    </w:p>
    <w:p w14:paraId="473C6845" w14:textId="77777777" w:rsidR="00152D7F" w:rsidRDefault="00152D7F" w:rsidP="00F71525">
      <w:pPr>
        <w:rPr>
          <w:rFonts w:ascii="Arial" w:hAnsi="Arial" w:cs="Arial"/>
        </w:rPr>
        <w:sectPr w:rsidR="00152D7F" w:rsidSect="00152D7F">
          <w:pgSz w:w="16840" w:h="11900" w:orient="landscape"/>
          <w:pgMar w:top="1701" w:right="6068" w:bottom="1701" w:left="1133" w:header="851" w:footer="992" w:gutter="0"/>
          <w:cols w:space="425"/>
          <w:docGrid w:type="lines" w:linePitch="400"/>
        </w:sectPr>
      </w:pPr>
    </w:p>
    <w:p w14:paraId="07E67D36" w14:textId="5B2882DE" w:rsidR="00F71525" w:rsidRDefault="00F71525" w:rsidP="00F71525">
      <w:pPr>
        <w:rPr>
          <w:rFonts w:ascii="Arial" w:hAnsi="Arial" w:cs="Arial"/>
        </w:rPr>
      </w:pPr>
      <w:r w:rsidRPr="00F71525">
        <w:rPr>
          <w:rFonts w:ascii="Arial" w:hAnsi="Arial" w:cs="Arial"/>
        </w:rPr>
        <w:lastRenderedPageBreak/>
        <w:t>Supplementary Figure S1.</w:t>
      </w:r>
    </w:p>
    <w:p w14:paraId="3C317509" w14:textId="77777777" w:rsidR="00025C23" w:rsidRPr="00F71525" w:rsidRDefault="00025C23" w:rsidP="00F71525">
      <w:pPr>
        <w:rPr>
          <w:rFonts w:ascii="Arial" w:hAnsi="Arial" w:cs="Arial"/>
        </w:rPr>
      </w:pPr>
    </w:p>
    <w:p w14:paraId="4B3F44B8" w14:textId="36056FD3" w:rsidR="00F71525" w:rsidRPr="00025C23" w:rsidRDefault="00025C23" w:rsidP="00F71525">
      <w:pPr>
        <w:rPr>
          <w:rFonts w:ascii="Arial" w:hAnsi="Arial" w:cs="Arial" w:hint="eastAsia"/>
        </w:rPr>
      </w:pPr>
      <w:r w:rsidRPr="00025C23">
        <w:rPr>
          <w:rFonts w:ascii="Arial" w:hAnsi="Arial" w:cs="Arial"/>
        </w:rPr>
        <w:drawing>
          <wp:inline distT="0" distB="0" distL="0" distR="0" wp14:anchorId="099FB6AA" wp14:editId="4F2F5666">
            <wp:extent cx="3657600" cy="29718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D8639" w14:textId="77777777" w:rsidR="00152D7F" w:rsidRDefault="00152D7F">
      <w:pPr>
        <w:rPr>
          <w:rFonts w:ascii="Arial" w:hAnsi="Arial" w:cs="Arial"/>
        </w:rPr>
      </w:pPr>
    </w:p>
    <w:p w14:paraId="1AF803EA" w14:textId="7378FC80" w:rsidR="00152D7F" w:rsidRDefault="00152D7F" w:rsidP="00152D7F">
      <w:pPr>
        <w:spacing w:line="360" w:lineRule="auto"/>
        <w:outlineLvl w:val="0"/>
        <w:rPr>
          <w:rFonts w:ascii="Times New Roman" w:hAnsi="Times New Roman"/>
        </w:rPr>
      </w:pPr>
      <w:r w:rsidRPr="002D20C7">
        <w:rPr>
          <w:rFonts w:ascii="Times New Roman" w:hAnsi="Times New Roman"/>
          <w:b/>
        </w:rPr>
        <w:t>Suppl. Fig. S1.</w:t>
      </w:r>
      <w:r w:rsidRPr="002D20C7">
        <w:rPr>
          <w:rFonts w:ascii="Times New Roman" w:hAnsi="Times New Roman"/>
          <w:bCs/>
        </w:rPr>
        <w:t xml:space="preserve"> Changes in the serum levels of OPG over the 6-month abatacept treatment period. </w:t>
      </w:r>
      <w:r w:rsidRPr="002D20C7">
        <w:rPr>
          <w:rFonts w:ascii="Times New Roman" w:hAnsi="Times New Roman"/>
        </w:rPr>
        <w:t xml:space="preserve">Serum OPG was significantly elevated at 6 months after the introduction of abatacept (Wilcoxon signed ranks test). </w:t>
      </w:r>
      <w:r w:rsidRPr="002D20C7">
        <w:rPr>
          <w:rFonts w:ascii="Times New Roman" w:hAnsi="Times New Roman"/>
          <w:bCs/>
        </w:rPr>
        <w:t xml:space="preserve">Horizontal bar, median; boxes, 25th and 75th percentiles; bars, 5th and 95th percentiles. OPG: </w:t>
      </w:r>
      <w:proofErr w:type="spellStart"/>
      <w:r w:rsidRPr="002D20C7">
        <w:rPr>
          <w:rFonts w:ascii="Times New Roman" w:hAnsi="Times New Roman"/>
        </w:rPr>
        <w:t>osteoprotegerin</w:t>
      </w:r>
      <w:proofErr w:type="spellEnd"/>
      <w:r w:rsidRPr="002D20C7">
        <w:rPr>
          <w:rFonts w:ascii="Times New Roman" w:hAnsi="Times New Roman"/>
        </w:rPr>
        <w:t>.</w:t>
      </w:r>
    </w:p>
    <w:p w14:paraId="037BA7C0" w14:textId="3F8C219B" w:rsidR="00152D7F" w:rsidRDefault="00152D7F" w:rsidP="00152D7F">
      <w:pPr>
        <w:spacing w:line="360" w:lineRule="auto"/>
        <w:outlineLvl w:val="0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453D185" w14:textId="05711633" w:rsidR="00152D7F" w:rsidRDefault="00152D7F" w:rsidP="00152D7F">
      <w:pPr>
        <w:rPr>
          <w:rFonts w:ascii="Arial" w:hAnsi="Arial" w:cs="Arial"/>
        </w:rPr>
      </w:pPr>
      <w:r w:rsidRPr="00152D7F">
        <w:rPr>
          <w:rFonts w:ascii="Arial" w:hAnsi="Arial" w:cs="Arial"/>
        </w:rPr>
        <w:lastRenderedPageBreak/>
        <w:t>Supplementary Figure S2</w:t>
      </w:r>
    </w:p>
    <w:p w14:paraId="5E6D564D" w14:textId="77777777" w:rsidR="00BD6C85" w:rsidRPr="00152D7F" w:rsidRDefault="00BD6C85" w:rsidP="00152D7F">
      <w:pPr>
        <w:rPr>
          <w:rFonts w:ascii="Arial" w:hAnsi="Arial" w:cs="Arial"/>
        </w:rPr>
      </w:pPr>
    </w:p>
    <w:p w14:paraId="7913A85E" w14:textId="2FF657D0" w:rsidR="00152D7F" w:rsidRDefault="00025C23">
      <w:pPr>
        <w:rPr>
          <w:rFonts w:ascii="Arial" w:hAnsi="Arial" w:cs="Arial"/>
        </w:rPr>
      </w:pPr>
      <w:r w:rsidRPr="00025C23">
        <w:rPr>
          <w:rFonts w:ascii="Arial" w:hAnsi="Arial" w:cs="Arial"/>
        </w:rPr>
        <w:drawing>
          <wp:inline distT="0" distB="0" distL="0" distR="0" wp14:anchorId="18939E02" wp14:editId="0EC8AD91">
            <wp:extent cx="5396230" cy="6158230"/>
            <wp:effectExtent l="0" t="0" r="0" b="0"/>
            <wp:docPr id="55" name="図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615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F09E9" w14:textId="3BBC0990" w:rsidR="00152D7F" w:rsidRDefault="00152D7F">
      <w:pPr>
        <w:rPr>
          <w:rFonts w:ascii="Arial" w:hAnsi="Arial" w:cs="Arial"/>
        </w:rPr>
      </w:pPr>
    </w:p>
    <w:p w14:paraId="49C3E092" w14:textId="6B045B8E" w:rsidR="00152D7F" w:rsidRPr="00BD6C85" w:rsidRDefault="00152D7F" w:rsidP="00BD6C85">
      <w:pPr>
        <w:spacing w:line="360" w:lineRule="auto"/>
        <w:outlineLvl w:val="0"/>
        <w:rPr>
          <w:rFonts w:ascii="Times New Roman" w:hAnsi="Times New Roman"/>
        </w:rPr>
        <w:sectPr w:rsidR="00152D7F" w:rsidRPr="00BD6C85" w:rsidSect="00BD6C85">
          <w:pgSz w:w="11900" w:h="16840"/>
          <w:pgMar w:top="1133" w:right="1701" w:bottom="2150" w:left="1701" w:header="851" w:footer="992" w:gutter="0"/>
          <w:cols w:space="425"/>
          <w:docGrid w:type="lines" w:linePitch="400"/>
        </w:sectPr>
      </w:pPr>
      <w:r w:rsidRPr="002D20C7">
        <w:rPr>
          <w:rFonts w:ascii="Times New Roman" w:hAnsi="Times New Roman"/>
          <w:b/>
        </w:rPr>
        <w:t>Suppl. Fig. S2.</w:t>
      </w:r>
      <w:r w:rsidRPr="002D20C7">
        <w:rPr>
          <w:rFonts w:ascii="Times New Roman" w:hAnsi="Times New Roman"/>
        </w:rPr>
        <w:t xml:space="preserve"> Comparison of the changes in the SDAI and total PD score between the patients with a low Dkk-1 (n=30) and those with a high Dkk-1 (n=29). Wilcoxon signed ranks test. </w:t>
      </w:r>
      <w:r w:rsidRPr="002D20C7">
        <w:rPr>
          <w:rFonts w:ascii="Times New Roman" w:hAnsi="Times New Roman"/>
          <w:bCs/>
        </w:rPr>
        <w:t xml:space="preserve">Horizontal bar, median; boxes, 25th and 75th percentiles; bars, 5th and 95th percentiles. </w:t>
      </w:r>
      <w:r w:rsidRPr="002D20C7">
        <w:rPr>
          <w:rFonts w:ascii="Times New Roman" w:hAnsi="Times New Roman"/>
        </w:rPr>
        <w:t>PD: power Doppler, SDAI: Simple Disease Activity Index.</w:t>
      </w:r>
    </w:p>
    <w:p w14:paraId="2C313E42" w14:textId="1F1DB3B8" w:rsidR="00BD6C85" w:rsidRDefault="00BD6C85" w:rsidP="00BD6C85">
      <w:pPr>
        <w:rPr>
          <w:rFonts w:ascii="Arial" w:hAnsi="Arial" w:cs="Arial"/>
        </w:rPr>
      </w:pPr>
      <w:r w:rsidRPr="00152D7F">
        <w:rPr>
          <w:rFonts w:ascii="Arial" w:hAnsi="Arial" w:cs="Arial"/>
        </w:rPr>
        <w:lastRenderedPageBreak/>
        <w:t>Supplementary Figure S</w:t>
      </w:r>
      <w:r>
        <w:rPr>
          <w:rFonts w:ascii="Arial" w:hAnsi="Arial" w:cs="Arial"/>
        </w:rPr>
        <w:t>3</w:t>
      </w:r>
    </w:p>
    <w:p w14:paraId="518460BA" w14:textId="206D5137" w:rsidR="0009222F" w:rsidRDefault="0009222F" w:rsidP="00BD6C85">
      <w:pPr>
        <w:rPr>
          <w:rFonts w:ascii="Arial" w:hAnsi="Arial" w:cs="Arial"/>
        </w:rPr>
      </w:pPr>
    </w:p>
    <w:p w14:paraId="1CD172B0" w14:textId="04DAEB36" w:rsidR="0009222F" w:rsidRDefault="00025C23" w:rsidP="00BD6C85">
      <w:pPr>
        <w:rPr>
          <w:rFonts w:ascii="Arial" w:hAnsi="Arial" w:cs="Arial"/>
        </w:rPr>
      </w:pPr>
      <w:r w:rsidRPr="00025C23">
        <w:rPr>
          <w:rFonts w:ascii="Arial" w:hAnsi="Arial" w:cs="Arial"/>
        </w:rPr>
        <w:drawing>
          <wp:inline distT="0" distB="0" distL="0" distR="0" wp14:anchorId="5D7E2AEA" wp14:editId="05FB502F">
            <wp:extent cx="5396230" cy="6247130"/>
            <wp:effectExtent l="0" t="0" r="0" b="0"/>
            <wp:docPr id="56" name="図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624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64102" w14:textId="370DE0F1" w:rsidR="00BD6C85" w:rsidRDefault="00BD6C85">
      <w:pPr>
        <w:rPr>
          <w:rFonts w:ascii="Arial" w:hAnsi="Arial" w:cs="Arial" w:hint="eastAsia"/>
        </w:rPr>
      </w:pPr>
    </w:p>
    <w:p w14:paraId="2A7B3C0B" w14:textId="7A5CD1A7" w:rsidR="0009222F" w:rsidRPr="0009222F" w:rsidRDefault="0009222F" w:rsidP="0009222F">
      <w:pPr>
        <w:spacing w:line="360" w:lineRule="auto"/>
        <w:outlineLvl w:val="0"/>
        <w:rPr>
          <w:rFonts w:ascii="Times New Roman" w:hAnsi="Times New Roman"/>
        </w:rPr>
      </w:pPr>
      <w:r w:rsidRPr="002D20C7">
        <w:rPr>
          <w:rFonts w:ascii="Times New Roman" w:hAnsi="Times New Roman"/>
          <w:b/>
        </w:rPr>
        <w:t>Suppl. Fig. S3.</w:t>
      </w:r>
      <w:r w:rsidRPr="002D20C7">
        <w:rPr>
          <w:rFonts w:ascii="Times New Roman" w:hAnsi="Times New Roman"/>
        </w:rPr>
        <w:t xml:space="preserve"> Comparison of the changes in the SDAI and total PD score between the patients with a low SOST (n=30) and those with a high SOST (n=29). Wilcoxon signed ranks test. </w:t>
      </w:r>
      <w:r w:rsidRPr="002D20C7">
        <w:rPr>
          <w:rFonts w:ascii="Times New Roman" w:hAnsi="Times New Roman"/>
          <w:bCs/>
        </w:rPr>
        <w:t>Horizontal bar, median; boxes, 25th and 75th percentiles; bars, 5th and 95th percentiles.</w:t>
      </w:r>
    </w:p>
    <w:sectPr w:rsidR="0009222F" w:rsidRPr="0009222F" w:rsidSect="0009222F">
      <w:pgSz w:w="11900" w:h="16840"/>
      <w:pgMar w:top="1133" w:right="1701" w:bottom="669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64C8C" w14:textId="77777777" w:rsidR="00716096" w:rsidRDefault="00716096" w:rsidP="007523A2">
      <w:r>
        <w:separator/>
      </w:r>
    </w:p>
  </w:endnote>
  <w:endnote w:type="continuationSeparator" w:id="0">
    <w:p w14:paraId="1255889F" w14:textId="77777777" w:rsidR="00716096" w:rsidRDefault="00716096" w:rsidP="00752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iryo UI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CB8E47" w14:textId="77777777" w:rsidR="00716096" w:rsidRDefault="00716096" w:rsidP="007523A2">
      <w:r>
        <w:separator/>
      </w:r>
    </w:p>
  </w:footnote>
  <w:footnote w:type="continuationSeparator" w:id="0">
    <w:p w14:paraId="67D2C04C" w14:textId="77777777" w:rsidR="00716096" w:rsidRDefault="00716096" w:rsidP="007523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1AE"/>
    <w:rsid w:val="00025C23"/>
    <w:rsid w:val="0009222F"/>
    <w:rsid w:val="00152D7F"/>
    <w:rsid w:val="00705EF8"/>
    <w:rsid w:val="00716096"/>
    <w:rsid w:val="007523A2"/>
    <w:rsid w:val="00A67F67"/>
    <w:rsid w:val="00AC0A1B"/>
    <w:rsid w:val="00B231AE"/>
    <w:rsid w:val="00BD6C85"/>
    <w:rsid w:val="00DD140A"/>
    <w:rsid w:val="00F7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503E8F2"/>
  <w14:defaultImageDpi w14:val="32767"/>
  <w15:chartTrackingRefBased/>
  <w15:docId w15:val="{1B570115-0651-DF4E-82E0-B9916282F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9222F"/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31AE"/>
    <w:pPr>
      <w:widowControl w:val="0"/>
      <w:jc w:val="both"/>
    </w:pPr>
    <w:rPr>
      <w:rFonts w:ascii="ＭＳ 明朝" w:eastAsia="ＭＳ 明朝" w:hAnsiTheme="minorHAnsi" w:cstheme="minorBidi"/>
      <w:kern w:val="2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231AE"/>
    <w:rPr>
      <w:rFonts w:ascii="ＭＳ 明朝" w:eastAsia="ＭＳ 明朝"/>
      <w:sz w:val="18"/>
      <w:szCs w:val="18"/>
    </w:rPr>
  </w:style>
  <w:style w:type="table" w:styleId="a5">
    <w:name w:val="Table Grid"/>
    <w:basedOn w:val="a1"/>
    <w:uiPriority w:val="39"/>
    <w:rsid w:val="00B231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B231AE"/>
    <w:pPr>
      <w:spacing w:before="100" w:beforeAutospacing="1" w:after="100" w:afterAutospacing="1"/>
    </w:pPr>
  </w:style>
  <w:style w:type="paragraph" w:styleId="a6">
    <w:name w:val="header"/>
    <w:basedOn w:val="a"/>
    <w:link w:val="a7"/>
    <w:uiPriority w:val="99"/>
    <w:unhideWhenUsed/>
    <w:rsid w:val="007523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523A2"/>
    <w:rPr>
      <w:rFonts w:ascii="ＭＳ Ｐゴシック" w:eastAsia="ＭＳ Ｐゴシック" w:hAnsi="ＭＳ Ｐゴシック" w:cs="ＭＳ Ｐゴシック"/>
      <w:kern w:val="0"/>
    </w:rPr>
  </w:style>
  <w:style w:type="paragraph" w:styleId="a8">
    <w:name w:val="footer"/>
    <w:basedOn w:val="a"/>
    <w:link w:val="a9"/>
    <w:uiPriority w:val="99"/>
    <w:unhideWhenUsed/>
    <w:rsid w:val="007523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523A2"/>
    <w:rPr>
      <w:rFonts w:ascii="ＭＳ Ｐゴシック" w:eastAsia="ＭＳ Ｐゴシック" w:hAnsi="ＭＳ Ｐゴシック" w:cs="ＭＳ Ｐゴシック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9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川尻真也</dc:creator>
  <cp:keywords/>
  <dc:description/>
  <cp:lastModifiedBy>川尻真也</cp:lastModifiedBy>
  <cp:revision>4</cp:revision>
  <dcterms:created xsi:type="dcterms:W3CDTF">2020-05-19T11:26:00Z</dcterms:created>
  <dcterms:modified xsi:type="dcterms:W3CDTF">2020-05-19T11:32:00Z</dcterms:modified>
</cp:coreProperties>
</file>