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ABD" w:rsidRDefault="00980ABD" w:rsidP="00980ABD">
      <w:pPr>
        <w:pStyle w:val="1"/>
        <w:rPr>
          <w:sz w:val="32"/>
          <w:szCs w:val="32"/>
        </w:rPr>
      </w:pPr>
      <w:r w:rsidRPr="3666DCC0">
        <w:rPr>
          <w:sz w:val="32"/>
          <w:szCs w:val="32"/>
        </w:rPr>
        <w:t>Appendix</w:t>
      </w:r>
    </w:p>
    <w:p w:rsidR="00980ABD" w:rsidRDefault="00980ABD" w:rsidP="00980ABD">
      <w:pPr>
        <w:jc w:val="left"/>
        <w:rPr>
          <w:b/>
          <w:bCs/>
        </w:rPr>
      </w:pPr>
      <w:r w:rsidRPr="39F728BA">
        <w:rPr>
          <w:b/>
          <w:bCs/>
        </w:rPr>
        <w:t>Causal pair extraction model</w:t>
      </w:r>
    </w:p>
    <w:p w:rsidR="00980ABD" w:rsidRDefault="00980ABD" w:rsidP="00980ABD">
      <w:r>
        <w:t xml:space="preserve">This end-to-end model is mainly composed of an encoder and a decoder. First, for a given text segment consisting of n tokens, </w:t>
      </w:r>
      <w:proofErr w:type="spellStart"/>
      <w:r>
        <w:t>vectorized</w:t>
      </w:r>
      <w:proofErr w:type="spellEnd"/>
      <w:r>
        <w:t xml:space="preserve"> representation is obtained by encoding the text with the pre-trained </w:t>
      </w:r>
      <w:proofErr w:type="spellStart"/>
      <w:r>
        <w:t>ClimateBERT</w:t>
      </w:r>
      <w:proofErr w:type="spellEnd"/>
      <w:r>
        <w:t xml:space="preserve"> model. This encoded text is then concatenated with part-of-speech tag </w:t>
      </w:r>
      <w:proofErr w:type="spellStart"/>
      <w:r>
        <w:t>embeddings</w:t>
      </w:r>
      <w:proofErr w:type="spellEnd"/>
      <w:r>
        <w:t xml:space="preserve"> to obtain the encoder's hidden state </w:t>
      </w:r>
      <m:oMath>
        <m:sSubSup>
          <m:sSubSupPr>
            <m:ctrlPr>
              <w:rPr>
                <w:rFonts w:ascii="Cambria Math" w:hAnsi="Cambria Math"/>
                <w:i/>
              </w:rPr>
            </m:ctrlPr>
          </m:sSubSupPr>
          <m:e>
            <m:r>
              <w:rPr>
                <w:rFonts w:ascii="Cambria Math" w:hAnsi="Cambria Math"/>
              </w:rPr>
              <m:t>h</m:t>
            </m:r>
          </m:e>
          <m:sub>
            <m:r>
              <w:rPr>
                <w:rFonts w:ascii="Cambria Math"/>
              </w:rPr>
              <m:t>i</m:t>
            </m:r>
          </m:sub>
          <m:sup>
            <m:r>
              <w:rPr>
                <w:rFonts w:ascii="Cambria Math"/>
              </w:rPr>
              <m:t>E</m:t>
            </m:r>
          </m:sup>
        </m:sSubSup>
      </m:oMath>
      <w:r>
        <w:t xml:space="preserve">. The hidden states are then processed through an attention mechanism to produce a context vector </w:t>
      </w:r>
      <m:oMath>
        <m:sSub>
          <m:sSubPr>
            <m:ctrlPr>
              <w:rPr>
                <w:rFonts w:ascii="Cambria Math" w:hAnsi="Cambria Math"/>
                <w:i/>
              </w:rPr>
            </m:ctrlPr>
          </m:sSubPr>
          <m:e>
            <m:r>
              <w:rPr>
                <w:rFonts w:ascii="Cambria Math"/>
              </w:rPr>
              <m:t>e</m:t>
            </m:r>
          </m:e>
          <m:sub>
            <m:r>
              <w:rPr>
                <w:rFonts w:ascii="Cambria Math"/>
              </w:rPr>
              <m:t>t</m:t>
            </m:r>
          </m:sub>
        </m:sSub>
      </m:oMath>
      <w:r>
        <w:t xml:space="preserve">. Specifically, the context vector is generated by concatenating two attention vectors. These attention vectors are computed based on the decoder’s previous hidden state </w:t>
      </w:r>
      <m:oMath>
        <m:sSubSup>
          <m:sSubSupPr>
            <m:ctrlPr>
              <w:rPr>
                <w:rFonts w:ascii="Cambria Math" w:hAnsi="Cambria Math"/>
                <w:i/>
              </w:rPr>
            </m:ctrlPr>
          </m:sSubSupPr>
          <m:e>
            <m:r>
              <w:rPr>
                <w:rFonts w:ascii="Cambria Math" w:hAnsi="Cambria Math"/>
              </w:rPr>
              <m:t>h</m:t>
            </m:r>
          </m:e>
          <m:sub>
            <m:r>
              <w:rPr>
                <w:rFonts w:ascii="Cambria Math"/>
              </w:rPr>
              <m:t>t</m:t>
            </m:r>
            <m:r>
              <w:rPr>
                <w:rFonts w:ascii="Cambria Math"/>
              </w:rPr>
              <m:t>-</m:t>
            </m:r>
            <m:r>
              <w:rPr>
                <w:rFonts w:ascii="Cambria Math"/>
              </w:rPr>
              <m:t>1</m:t>
            </m:r>
          </m:sub>
          <m:sup>
            <m:r>
              <w:rPr>
                <w:rFonts w:ascii="Cambria Math"/>
              </w:rPr>
              <m:t>D</m:t>
            </m:r>
          </m:sup>
        </m:sSubSup>
      </m:oMath>
      <w:r>
        <w:t xml:space="preserve">, and the average of the vectors of the causalities already generated </w:t>
      </w:r>
      <m:oMath>
        <m:sSub>
          <m:sSubPr>
            <m:ctrlPr>
              <w:rPr>
                <w:rFonts w:ascii="Cambria Math" w:hAnsi="Cambria Math"/>
                <w:i/>
              </w:rPr>
            </m:ctrlPr>
          </m:sSubPr>
          <m:e>
            <m:r>
              <w:rPr>
                <w:rFonts w:ascii="Cambria Math"/>
              </w:rPr>
              <m:t>y</m:t>
            </m:r>
          </m:e>
          <m:sub>
            <m:r>
              <w:rPr>
                <w:rFonts w:ascii="Cambria Math"/>
              </w:rPr>
              <m:t>avg</m:t>
            </m:r>
          </m:sub>
        </m:sSub>
      </m:oMath>
      <w:r>
        <w:t xml:space="preserve"> (</w:t>
      </w:r>
      <m:oMath>
        <m:sSub>
          <m:sSubPr>
            <m:ctrlPr>
              <w:rPr>
                <w:rFonts w:ascii="Cambria Math" w:hAnsi="Cambria Math"/>
                <w:i/>
              </w:rPr>
            </m:ctrlPr>
          </m:sSubPr>
          <m:e>
            <m:r>
              <w:rPr>
                <w:rFonts w:ascii="Cambria Math"/>
              </w:rPr>
              <m:t>y</m:t>
            </m:r>
          </m:e>
          <m:sub>
            <m:r>
              <w:rPr>
                <w:rFonts w:ascii="Cambria Math"/>
              </w:rPr>
              <m:t>avg</m:t>
            </m:r>
          </m:sub>
        </m:sSub>
        <m:r>
          <w:rPr>
            <w:rFonts w:ascii="Cambria Math"/>
          </w:rPr>
          <m:t>=</m:t>
        </m:r>
        <m:f>
          <m:fPr>
            <m:ctrlPr>
              <w:rPr>
                <w:rFonts w:ascii="Cambria Math" w:hAnsi="Cambria Math"/>
                <w:i/>
              </w:rPr>
            </m:ctrlPr>
          </m:fPr>
          <m:num>
            <m:r>
              <w:rPr>
                <w:rFonts w:ascii="Cambria Math"/>
              </w:rPr>
              <m:t>1</m:t>
            </m:r>
          </m:num>
          <m:den>
            <m:r>
              <w:rPr>
                <w:rFonts w:ascii="Cambria Math"/>
              </w:rPr>
              <m:t>t</m:t>
            </m:r>
            <m:r>
              <w:rPr>
                <w:rFonts w:ascii="Cambria Math" w:hAnsi="Cambria Math"/>
              </w:rPr>
              <m:t>-</m:t>
            </m:r>
            <m:r>
              <w:rPr>
                <w:rFonts w:ascii="Cambria Math"/>
              </w:rPr>
              <m:t>1</m:t>
            </m:r>
          </m:den>
        </m:f>
        <m:nary>
          <m:naryPr>
            <m:chr m:val="∑"/>
            <m:ctrlPr>
              <w:rPr>
                <w:rFonts w:ascii="Cambria Math" w:hAnsi="Cambria Math"/>
                <w:i/>
              </w:rPr>
            </m:ctrlPr>
          </m:naryPr>
          <m:sub>
            <m:r>
              <w:rPr>
                <w:rFonts w:ascii="Cambria Math"/>
              </w:rPr>
              <m:t>j=0</m:t>
            </m:r>
          </m:sub>
          <m:sup>
            <m:r>
              <w:rPr>
                <w:rFonts w:ascii="Cambria Math"/>
              </w:rPr>
              <m:t>t</m:t>
            </m:r>
            <m:r>
              <w:rPr>
                <w:rFonts w:ascii="Cambria Math" w:hAnsi="Cambria Math"/>
              </w:rPr>
              <m:t>-</m:t>
            </m:r>
            <m:r>
              <w:rPr>
                <w:rFonts w:ascii="Cambria Math"/>
              </w:rPr>
              <m:t>1</m:t>
            </m:r>
          </m:sup>
          <m:e>
            <m:sSub>
              <m:sSubPr>
                <m:ctrlPr>
                  <w:rPr>
                    <w:rFonts w:ascii="Cambria Math" w:hAnsi="Cambria Math"/>
                    <w:i/>
                  </w:rPr>
                </m:ctrlPr>
              </m:sSubPr>
              <m:e>
                <m:r>
                  <w:rPr>
                    <w:rFonts w:ascii="Cambria Math"/>
                  </w:rPr>
                  <m:t>y</m:t>
                </m:r>
              </m:e>
              <m:sub>
                <m:r>
                  <w:rPr>
                    <w:rFonts w:ascii="Cambria Math"/>
                  </w:rPr>
                  <m:t>j</m:t>
                </m:r>
              </m:sub>
            </m:sSub>
          </m:e>
        </m:nary>
      </m:oMath>
      <w:r>
        <w:t xml:space="preserve">), which are then attended to the sequence of hidden states from the encoder, as shown in Eq. (1). Next, the process moves to the decoder stage, where the concatenation of the context vector </w:t>
      </w:r>
      <m:oMath>
        <m:sSub>
          <m:sSubPr>
            <m:ctrlPr>
              <w:rPr>
                <w:rFonts w:ascii="Cambria Math" w:hAnsi="Cambria Math"/>
                <w:i/>
              </w:rPr>
            </m:ctrlPr>
          </m:sSubPr>
          <m:e>
            <m:r>
              <w:rPr>
                <w:rFonts w:ascii="Cambria Math"/>
              </w:rPr>
              <m:t>e</m:t>
            </m:r>
          </m:e>
          <m:sub>
            <m:r>
              <w:rPr>
                <w:rFonts w:ascii="Cambria Math"/>
              </w:rPr>
              <m:t>t</m:t>
            </m:r>
          </m:sub>
        </m:sSub>
      </m:oMath>
      <w:r>
        <w:rPr>
          <w:rFonts w:hint="eastAsia"/>
        </w:rPr>
        <w:t xml:space="preserve"> </w:t>
      </w:r>
      <w:r>
        <w:t>and the average of all previous decoding vectors</w:t>
      </w:r>
      <w:r>
        <w:rPr>
          <w:noProof/>
        </w:rPr>
        <w:t xml:space="preserve"> </w:t>
      </w:r>
      <m:oMath>
        <m:sSub>
          <m:sSubPr>
            <m:ctrlPr>
              <w:rPr>
                <w:rFonts w:ascii="Cambria Math" w:hAnsi="Cambria Math"/>
                <w:i/>
              </w:rPr>
            </m:ctrlPr>
          </m:sSubPr>
          <m:e>
            <m:r>
              <w:rPr>
                <w:rFonts w:ascii="Cambria Math"/>
              </w:rPr>
              <m:t>y</m:t>
            </m:r>
          </m:e>
          <m:sub>
            <m:r>
              <w:rPr>
                <w:rFonts w:ascii="Cambria Math"/>
              </w:rPr>
              <m:t>avg</m:t>
            </m:r>
          </m:sub>
        </m:sSub>
      </m:oMath>
      <w:r>
        <w:t xml:space="preserve"> is passed, along with previous decoding vector, into an LSTM to generate the next hidden state </w:t>
      </w:r>
      <m:oMath>
        <m:sSubSup>
          <m:sSubSupPr>
            <m:ctrlPr>
              <w:rPr>
                <w:rFonts w:ascii="Cambria Math" w:hAnsi="Cambria Math"/>
                <w:i/>
              </w:rPr>
            </m:ctrlPr>
          </m:sSubSupPr>
          <m:e>
            <m:r>
              <w:rPr>
                <w:rFonts w:ascii="Cambria Math" w:hAnsi="Cambria Math"/>
              </w:rPr>
              <m:t>h</m:t>
            </m:r>
          </m:e>
          <m:sub>
            <m:r>
              <w:rPr>
                <w:rFonts w:ascii="Cambria Math"/>
              </w:rPr>
              <m:t>t</m:t>
            </m:r>
          </m:sub>
          <m:sup>
            <m:r>
              <w:rPr>
                <w:rFonts w:ascii="Cambria Math"/>
              </w:rPr>
              <m:t>D</m:t>
            </m:r>
          </m:sup>
        </m:sSubSup>
      </m:oMath>
      <w:r>
        <w:t xml:space="preserve">, as shown in Eq. (2). Finally, two pointer networks are used to identify the cause and effect entities separately. First, the concatenation of the decoder vector </w:t>
      </w:r>
      <m:oMath>
        <m:sSubSup>
          <m:sSubSupPr>
            <m:ctrlPr>
              <w:rPr>
                <w:rFonts w:ascii="Cambria Math" w:hAnsi="Cambria Math"/>
                <w:i/>
              </w:rPr>
            </m:ctrlPr>
          </m:sSubSupPr>
          <m:e>
            <m:r>
              <w:rPr>
                <w:rFonts w:ascii="Cambria Math" w:hAnsi="Cambria Math"/>
              </w:rPr>
              <m:t>h</m:t>
            </m:r>
          </m:e>
          <m:sub>
            <m:r>
              <w:rPr>
                <w:rFonts w:ascii="Cambria Math"/>
              </w:rPr>
              <m:t>t</m:t>
            </m:r>
          </m:sub>
          <m:sup>
            <m:r>
              <w:rPr>
                <w:rFonts w:ascii="Cambria Math"/>
              </w:rPr>
              <m:t>D</m:t>
            </m:r>
          </m:sup>
        </m:sSubSup>
      </m:oMath>
      <w:r>
        <w:t xml:space="preserve"> and the encoder vector </w:t>
      </w:r>
      <m:oMath>
        <m:sSubSup>
          <m:sSubSupPr>
            <m:ctrlPr>
              <w:rPr>
                <w:rFonts w:ascii="Cambria Math" w:hAnsi="Cambria Math"/>
                <w:i/>
              </w:rPr>
            </m:ctrlPr>
          </m:sSubSupPr>
          <m:e>
            <m:r>
              <w:rPr>
                <w:rFonts w:ascii="Cambria Math" w:hAnsi="Cambria Math"/>
              </w:rPr>
              <m:t>h</m:t>
            </m:r>
          </m:e>
          <m:sub>
            <m:r>
              <w:rPr>
                <w:rFonts w:ascii="Cambria Math"/>
              </w:rPr>
              <m:t>i</m:t>
            </m:r>
          </m:sub>
          <m:sup>
            <m:r>
              <w:rPr>
                <w:rFonts w:ascii="Cambria Math"/>
              </w:rPr>
              <m:t>E</m:t>
            </m:r>
          </m:sup>
        </m:sSubSup>
      </m:oMath>
      <w:r>
        <w:rPr>
          <w:noProof/>
        </w:rPr>
        <w:t xml:space="preserve"> </w:t>
      </w:r>
      <w:r>
        <w:t xml:space="preserve">is passed into a Bi-LSTM layer to obtain hidden representations </w:t>
      </w:r>
      <m:oMath>
        <m:sSubSup>
          <m:sSubSupPr>
            <m:ctrlPr>
              <w:rPr>
                <w:rFonts w:ascii="Cambria Math" w:hAnsi="Cambria Math"/>
                <w:i/>
              </w:rPr>
            </m:ctrlPr>
          </m:sSubSupPr>
          <m:e>
            <m:r>
              <w:rPr>
                <w:rFonts w:ascii="Cambria Math" w:hAnsi="Cambria Math"/>
              </w:rPr>
              <m:t>h</m:t>
            </m:r>
          </m:e>
          <m:sub>
            <m:r>
              <w:rPr>
                <w:rFonts w:ascii="Cambria Math"/>
              </w:rPr>
              <m:t>i</m:t>
            </m:r>
          </m:sub>
          <m:sup>
            <m:r>
              <w:rPr>
                <w:rFonts w:ascii="Cambria Math"/>
              </w:rPr>
              <m:t>k</m:t>
            </m:r>
          </m:sup>
        </m:sSubSup>
      </m:oMath>
      <w:r>
        <w:t xml:space="preserve">, which are then passed to two feed-forward networks (FFNs) to identify the start and end positions of the cause entity, as shown in Eq. (3). Then, another pointer network extracts the effect entity by concatenating the hidden states </w:t>
      </w:r>
      <m:oMath>
        <m:sSubSup>
          <m:sSubSupPr>
            <m:ctrlPr>
              <w:rPr>
                <w:rFonts w:ascii="Cambria Math" w:hAnsi="Cambria Math"/>
                <w:i/>
              </w:rPr>
            </m:ctrlPr>
          </m:sSubSupPr>
          <m:e>
            <m:r>
              <w:rPr>
                <w:rFonts w:ascii="Cambria Math" w:hAnsi="Cambria Math"/>
              </w:rPr>
              <m:t>h</m:t>
            </m:r>
          </m:e>
          <m:sub>
            <m:r>
              <w:rPr>
                <w:rFonts w:ascii="Cambria Math"/>
              </w:rPr>
              <m:t>i</m:t>
            </m:r>
          </m:sub>
          <m:sup>
            <m:r>
              <w:rPr>
                <w:rFonts w:ascii="Cambria Math"/>
              </w:rPr>
              <m:t>k</m:t>
            </m:r>
          </m:sup>
        </m:sSubSup>
      </m:oMath>
      <w:r>
        <w:t xml:space="preserve"> from the first pointer network’s Bi-LSTM layer and passing them into a second Bi-LSTM and two FFNs, as shown in Eq. (4). The final output is all the causal pairs of predictions corresponding to each causal statement.</w:t>
      </w:r>
    </w:p>
    <w:p w:rsidR="00980ABD" w:rsidRDefault="00980ABD" w:rsidP="00980ABD"/>
    <w:p w:rsidR="00980ABD" w:rsidRDefault="00ED5124" w:rsidP="00980ABD">
      <w:pPr>
        <w:pStyle w:val="MTDisplayEquation"/>
        <w:jc w:val="center"/>
      </w:pPr>
      <m:oMath>
        <m:sSub>
          <m:sSubPr>
            <m:ctrlPr>
              <w:rPr>
                <w:rFonts w:ascii="Cambria Math" w:hAnsi="Cambria Math"/>
                <w:i/>
              </w:rPr>
            </m:ctrlPr>
          </m:sSubPr>
          <m:e>
            <m:r>
              <w:rPr>
                <w:rFonts w:ascii="Cambria Math"/>
              </w:rPr>
              <m:t>e</m:t>
            </m:r>
          </m:e>
          <m:sub>
            <m:r>
              <w:rPr>
                <w:rFonts w:ascii="Cambria Math"/>
              </w:rPr>
              <m:t>t</m:t>
            </m:r>
          </m:sub>
        </m:sSub>
        <m:r>
          <w:rPr>
            <w:rFonts w:ascii="Cambria Math"/>
          </w:rPr>
          <m:t>=Attention(</m:t>
        </m:r>
        <m:sSubSup>
          <m:sSubSupPr>
            <m:ctrlPr>
              <w:rPr>
                <w:rFonts w:ascii="Cambria Math" w:hAnsi="Cambria Math"/>
                <w:i/>
              </w:rPr>
            </m:ctrlPr>
          </m:sSubSupPr>
          <m:e>
            <m:r>
              <w:rPr>
                <w:rFonts w:ascii="Cambria Math" w:hAnsi="Cambria Math" w:cs="Times New Roman"/>
              </w:rPr>
              <m:t>h</m:t>
            </m:r>
          </m:e>
          <m:sub>
            <m:r>
              <w:rPr>
                <w:rFonts w:ascii="Cambria Math"/>
              </w:rPr>
              <m:t>t</m:t>
            </m:r>
            <m:r>
              <w:rPr>
                <w:rFonts w:ascii="微软雅黑" w:eastAsia="微软雅黑" w:hAnsi="微软雅黑" w:cs="微软雅黑" w:hint="eastAsia"/>
              </w:rPr>
              <m:t>-</m:t>
            </m:r>
            <m:r>
              <w:rPr>
                <w:rFonts w:ascii="Cambria Math"/>
              </w:rPr>
              <m:t>1</m:t>
            </m:r>
          </m:sub>
          <m:sup>
            <m:r>
              <w:rPr>
                <w:rFonts w:ascii="Cambria Math"/>
              </w:rPr>
              <m:t>D</m:t>
            </m:r>
          </m:sup>
        </m:sSubSup>
        <m:r>
          <w:rPr>
            <w:rFonts w:ascii="Cambria Math"/>
          </w:rPr>
          <m:t>,</m:t>
        </m:r>
        <m:sSup>
          <m:sSupPr>
            <m:ctrlPr>
              <w:rPr>
                <w:rFonts w:ascii="Cambria Math" w:hAnsi="Cambria Math"/>
                <w:i/>
              </w:rPr>
            </m:ctrlPr>
          </m:sSupPr>
          <m:e>
            <m:r>
              <w:rPr>
                <w:rFonts w:ascii="Cambria Math" w:hAnsi="Cambria Math" w:cs="Times New Roman"/>
              </w:rPr>
              <m:t>h</m:t>
            </m:r>
          </m:e>
          <m:sup>
            <m:r>
              <w:rPr>
                <w:rFonts w:ascii="Cambria Math"/>
              </w:rPr>
              <m:t>E</m:t>
            </m:r>
          </m:sup>
        </m:sSup>
        <m:r>
          <w:rPr>
            <w:rFonts w:ascii="Cambria Math"/>
          </w:rPr>
          <m:t>)||Attention(</m:t>
        </m:r>
        <m:sSub>
          <m:sSubPr>
            <m:ctrlPr>
              <w:rPr>
                <w:rFonts w:ascii="Cambria Math" w:hAnsi="Cambria Math"/>
                <w:i/>
              </w:rPr>
            </m:ctrlPr>
          </m:sSubPr>
          <m:e>
            <m:r>
              <w:rPr>
                <w:rFonts w:ascii="Cambria Math"/>
              </w:rPr>
              <m:t>y</m:t>
            </m:r>
          </m:e>
          <m:sub>
            <m:r>
              <w:rPr>
                <w:rFonts w:ascii="Cambria Math"/>
              </w:rPr>
              <m:t>avg</m:t>
            </m:r>
          </m:sub>
        </m:sSub>
        <m:r>
          <w:rPr>
            <w:rFonts w:ascii="Cambria Math"/>
          </w:rPr>
          <m:t>,</m:t>
        </m:r>
        <m:sSup>
          <m:sSupPr>
            <m:ctrlPr>
              <w:rPr>
                <w:rFonts w:ascii="Cambria Math" w:hAnsi="Cambria Math"/>
                <w:i/>
              </w:rPr>
            </m:ctrlPr>
          </m:sSupPr>
          <m:e>
            <m:r>
              <w:rPr>
                <w:rFonts w:ascii="Cambria Math" w:hAnsi="Cambria Math" w:cs="Times New Roman"/>
              </w:rPr>
              <m:t>h</m:t>
            </m:r>
          </m:e>
          <m:sup>
            <m:r>
              <w:rPr>
                <w:rFonts w:ascii="Cambria Math"/>
              </w:rPr>
              <m:t>E</m:t>
            </m:r>
          </m:sup>
        </m:sSup>
        <m:r>
          <w:rPr>
            <w:rFonts w:ascii="Cambria Math"/>
          </w:rPr>
          <m:t>)</m:t>
        </m:r>
      </m:oMath>
      <w:r w:rsidR="00980ABD" w:rsidRPr="000C0C6B">
        <w:rPr>
          <w:rFonts w:ascii="Times New Roman" w:hAnsi="Times New Roman" w:cs="Times New Roman"/>
        </w:rPr>
        <w:t xml:space="preserve">  </w:t>
      </w:r>
      <w:r w:rsidR="00980ABD" w:rsidRPr="000C0C6B">
        <w:rPr>
          <w:rFonts w:ascii="Times New Roman" w:eastAsia="Times New Roman" w:hAnsi="Times New Roman" w:cs="Times New Roman"/>
          <w:szCs w:val="21"/>
        </w:rPr>
        <w:t>(1)</w:t>
      </w:r>
    </w:p>
    <w:p w:rsidR="00980ABD" w:rsidRDefault="00ED5124" w:rsidP="00980ABD">
      <w:pPr>
        <w:jc w:val="center"/>
      </w:pPr>
      <m:oMath>
        <m:sSubSup>
          <m:sSubSupPr>
            <m:ctrlPr>
              <w:rPr>
                <w:rFonts w:ascii="Cambria Math" w:hAnsi="Cambria Math"/>
                <w:i/>
              </w:rPr>
            </m:ctrlPr>
          </m:sSubSupPr>
          <m:e>
            <m:r>
              <w:rPr>
                <w:rFonts w:ascii="Cambria Math" w:hAnsi="Cambria Math"/>
              </w:rPr>
              <m:t>h</m:t>
            </m:r>
          </m:e>
          <m:sub>
            <m:r>
              <w:rPr>
                <w:rFonts w:ascii="Cambria Math"/>
              </w:rPr>
              <m:t>t</m:t>
            </m:r>
          </m:sub>
          <m:sup>
            <m:r>
              <w:rPr>
                <w:rFonts w:ascii="Cambria Math"/>
              </w:rPr>
              <m:t>D</m:t>
            </m:r>
          </m:sup>
        </m:sSubSup>
        <m:r>
          <w:rPr>
            <w:rFonts w:ascii="Cambria Math"/>
          </w:rPr>
          <m:t>=LSTM(</m:t>
        </m:r>
        <m:sSub>
          <m:sSubPr>
            <m:ctrlPr>
              <w:rPr>
                <w:rFonts w:ascii="Cambria Math" w:hAnsi="Cambria Math"/>
                <w:i/>
              </w:rPr>
            </m:ctrlPr>
          </m:sSubPr>
          <m:e>
            <m:r>
              <w:rPr>
                <w:rFonts w:ascii="Cambria Math"/>
              </w:rPr>
              <m:t>e</m:t>
            </m:r>
          </m:e>
          <m:sub>
            <m:r>
              <w:rPr>
                <w:rFonts w:ascii="Cambria Math"/>
              </w:rPr>
              <m:t>t</m:t>
            </m:r>
          </m:sub>
        </m:sSub>
        <m:r>
          <w:rPr>
            <w:rFonts w:ascii="Cambria Math"/>
          </w:rPr>
          <m:t>||</m:t>
        </m:r>
        <m:sSub>
          <m:sSubPr>
            <m:ctrlPr>
              <w:rPr>
                <w:rFonts w:ascii="Cambria Math" w:hAnsi="Cambria Math"/>
                <w:i/>
              </w:rPr>
            </m:ctrlPr>
          </m:sSubPr>
          <m:e>
            <m:r>
              <w:rPr>
                <w:rFonts w:ascii="Cambria Math"/>
              </w:rPr>
              <m:t>y</m:t>
            </m:r>
          </m:e>
          <m:sub>
            <m:r>
              <w:rPr>
                <w:rFonts w:ascii="Cambria Math"/>
              </w:rPr>
              <m:t>avg</m:t>
            </m:r>
          </m:sub>
        </m:sSub>
        <m:r>
          <w:rPr>
            <w:rFonts w:ascii="Cambria Math"/>
          </w:rPr>
          <m:t>,</m:t>
        </m:r>
        <m:sSubSup>
          <m:sSubSupPr>
            <m:ctrlPr>
              <w:rPr>
                <w:rFonts w:ascii="Cambria Math" w:hAnsi="Cambria Math"/>
                <w:i/>
              </w:rPr>
            </m:ctrlPr>
          </m:sSubSupPr>
          <m:e>
            <m:r>
              <w:rPr>
                <w:rFonts w:ascii="Cambria Math" w:hAnsi="Cambria Math"/>
              </w:rPr>
              <m:t>h</m:t>
            </m:r>
          </m:e>
          <m:sub>
            <m:r>
              <w:rPr>
                <w:rFonts w:ascii="Cambria Math"/>
              </w:rPr>
              <m:t>t</m:t>
            </m:r>
            <m:r>
              <w:rPr>
                <w:rFonts w:ascii="Cambria Math"/>
              </w:rPr>
              <m:t>-</m:t>
            </m:r>
            <m:r>
              <w:rPr>
                <w:rFonts w:ascii="Cambria Math"/>
              </w:rPr>
              <m:t>1</m:t>
            </m:r>
          </m:sub>
          <m:sup>
            <m:r>
              <w:rPr>
                <w:rFonts w:ascii="Cambria Math"/>
              </w:rPr>
              <m:t>D</m:t>
            </m:r>
          </m:sup>
        </m:sSubSup>
        <m:r>
          <w:rPr>
            <w:rFonts w:ascii="Cambria Math"/>
          </w:rPr>
          <m:t>)</m:t>
        </m:r>
      </m:oMath>
      <w:r w:rsidR="00980ABD">
        <w:rPr>
          <w:rFonts w:hint="eastAsia"/>
        </w:rPr>
        <w:t xml:space="preserve"> </w:t>
      </w:r>
      <w:r w:rsidR="00980ABD">
        <w:t xml:space="preserve"> </w:t>
      </w:r>
      <w:r w:rsidR="00980ABD" w:rsidRPr="39F728BA">
        <w:rPr>
          <w:rFonts w:eastAsia="Times New Roman"/>
          <w:sz w:val="21"/>
          <w:szCs w:val="21"/>
        </w:rPr>
        <w:t>(2)</w:t>
      </w:r>
    </w:p>
    <w:p w:rsidR="00980ABD" w:rsidRDefault="00ED5124" w:rsidP="00980ABD">
      <w:pPr>
        <w:jc w:val="center"/>
      </w:pPr>
      <m:oMath>
        <m:sSubSup>
          <m:sSubSupPr>
            <m:ctrlPr>
              <w:rPr>
                <w:rFonts w:ascii="Cambria Math" w:hAnsi="Cambria Math"/>
                <w:i/>
              </w:rPr>
            </m:ctrlPr>
          </m:sSubSupPr>
          <m:e>
            <m:r>
              <w:rPr>
                <w:rFonts w:ascii="Cambria Math"/>
              </w:rPr>
              <m:t>V</m:t>
            </m:r>
          </m:e>
          <m:sub>
            <m:r>
              <w:rPr>
                <w:rFonts w:ascii="Cambria Math"/>
              </w:rPr>
              <m:t>t</m:t>
            </m:r>
          </m:sub>
          <m:sup>
            <m:r>
              <w:rPr>
                <w:rFonts w:ascii="Cambria Math"/>
              </w:rPr>
              <m:t>c</m:t>
            </m:r>
          </m:sup>
        </m:sSubSup>
        <m:r>
          <w:rPr>
            <w:rFonts w:ascii="Cambria Math"/>
          </w:rPr>
          <m:t>=2FNN(BiLSTM(</m:t>
        </m:r>
        <m:sSup>
          <m:sSupPr>
            <m:ctrlPr>
              <w:rPr>
                <w:rFonts w:ascii="Cambria Math" w:hAnsi="Cambria Math"/>
                <w:i/>
              </w:rPr>
            </m:ctrlPr>
          </m:sSupPr>
          <m:e>
            <m:r>
              <w:rPr>
                <w:rFonts w:ascii="Cambria Math" w:hAnsi="Cambria Math"/>
              </w:rPr>
              <m:t>h</m:t>
            </m:r>
          </m:e>
          <m:sup>
            <m:r>
              <w:rPr>
                <w:rFonts w:ascii="Cambria Math"/>
              </w:rPr>
              <m:t>E</m:t>
            </m:r>
          </m:sup>
        </m:sSup>
        <m:r>
          <w:rPr>
            <w:rFonts w:ascii="Cambria Math"/>
          </w:rPr>
          <m:t>||</m:t>
        </m:r>
        <m:sSubSup>
          <m:sSubSupPr>
            <m:ctrlPr>
              <w:rPr>
                <w:rFonts w:ascii="Cambria Math" w:hAnsi="Cambria Math"/>
                <w:i/>
              </w:rPr>
            </m:ctrlPr>
          </m:sSubSupPr>
          <m:e>
            <m:r>
              <w:rPr>
                <w:rFonts w:ascii="Cambria Math" w:hAnsi="Cambria Math"/>
              </w:rPr>
              <m:t>h</m:t>
            </m:r>
          </m:e>
          <m:sub>
            <m:r>
              <w:rPr>
                <w:rFonts w:ascii="Cambria Math"/>
              </w:rPr>
              <m:t>t</m:t>
            </m:r>
          </m:sub>
          <m:sup>
            <m:r>
              <w:rPr>
                <w:rFonts w:ascii="Cambria Math"/>
              </w:rPr>
              <m:t>D</m:t>
            </m:r>
          </m:sup>
        </m:sSubSup>
        <m:r>
          <w:rPr>
            <w:rFonts w:ascii="Cambria Math"/>
          </w:rPr>
          <m:t>))</m:t>
        </m:r>
      </m:oMath>
      <w:r w:rsidR="00980ABD">
        <w:rPr>
          <w:rFonts w:hint="eastAsia"/>
        </w:rPr>
        <w:t xml:space="preserve"> </w:t>
      </w:r>
      <w:r w:rsidR="00980ABD">
        <w:t xml:space="preserve"> </w:t>
      </w:r>
      <w:r w:rsidR="00980ABD" w:rsidRPr="39F728BA">
        <w:rPr>
          <w:rFonts w:eastAsia="Times New Roman"/>
          <w:sz w:val="21"/>
          <w:szCs w:val="21"/>
        </w:rPr>
        <w:t>(3)</w:t>
      </w:r>
    </w:p>
    <w:p w:rsidR="00980ABD" w:rsidRDefault="00ED5124" w:rsidP="00980ABD">
      <w:pPr>
        <w:jc w:val="center"/>
      </w:pPr>
      <m:oMath>
        <m:sSubSup>
          <m:sSubSupPr>
            <m:ctrlPr>
              <w:rPr>
                <w:rFonts w:ascii="Cambria Math" w:hAnsi="Cambria Math"/>
                <w:i/>
              </w:rPr>
            </m:ctrlPr>
          </m:sSubSupPr>
          <m:e>
            <m:r>
              <w:rPr>
                <w:rFonts w:ascii="Cambria Math"/>
              </w:rPr>
              <m:t>V</m:t>
            </m:r>
          </m:e>
          <m:sub>
            <m:r>
              <w:rPr>
                <w:rFonts w:ascii="Cambria Math"/>
              </w:rPr>
              <m:t>t</m:t>
            </m:r>
          </m:sub>
          <m:sup>
            <m:r>
              <w:rPr>
                <w:rFonts w:ascii="Cambria Math"/>
              </w:rPr>
              <m:t>e</m:t>
            </m:r>
          </m:sup>
        </m:sSubSup>
        <m:r>
          <w:rPr>
            <w:rFonts w:ascii="Cambria Math"/>
          </w:rPr>
          <m:t>=2FNN(BiLSTM(</m:t>
        </m:r>
        <m:sSub>
          <m:sSubPr>
            <m:ctrlPr>
              <w:rPr>
                <w:rFonts w:ascii="Cambria Math" w:hAnsi="Cambria Math"/>
                <w:i/>
              </w:rPr>
            </m:ctrlPr>
          </m:sSubPr>
          <m:e>
            <m:r>
              <w:rPr>
                <w:rFonts w:ascii="Cambria Math" w:hAnsi="Cambria Math"/>
              </w:rPr>
              <m:t>h</m:t>
            </m:r>
          </m:e>
          <m:sub>
            <m:r>
              <w:rPr>
                <w:rFonts w:ascii="Cambria Math"/>
              </w:rPr>
              <m:t>k</m:t>
            </m:r>
          </m:sub>
        </m:sSub>
        <m:r>
          <w:rPr>
            <w:rFonts w:ascii="Cambria Math"/>
          </w:rPr>
          <m:t>||</m:t>
        </m:r>
        <m:sSup>
          <m:sSupPr>
            <m:ctrlPr>
              <w:rPr>
                <w:rFonts w:ascii="Cambria Math" w:hAnsi="Cambria Math"/>
                <w:i/>
              </w:rPr>
            </m:ctrlPr>
          </m:sSupPr>
          <m:e>
            <m:r>
              <w:rPr>
                <w:rFonts w:ascii="Cambria Math" w:hAnsi="Cambria Math"/>
              </w:rPr>
              <m:t>h</m:t>
            </m:r>
          </m:e>
          <m:sup>
            <m:r>
              <w:rPr>
                <w:rFonts w:ascii="Cambria Math"/>
              </w:rPr>
              <m:t>E</m:t>
            </m:r>
          </m:sup>
        </m:sSup>
        <m:r>
          <w:rPr>
            <w:rFonts w:ascii="Cambria Math"/>
          </w:rPr>
          <m:t>||</m:t>
        </m:r>
        <m:sSubSup>
          <m:sSubSupPr>
            <m:ctrlPr>
              <w:rPr>
                <w:rFonts w:ascii="Cambria Math" w:hAnsi="Cambria Math"/>
                <w:i/>
              </w:rPr>
            </m:ctrlPr>
          </m:sSubSupPr>
          <m:e>
            <m:r>
              <w:rPr>
                <w:rFonts w:ascii="Cambria Math" w:hAnsi="Cambria Math"/>
              </w:rPr>
              <m:t>h</m:t>
            </m:r>
          </m:e>
          <m:sub>
            <m:r>
              <w:rPr>
                <w:rFonts w:ascii="Cambria Math"/>
              </w:rPr>
              <m:t>t</m:t>
            </m:r>
          </m:sub>
          <m:sup>
            <m:r>
              <w:rPr>
                <w:rFonts w:ascii="Cambria Math"/>
              </w:rPr>
              <m:t>D</m:t>
            </m:r>
          </m:sup>
        </m:sSubSup>
        <m:r>
          <w:rPr>
            <w:rFonts w:ascii="Cambria Math"/>
          </w:rPr>
          <m:t>))</m:t>
        </m:r>
      </m:oMath>
      <w:r w:rsidR="00980ABD">
        <w:rPr>
          <w:rFonts w:hint="eastAsia"/>
        </w:rPr>
        <w:t xml:space="preserve"> </w:t>
      </w:r>
      <w:r w:rsidR="00980ABD">
        <w:t xml:space="preserve"> </w:t>
      </w:r>
      <w:r w:rsidR="00980ABD" w:rsidRPr="39F728BA">
        <w:rPr>
          <w:rFonts w:eastAsia="Times New Roman"/>
          <w:sz w:val="21"/>
          <w:szCs w:val="21"/>
        </w:rPr>
        <w:t>(4)</w:t>
      </w:r>
    </w:p>
    <w:p w:rsidR="00980ABD" w:rsidRDefault="00980ABD" w:rsidP="00980ABD">
      <w:pPr>
        <w:jc w:val="center"/>
        <w:rPr>
          <w:rFonts w:eastAsia="Times New Roman"/>
          <w:sz w:val="21"/>
          <w:szCs w:val="21"/>
        </w:rPr>
      </w:pPr>
    </w:p>
    <w:p w:rsidR="00980ABD" w:rsidRDefault="00980ABD" w:rsidP="00980ABD">
      <w:pPr>
        <w:jc w:val="left"/>
        <w:rPr>
          <w:b/>
          <w:bCs/>
        </w:rPr>
      </w:pPr>
      <w:r w:rsidRPr="1FC5BDE6">
        <w:rPr>
          <w:b/>
          <w:bCs/>
        </w:rPr>
        <w:t>A comparison between extraction results using our labeled data and public dataset</w:t>
      </w:r>
    </w:p>
    <w:p w:rsidR="00980ABD" w:rsidRDefault="00980ABD" w:rsidP="00980ABD">
      <w:r>
        <w:t xml:space="preserve">We trained the pointer network model proposed in section 3.3 using the extended </w:t>
      </w:r>
      <w:proofErr w:type="spellStart"/>
      <w:r>
        <w:t>SemEval</w:t>
      </w:r>
      <w:proofErr w:type="spellEnd"/>
      <w:r>
        <w:t xml:space="preserve"> 2010 Task </w:t>
      </w:r>
      <w:r>
        <w:lastRenderedPageBreak/>
        <w:t xml:space="preserve">8 dataset from the literature </w:t>
      </w:r>
      <w:r w:rsidRPr="1FC5BDE6">
        <w:rPr>
          <w:rFonts w:eastAsia="Times New Roman"/>
          <w:color w:val="000000" w:themeColor="text1"/>
        </w:rPr>
        <w:t>(Li et al., 2021). However,</w:t>
      </w:r>
      <w:r>
        <w:t xml:space="preserve"> the model's performance in </w:t>
      </w:r>
      <w:proofErr w:type="spellStart"/>
      <w:r>
        <w:t>recognising</w:t>
      </w:r>
      <w:proofErr w:type="spellEnd"/>
      <w:r>
        <w:t xml:space="preserve"> multiple, parallel, and compound causal phrases was unsatisfactory. The example (Fig. A) compares the extraction results of the model trained on the public dataset and the one trained on the labelled data (described below). This indicates significant domain-specific differences, where variations in causal structure and entity expressions can affect the model's performance. Therefore, relying solely on a public dataset may be insufficient, and a small amount of labelled data can significantly enhance model performance.</w:t>
      </w:r>
    </w:p>
    <w:p w:rsidR="00980ABD" w:rsidRDefault="00980ABD" w:rsidP="00980ABD">
      <w:pPr>
        <w:jc w:val="center"/>
      </w:pPr>
    </w:p>
    <w:p w:rsidR="00980ABD" w:rsidRDefault="00BD0983" w:rsidP="00980ABD">
      <w:pPr>
        <w:jc w:val="center"/>
      </w:pPr>
      <w:r>
        <w:object w:dxaOrig="8685"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5pt;height:102.05pt" o:ole="">
            <v:imagedata r:id="rId6" o:title=""/>
          </v:shape>
          <o:OLEObject Type="Embed" ProgID="Visio.Drawing.15" ShapeID="_x0000_i1025" DrawAspect="Content" ObjectID="_1807372477" r:id="rId7"/>
        </w:object>
      </w:r>
    </w:p>
    <w:p w:rsidR="00980ABD" w:rsidRDefault="00980ABD" w:rsidP="00980ABD">
      <w:pPr>
        <w:spacing w:line="259" w:lineRule="auto"/>
        <w:jc w:val="center"/>
        <w:rPr>
          <w:rFonts w:eastAsia="Times New Roman"/>
          <w:sz w:val="20"/>
          <w:szCs w:val="20"/>
        </w:rPr>
      </w:pPr>
      <w:r w:rsidRPr="3666DCC0">
        <w:rPr>
          <w:rFonts w:eastAsia="Times New Roman"/>
          <w:b/>
          <w:bCs/>
          <w:sz w:val="20"/>
          <w:szCs w:val="20"/>
        </w:rPr>
        <w:t xml:space="preserve">Fig. </w:t>
      </w:r>
      <w:r w:rsidR="00BA28BA">
        <w:rPr>
          <w:rFonts w:eastAsia="Times New Roman"/>
          <w:b/>
          <w:bCs/>
          <w:sz w:val="20"/>
          <w:szCs w:val="20"/>
        </w:rPr>
        <w:t>S1</w:t>
      </w:r>
      <w:r w:rsidRPr="3666DCC0">
        <w:rPr>
          <w:rFonts w:eastAsia="Times New Roman"/>
          <w:sz w:val="20"/>
          <w:szCs w:val="20"/>
        </w:rPr>
        <w:t xml:space="preserve"> Comparison of causal pair extraction results with and without domain-trained models</w:t>
      </w:r>
    </w:p>
    <w:p w:rsidR="00980ABD" w:rsidRDefault="00980ABD" w:rsidP="00980ABD">
      <w:pPr>
        <w:jc w:val="left"/>
        <w:rPr>
          <w:b/>
          <w:bCs/>
        </w:rPr>
      </w:pPr>
    </w:p>
    <w:p w:rsidR="00980ABD" w:rsidRDefault="00980ABD" w:rsidP="00980ABD">
      <w:pPr>
        <w:jc w:val="left"/>
        <w:rPr>
          <w:b/>
          <w:bCs/>
        </w:rPr>
      </w:pPr>
      <w:r w:rsidRPr="3666DCC0">
        <w:rPr>
          <w:b/>
          <w:bCs/>
        </w:rPr>
        <w:t>Possible causes of the error</w:t>
      </w:r>
    </w:p>
    <w:p w:rsidR="00980ABD" w:rsidRDefault="00980ABD" w:rsidP="00980ABD">
      <w:r w:rsidRPr="3666DCC0">
        <w:t xml:space="preserve">Extraction errors arise for various reasons. On one hand, our broad causal scope includes diverse sentence structures and phrasing to express causality, with many implicit causal relationships. On the other hand, the limited quantity of labeled data leads to imbalanced entity categories and constrained features learned by the model. While errors are inevitable, automated extraction of causal pairs has significantly improved map construction efficiency. </w:t>
      </w:r>
      <w:proofErr w:type="spellStart"/>
      <w:r w:rsidRPr="3666DCC0">
        <w:t>Minimising</w:t>
      </w:r>
      <w:proofErr w:type="spellEnd"/>
      <w:r w:rsidRPr="3666DCC0">
        <w:t xml:space="preserve"> errors requires selecting data with </w:t>
      </w:r>
      <w:proofErr w:type="spellStart"/>
      <w:r w:rsidRPr="3666DCC0">
        <w:t>standardised</w:t>
      </w:r>
      <w:proofErr w:type="spellEnd"/>
      <w:r w:rsidRPr="3666DCC0">
        <w:t xml:space="preserve"> structures and ensuring labeled data covers a wide range of causal structures and entity expressions. It has been shown that higher frequency of causal mentions improves model performance (Feng et al., 2024).</w:t>
      </w:r>
    </w:p>
    <w:p w:rsidR="007E3F14" w:rsidRDefault="007E3F14" w:rsidP="00980ABD"/>
    <w:p w:rsidR="007E3F14" w:rsidRDefault="007E3F14" w:rsidP="007E3F14">
      <w:pPr>
        <w:rPr>
          <w:rFonts w:eastAsia="Times New Roman"/>
        </w:rPr>
      </w:pPr>
      <w:r w:rsidRPr="39F728BA">
        <w:rPr>
          <w:rFonts w:eastAsia="Times New Roman"/>
          <w:color w:val="222222"/>
          <w:sz w:val="21"/>
          <w:szCs w:val="21"/>
        </w:rPr>
        <w:t xml:space="preserve">Feng T, Qu L, </w:t>
      </w:r>
      <w:proofErr w:type="spellStart"/>
      <w:r w:rsidRPr="39F728BA">
        <w:rPr>
          <w:rFonts w:eastAsia="Times New Roman"/>
          <w:color w:val="222222"/>
          <w:sz w:val="21"/>
          <w:szCs w:val="21"/>
        </w:rPr>
        <w:t>Tandon</w:t>
      </w:r>
      <w:proofErr w:type="spellEnd"/>
      <w:r w:rsidRPr="39F728BA">
        <w:rPr>
          <w:rFonts w:eastAsia="Times New Roman"/>
          <w:color w:val="222222"/>
          <w:sz w:val="21"/>
          <w:szCs w:val="21"/>
        </w:rPr>
        <w:t xml:space="preserve"> N et al. (2024) From pre-training corpora to large language models: What factors influence </w:t>
      </w:r>
      <w:proofErr w:type="spellStart"/>
      <w:r w:rsidRPr="39F728BA">
        <w:rPr>
          <w:rFonts w:eastAsia="Times New Roman"/>
          <w:color w:val="222222"/>
          <w:sz w:val="21"/>
          <w:szCs w:val="21"/>
        </w:rPr>
        <w:t>llm</w:t>
      </w:r>
      <w:proofErr w:type="spellEnd"/>
      <w:r w:rsidRPr="39F728BA">
        <w:rPr>
          <w:rFonts w:eastAsia="Times New Roman"/>
          <w:color w:val="222222"/>
          <w:sz w:val="21"/>
          <w:szCs w:val="21"/>
        </w:rPr>
        <w:t xml:space="preserve"> performance in causal discovery tasks? preprint at </w:t>
      </w:r>
      <w:proofErr w:type="spellStart"/>
      <w:r w:rsidRPr="39F728BA">
        <w:rPr>
          <w:rFonts w:eastAsia="Times New Roman"/>
          <w:color w:val="222222"/>
          <w:sz w:val="21"/>
          <w:szCs w:val="21"/>
        </w:rPr>
        <w:t>arXiv</w:t>
      </w:r>
      <w:proofErr w:type="spellEnd"/>
      <w:r w:rsidRPr="39F728BA">
        <w:rPr>
          <w:rFonts w:eastAsia="Times New Roman"/>
          <w:color w:val="222222"/>
          <w:sz w:val="21"/>
          <w:szCs w:val="21"/>
        </w:rPr>
        <w:t xml:space="preserve"> </w:t>
      </w:r>
      <w:hyperlink r:id="rId8">
        <w:r w:rsidRPr="39F728BA">
          <w:rPr>
            <w:rStyle w:val="a8"/>
            <w:rFonts w:eastAsia="Times New Roman"/>
            <w:color w:val="0000FF"/>
            <w:sz w:val="21"/>
            <w:szCs w:val="21"/>
          </w:rPr>
          <w:t>https://doi.org/10.48550/arXiv.2407.19638</w:t>
        </w:r>
      </w:hyperlink>
    </w:p>
    <w:p w:rsidR="00980ABD" w:rsidRPr="007E3F14" w:rsidRDefault="00980ABD" w:rsidP="00980ABD">
      <w:pPr>
        <w:jc w:val="center"/>
        <w:rPr>
          <w:b/>
          <w:bCs/>
        </w:rPr>
      </w:pPr>
    </w:p>
    <w:p w:rsidR="00E45840" w:rsidRDefault="00E45840" w:rsidP="00980ABD">
      <w:pPr>
        <w:jc w:val="center"/>
        <w:rPr>
          <w:b/>
          <w:bCs/>
        </w:rPr>
      </w:pPr>
    </w:p>
    <w:p w:rsidR="00980ABD" w:rsidRDefault="00980ABD" w:rsidP="00E45840">
      <w:pPr>
        <w:rPr>
          <w:b/>
          <w:bCs/>
        </w:rPr>
      </w:pPr>
      <w:r w:rsidRPr="39F728BA">
        <w:rPr>
          <w:b/>
          <w:bCs/>
        </w:rPr>
        <w:lastRenderedPageBreak/>
        <w:t xml:space="preserve">Table </w:t>
      </w:r>
      <w:r w:rsidR="00BA28BA">
        <w:rPr>
          <w:b/>
          <w:bCs/>
        </w:rPr>
        <w:t>S1</w:t>
      </w:r>
      <w:r w:rsidRPr="39F728BA">
        <w:rPr>
          <w:b/>
          <w:bCs/>
        </w:rPr>
        <w:t xml:space="preserve"> Literature data</w:t>
      </w:r>
    </w:p>
    <w:tbl>
      <w:tblPr>
        <w:tblStyle w:val="a7"/>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15"/>
        <w:gridCol w:w="5445"/>
        <w:gridCol w:w="810"/>
        <w:gridCol w:w="2145"/>
      </w:tblGrid>
      <w:tr w:rsidR="00980ABD" w:rsidTr="00980ABD">
        <w:trPr>
          <w:trHeight w:val="300"/>
          <w:jc w:val="center"/>
        </w:trPr>
        <w:tc>
          <w:tcPr>
            <w:tcW w:w="615" w:type="dxa"/>
            <w:vAlign w:val="center"/>
          </w:tcPr>
          <w:p w:rsidR="00980ABD" w:rsidRDefault="00980ABD" w:rsidP="0025561C">
            <w:pPr>
              <w:jc w:val="center"/>
              <w:rPr>
                <w:rFonts w:eastAsia="Times New Roman"/>
                <w:b/>
                <w:bCs/>
                <w:color w:val="000000" w:themeColor="text1"/>
                <w:sz w:val="21"/>
                <w:szCs w:val="21"/>
              </w:rPr>
            </w:pPr>
            <w:r w:rsidRPr="39F728BA">
              <w:rPr>
                <w:rFonts w:eastAsia="Times New Roman"/>
                <w:b/>
                <w:bCs/>
                <w:color w:val="000000" w:themeColor="text1"/>
                <w:sz w:val="21"/>
                <w:szCs w:val="21"/>
              </w:rPr>
              <w:t>ID</w:t>
            </w:r>
          </w:p>
        </w:tc>
        <w:tc>
          <w:tcPr>
            <w:tcW w:w="5445" w:type="dxa"/>
            <w:vAlign w:val="center"/>
          </w:tcPr>
          <w:p w:rsidR="00980ABD" w:rsidRDefault="00980ABD" w:rsidP="0025561C">
            <w:pPr>
              <w:jc w:val="center"/>
              <w:rPr>
                <w:rFonts w:eastAsia="Times New Roman"/>
                <w:b/>
                <w:bCs/>
                <w:color w:val="000000" w:themeColor="text1"/>
                <w:sz w:val="21"/>
                <w:szCs w:val="21"/>
              </w:rPr>
            </w:pPr>
            <w:r w:rsidRPr="39F728BA">
              <w:rPr>
                <w:rFonts w:eastAsia="Times New Roman"/>
                <w:b/>
                <w:bCs/>
                <w:color w:val="000000" w:themeColor="text1"/>
                <w:sz w:val="21"/>
                <w:szCs w:val="21"/>
              </w:rPr>
              <w:t>Title</w:t>
            </w:r>
          </w:p>
        </w:tc>
        <w:tc>
          <w:tcPr>
            <w:tcW w:w="810" w:type="dxa"/>
            <w:vAlign w:val="center"/>
          </w:tcPr>
          <w:p w:rsidR="00980ABD" w:rsidRDefault="00980ABD" w:rsidP="0025561C">
            <w:pPr>
              <w:jc w:val="center"/>
              <w:rPr>
                <w:rFonts w:eastAsia="Times New Roman"/>
                <w:b/>
                <w:bCs/>
                <w:color w:val="000000" w:themeColor="text1"/>
                <w:sz w:val="21"/>
                <w:szCs w:val="21"/>
              </w:rPr>
            </w:pPr>
            <w:r w:rsidRPr="39F728BA">
              <w:rPr>
                <w:rFonts w:eastAsia="Times New Roman"/>
                <w:b/>
                <w:bCs/>
                <w:color w:val="000000" w:themeColor="text1"/>
                <w:sz w:val="21"/>
                <w:szCs w:val="21"/>
              </w:rPr>
              <w:t>Year</w:t>
            </w:r>
          </w:p>
        </w:tc>
        <w:tc>
          <w:tcPr>
            <w:tcW w:w="2145" w:type="dxa"/>
            <w:vAlign w:val="center"/>
          </w:tcPr>
          <w:p w:rsidR="00980ABD" w:rsidRDefault="00980ABD" w:rsidP="0025561C">
            <w:pPr>
              <w:jc w:val="center"/>
              <w:rPr>
                <w:rFonts w:eastAsia="Times New Roman"/>
                <w:b/>
                <w:bCs/>
                <w:color w:val="000000" w:themeColor="text1"/>
                <w:sz w:val="21"/>
                <w:szCs w:val="21"/>
              </w:rPr>
            </w:pPr>
            <w:r w:rsidRPr="39F728BA">
              <w:rPr>
                <w:rFonts w:eastAsia="Times New Roman"/>
                <w:b/>
                <w:bCs/>
                <w:color w:val="000000" w:themeColor="text1"/>
                <w:sz w:val="21"/>
                <w:szCs w:val="21"/>
              </w:rPr>
              <w:t>Journal</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1</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 xml:space="preserve">A generation and transmission expansion planning model for the electricity market with </w:t>
            </w:r>
            <w:proofErr w:type="spellStart"/>
            <w:r w:rsidRPr="39F728BA">
              <w:rPr>
                <w:rFonts w:eastAsia="Times New Roman"/>
                <w:color w:val="000000" w:themeColor="text1"/>
                <w:sz w:val="21"/>
                <w:szCs w:val="21"/>
              </w:rPr>
              <w:t>decarbonization</w:t>
            </w:r>
            <w:proofErr w:type="spellEnd"/>
            <w:r w:rsidRPr="39F728BA">
              <w:rPr>
                <w:rFonts w:eastAsia="Times New Roman"/>
                <w:color w:val="000000" w:themeColor="text1"/>
                <w:sz w:val="21"/>
                <w:szCs w:val="21"/>
              </w:rPr>
              <w:t xml:space="preserve"> policies</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2024</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Advances in Applied Energy</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A multi-period optimization model for planning of China's power sector with consideration of carbon dioxide mitigation—The importance of continuous and stable carbon mitigation policy</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2013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Energy Policy</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3</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An Evaluation on Sectoral Competitiveness of Guangdong in China: The Role of Carbon Taxation Policy</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Energies</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4</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An integrated CO2tax and subsidy policy for low carbon electricity in Guangdong, China</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2016</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Energy Sources, Part B: Economics, Planning, and Policy</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5</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 xml:space="preserve">Assessing distributional impacts of synergetic air pollution reductions under different power system </w:t>
            </w:r>
            <w:proofErr w:type="spellStart"/>
            <w:r w:rsidRPr="39F728BA">
              <w:rPr>
                <w:rFonts w:eastAsia="Times New Roman"/>
                <w:color w:val="000000" w:themeColor="text1"/>
                <w:sz w:val="21"/>
                <w:szCs w:val="21"/>
              </w:rPr>
              <w:t>decarbonisation</w:t>
            </w:r>
            <w:proofErr w:type="spellEnd"/>
            <w:r w:rsidRPr="39F728BA">
              <w:rPr>
                <w:rFonts w:eastAsia="Times New Roman"/>
                <w:color w:val="000000" w:themeColor="text1"/>
                <w:sz w:val="21"/>
                <w:szCs w:val="21"/>
              </w:rPr>
              <w:t xml:space="preserve"> policies in China</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Environmental Impact Assessment Review</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6</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Can carbon trading policy and local public expenditures synergize to promote carbon emission reduction in the power industry?</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Resources, Conservation and Recycling</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7</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Can learning-by-doing offset negative impacts of carbon pricing in China?</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 xml:space="preserve">Renewable and Sustainable Energy Reviews </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8</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Can renewable energy portfolio standards and carbon tax policies promote carbon emission reduction in China's power industry?</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Energy Policy</w:t>
            </w:r>
          </w:p>
        </w:tc>
      </w:tr>
      <w:tr w:rsidR="00980ABD" w:rsidTr="00980ABD">
        <w:trPr>
          <w:trHeight w:val="30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9</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Carbon emission reduction potential and its influencing factors in China’s coal-fired power industry: a cost optimization and decomposition analysis</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2021</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 xml:space="preserve">Environment, Development and Sustainability </w:t>
            </w:r>
          </w:p>
        </w:tc>
      </w:tr>
      <w:tr w:rsidR="00980ABD" w:rsidTr="00980ABD">
        <w:trPr>
          <w:trHeight w:val="520"/>
          <w:jc w:val="center"/>
        </w:trPr>
        <w:tc>
          <w:tcPr>
            <w:tcW w:w="61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10</w:t>
            </w:r>
          </w:p>
        </w:tc>
        <w:tc>
          <w:tcPr>
            <w:tcW w:w="54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 xml:space="preserve">The carbon reduction effects of stepped carbon emissions </w:t>
            </w:r>
            <w:r w:rsidRPr="39F728BA">
              <w:rPr>
                <w:rFonts w:eastAsia="Times New Roman"/>
                <w:color w:val="000000" w:themeColor="text1"/>
                <w:sz w:val="21"/>
                <w:szCs w:val="21"/>
              </w:rPr>
              <w:lastRenderedPageBreak/>
              <w:t>trading and carbon capture and storage on hybrid wind-PV-thermal- storage generation operating systems</w:t>
            </w:r>
          </w:p>
        </w:tc>
        <w:tc>
          <w:tcPr>
            <w:tcW w:w="810"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lastRenderedPageBreak/>
              <w:t>2023</w:t>
            </w:r>
          </w:p>
        </w:tc>
        <w:tc>
          <w:tcPr>
            <w:tcW w:w="2145" w:type="dxa"/>
            <w:vAlign w:val="center"/>
          </w:tcPr>
          <w:p w:rsidR="00980ABD" w:rsidRDefault="00980ABD" w:rsidP="0025561C">
            <w:pPr>
              <w:jc w:val="center"/>
              <w:rPr>
                <w:rFonts w:eastAsia="Times New Roman"/>
                <w:color w:val="000000" w:themeColor="text1"/>
                <w:sz w:val="21"/>
                <w:szCs w:val="21"/>
              </w:rPr>
            </w:pPr>
            <w:r w:rsidRPr="39F728BA">
              <w:rPr>
                <w:rFonts w:eastAsia="Times New Roman"/>
                <w:color w:val="000000" w:themeColor="text1"/>
                <w:sz w:val="21"/>
                <w:szCs w:val="21"/>
              </w:rPr>
              <w:t xml:space="preserve">Environmental </w:t>
            </w:r>
            <w:r w:rsidRPr="39F728BA">
              <w:rPr>
                <w:rFonts w:eastAsia="Times New Roman"/>
                <w:color w:val="000000" w:themeColor="text1"/>
                <w:sz w:val="21"/>
                <w:szCs w:val="21"/>
              </w:rPr>
              <w:lastRenderedPageBreak/>
              <w:t>Science and Pollution Research</w:t>
            </w:r>
          </w:p>
        </w:tc>
      </w:tr>
    </w:tbl>
    <w:p w:rsidR="00980ABD" w:rsidRDefault="00980ABD" w:rsidP="00980ABD">
      <w:pPr>
        <w:jc w:val="center"/>
      </w:pPr>
    </w:p>
    <w:p w:rsidR="00980ABD" w:rsidRDefault="00980ABD" w:rsidP="00E45840">
      <w:pPr>
        <w:rPr>
          <w:b/>
          <w:bCs/>
        </w:rPr>
      </w:pPr>
      <w:r w:rsidRPr="39F728BA">
        <w:rPr>
          <w:b/>
          <w:bCs/>
        </w:rPr>
        <w:t xml:space="preserve">Table </w:t>
      </w:r>
      <w:r w:rsidR="00BA28BA">
        <w:rPr>
          <w:b/>
          <w:bCs/>
        </w:rPr>
        <w:t>S2</w:t>
      </w:r>
      <w:bookmarkStart w:id="0" w:name="_GoBack"/>
      <w:bookmarkEnd w:id="0"/>
      <w:r w:rsidRPr="39F728BA">
        <w:rPr>
          <w:b/>
          <w:bCs/>
        </w:rPr>
        <w:t xml:space="preserve"> Synonymous entity alignment</w:t>
      </w: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468"/>
      </w:tblGrid>
      <w:tr w:rsidR="00980ABD" w:rsidTr="00E45840">
        <w:trPr>
          <w:trHeight w:val="285"/>
        </w:trPr>
        <w:tc>
          <w:tcPr>
            <w:tcW w:w="2547" w:type="dxa"/>
            <w:tcMar>
              <w:left w:w="108" w:type="dxa"/>
              <w:right w:w="108" w:type="dxa"/>
            </w:tcMar>
          </w:tcPr>
          <w:p w:rsidR="00980ABD" w:rsidRDefault="00980ABD" w:rsidP="0025561C">
            <w:pPr>
              <w:rPr>
                <w:rFonts w:eastAsia="Times New Roman"/>
                <w:b/>
                <w:bCs/>
                <w:color w:val="000000" w:themeColor="text1"/>
              </w:rPr>
            </w:pPr>
            <w:r w:rsidRPr="39F728BA">
              <w:rPr>
                <w:rFonts w:eastAsia="Times New Roman"/>
                <w:b/>
                <w:bCs/>
                <w:color w:val="000000" w:themeColor="text1"/>
              </w:rPr>
              <w:t>Node names used in the map</w:t>
            </w:r>
          </w:p>
        </w:tc>
        <w:tc>
          <w:tcPr>
            <w:tcW w:w="6468" w:type="dxa"/>
            <w:tcMar>
              <w:left w:w="108" w:type="dxa"/>
              <w:right w:w="108" w:type="dxa"/>
            </w:tcMar>
          </w:tcPr>
          <w:p w:rsidR="00980ABD" w:rsidRDefault="00980ABD" w:rsidP="0025561C">
            <w:pPr>
              <w:rPr>
                <w:rFonts w:eastAsia="Times New Roman"/>
                <w:b/>
                <w:bCs/>
              </w:rPr>
            </w:pPr>
            <w:r w:rsidRPr="39F728BA">
              <w:rPr>
                <w:rFonts w:eastAsia="Times New Roman"/>
                <w:b/>
                <w:bCs/>
              </w:rPr>
              <w:t>Other expressions merged</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air pollution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air pollutant</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capital, resource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capital and labor to the low-carbon industry, fixed capital formation, capital waste, capital input, resource waste, resource inputs, coal resources, capital</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carbon cap policy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emission limits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carbon capture, utilization, and storage (CCUS)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CCS retrofit of conventional coal plants, retrofitting existing conventional coal power plants with CCS, new coal power plants with CCS, carbon capture and storage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 xml:space="preserve">carbon emissions </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CO2 emissions, Greenhouse Gas (GHG) emission, total emission cap in a rate-based ETS, inhibitory effect of carbon emissions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carbon market activity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trading volume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carbon market size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carbon market scale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carbon price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uncertainty of carbon price, fixed and low carbon prices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carbon tax</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carbon tax policy, CO2 tax, tax revenue, continuity of carbon tax policy, stability of carbon tax policy, stringency of carbon tax policy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certified emission reductions (CERs)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demand for certified emission reductions (CERs)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clean development mechanism (CDM)</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limitations on clean development mechanism (CDM)</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construction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construction power plants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cost for carbon mitigation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carbon reduction costs, carbon mitigation costs, carbon cost, ETS costs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curtailment cost</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cost of power curtailment, phenomenon of power curtailment</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distributional impacts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differentiated provincial impacts, distributional consequences from national policies, regional differences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lastRenderedPageBreak/>
              <w:t>economic improvement of thermal power</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stable operation of thermal power, profit incentives in coal use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economic size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rapid industrialization, economic activity effect</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education expenditure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local public expenditure intensity on educational development (EO)</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electricity price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clearing price, product price, output price of energy-intensive products, price changes, price of RE (also average electricity)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Emissions Trading Scheme (ETS)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carbon emission allowance, carbon emission trading, ETS, carbon trading policy, carbon permits, longer the carbon trading policy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employment</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employment rate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energy consumption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energy consumes, energy input, invest in electric energy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energy storage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energy reserves, storage of electricity, energy storage system, spare capacity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energy structure adjustment</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energy and industry structure adjustment, energy system, power structure, energy structural shift, industrial structural shifts, power source structure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environmental expenditure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environmental protection input, environmental protection investment, output intensity of local public environmental protection expenditures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equity concerns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conflict of interests at subnational levels, barriers to the implementation of carbon abatement policies, income inequality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exports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outflow</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fossil fuel price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input materials price, price of oil</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GDP</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economic sacrifice, GDP loss, economic losses, economic growth, GDP per capita</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generation capacity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additional generation capacity, total generation capacity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generation cost of renewable energy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cost of RE power, energy costs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generation cost of thermal power</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cost of energy-intensive sectors, external cost into fossil fuels, thermal power operation cost, cost of coal for coal-fired power</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generation costs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cost for electricity supply, production cost, cost of power generation, cost of electricity, marginal cost, system costs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lastRenderedPageBreak/>
              <w:t>governments expenditure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local public expenditure, fiscal expenditure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household consumption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consumption patterns, consumer consumption</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imports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provincial import</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industry activity levels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industry activity, provincial industry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investment in power generation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generation capacity investment, energy investment, investment in the power</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investment in renewable energy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investment in RERs, investment to form the low-carbon industry, invest in renewable energy, investment for wind power, investment for solar power, invest in renewable energy generation</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investment in thermal power</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thermal investment, investment in high-emission thermal power</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knowledge spillover</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knowledge acquisition, knowledge accumulation</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market competitiveness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inter-region industry competitiveness, market competition, market inefficiency, electricity market, electricity market reform</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market demand</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power demand, demand, energy-intensive products demand, electricity demand, elasticity of electricity demand, energy demand</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market supply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power supply, electricity supply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operating efficiency level</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energy efficiency of thermal power, coal-power conversion coefficient (CPCC), carbon emission resources allocation, coal-fired power output rate, electricity generation efficiency, power losses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people awareness of energy conservation and emission reduction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public support, commercial opposition</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population growth rate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fertility rate in society, (benefit) population, population growth</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power consumption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income elasticity of residential electricity consumption, electricity consumption</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power generation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production of power generation enterprises, power generation system</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power systems stability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 xml:space="preserve">Balance of the Peak Load, power system instability, Power system flexibility, systems flexibility, power supply stability, electricity generation </w:t>
            </w:r>
            <w:r w:rsidRPr="39F728BA">
              <w:rPr>
                <w:rFonts w:eastAsia="Times New Roman"/>
                <w:color w:val="000000" w:themeColor="text1"/>
                <w:sz w:val="21"/>
                <w:szCs w:val="21"/>
              </w:rPr>
              <w:lastRenderedPageBreak/>
              <w:t>gap</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lastRenderedPageBreak/>
              <w:t>production decisions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load development, behavior of firms, business planning of producers and other trading entities, decision of the planning, priority of the development strategies, provincial preference for the national-level policies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production output</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output loss, production output of energy-intensive sectors, output of industrial sub-sectors, output of thermal power firms, industrial production, output of thermal power units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public health</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health/diseases, human mortalities and morbidities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R&amp;D spending</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public expenditure on science and technology (TE), invest in green technology</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regulated market</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excessive regulation, regulatory process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renewable energy market share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renewable energy resources (RERs), RERs market share, renewable power, renewable resources, green power generation, renewable energy generation</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residents living habits</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normal life of the residents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resource potential of renewable energy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development potential of hydro power, resource potential of low carbon power, unpredictable nature of PV energy, unpredictable nature of wind energy, wind and PV power forecast error, uneven distribution of wind and PV resources</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revenue, returns and profit</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capital return rate, profits, wind power generation investment recouping, CET revenue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social welfare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Residents' well-being</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subsidy</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subsidy expenditure, subsidy policy, subsidy rate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tax revenue compensation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tax recovery compensation, carbon tax revenue recycling, income tax deductions, carbon tax recycling</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technological innovation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Low-carbon technology research and development and application, competitive advantage of low-carbon power generation technologies, technological progress (TO), induced technologically change (ITC), substitution for technological improvement, technological improvement</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thermal power market share</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 xml:space="preserve">generated electricity of thermal power units, thermal market share, thermal </w:t>
            </w:r>
            <w:r w:rsidRPr="39F728BA">
              <w:rPr>
                <w:rFonts w:eastAsia="Times New Roman"/>
                <w:color w:val="000000" w:themeColor="text1"/>
                <w:sz w:val="21"/>
                <w:szCs w:val="21"/>
              </w:rPr>
              <w:lastRenderedPageBreak/>
              <w:t>power, market share in high-emission thermal power, fossil fuel power, fossil fuel input</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lastRenderedPageBreak/>
              <w:t>tradable green certificates (TGC)</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TGC price</w:t>
            </w:r>
          </w:p>
        </w:tc>
      </w:tr>
      <w:tr w:rsidR="00980ABD" w:rsidTr="00E45840">
        <w:trPr>
          <w:trHeight w:val="285"/>
        </w:trPr>
        <w:tc>
          <w:tcPr>
            <w:tcW w:w="2547" w:type="dxa"/>
            <w:tcMar>
              <w:left w:w="108" w:type="dxa"/>
              <w:right w:w="108" w:type="dxa"/>
            </w:tcMar>
          </w:tcPr>
          <w:p w:rsidR="00980ABD" w:rsidRDefault="00980ABD" w:rsidP="0025561C">
            <w:r w:rsidRPr="39F728BA">
              <w:rPr>
                <w:rFonts w:eastAsia="Times New Roman"/>
                <w:color w:val="000000" w:themeColor="text1"/>
                <w:sz w:val="21"/>
                <w:szCs w:val="21"/>
              </w:rPr>
              <w:t>transportation consumption</w:t>
            </w:r>
          </w:p>
        </w:tc>
        <w:tc>
          <w:tcPr>
            <w:tcW w:w="6468" w:type="dxa"/>
            <w:tcMar>
              <w:left w:w="108" w:type="dxa"/>
              <w:right w:w="108" w:type="dxa"/>
            </w:tcMar>
          </w:tcPr>
          <w:p w:rsidR="00980ABD" w:rsidRDefault="00980ABD" w:rsidP="0025561C">
            <w:r w:rsidRPr="39F728BA">
              <w:rPr>
                <w:rFonts w:eastAsia="Times New Roman"/>
                <w:color w:val="000000" w:themeColor="text1"/>
                <w:sz w:val="21"/>
                <w:szCs w:val="21"/>
              </w:rPr>
              <w:t>price of transportation</w:t>
            </w:r>
          </w:p>
        </w:tc>
      </w:tr>
    </w:tbl>
    <w:p w:rsidR="00980ABD" w:rsidRDefault="00980ABD" w:rsidP="00E45840"/>
    <w:sectPr w:rsidR="00980ABD" w:rsidSect="003B3F69">
      <w:footerReference w:type="default" r:id="rId9"/>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124" w:rsidRDefault="00ED5124" w:rsidP="00980ABD">
      <w:pPr>
        <w:spacing w:line="240" w:lineRule="auto"/>
      </w:pPr>
      <w:r>
        <w:separator/>
      </w:r>
    </w:p>
  </w:endnote>
  <w:endnote w:type="continuationSeparator" w:id="0">
    <w:p w:rsidR="00ED5124" w:rsidRDefault="00ED5124" w:rsidP="00980A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646645"/>
      <w:docPartObj>
        <w:docPartGallery w:val="Page Numbers (Bottom of Page)"/>
        <w:docPartUnique/>
      </w:docPartObj>
    </w:sdtPr>
    <w:sdtEndPr>
      <w:rPr>
        <w:rFonts w:ascii="Times New Roman" w:hAnsi="Times New Roman" w:cs="Times New Roman"/>
      </w:rPr>
    </w:sdtEndPr>
    <w:sdtContent>
      <w:p w:rsidR="00BD0983" w:rsidRPr="00BD0983" w:rsidRDefault="00BD0983" w:rsidP="00BD0983">
        <w:pPr>
          <w:pStyle w:val="a5"/>
          <w:jc w:val="center"/>
          <w:rPr>
            <w:rFonts w:ascii="Times New Roman" w:hAnsi="Times New Roman" w:cs="Times New Roman"/>
          </w:rPr>
        </w:pPr>
        <w:r w:rsidRPr="00BD0983">
          <w:rPr>
            <w:rFonts w:ascii="Times New Roman" w:hAnsi="Times New Roman" w:cs="Times New Roman"/>
          </w:rPr>
          <w:fldChar w:fldCharType="begin"/>
        </w:r>
        <w:r w:rsidRPr="00BD0983">
          <w:rPr>
            <w:rFonts w:ascii="Times New Roman" w:hAnsi="Times New Roman" w:cs="Times New Roman"/>
          </w:rPr>
          <w:instrText>PAGE   \* MERGEFORMAT</w:instrText>
        </w:r>
        <w:r w:rsidRPr="00BD0983">
          <w:rPr>
            <w:rFonts w:ascii="Times New Roman" w:hAnsi="Times New Roman" w:cs="Times New Roman"/>
          </w:rPr>
          <w:fldChar w:fldCharType="separate"/>
        </w:r>
        <w:r w:rsidR="00BA28BA" w:rsidRPr="00BA28BA">
          <w:rPr>
            <w:rFonts w:ascii="Times New Roman" w:hAnsi="Times New Roman" w:cs="Times New Roman"/>
            <w:noProof/>
            <w:lang w:val="zh-CN"/>
          </w:rPr>
          <w:t>8</w:t>
        </w:r>
        <w:r w:rsidRPr="00BD098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124" w:rsidRDefault="00ED5124" w:rsidP="00980ABD">
      <w:pPr>
        <w:spacing w:line="240" w:lineRule="auto"/>
      </w:pPr>
      <w:r>
        <w:separator/>
      </w:r>
    </w:p>
  </w:footnote>
  <w:footnote w:type="continuationSeparator" w:id="0">
    <w:p w:rsidR="00ED5124" w:rsidRDefault="00ED5124" w:rsidP="00980AB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20A"/>
    <w:rsid w:val="002A720A"/>
    <w:rsid w:val="007E3F14"/>
    <w:rsid w:val="00851143"/>
    <w:rsid w:val="00980ABD"/>
    <w:rsid w:val="00A83A00"/>
    <w:rsid w:val="00BA28BA"/>
    <w:rsid w:val="00BD0983"/>
    <w:rsid w:val="00E45840"/>
    <w:rsid w:val="00ED5124"/>
    <w:rsid w:val="00FB5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03E2D"/>
  <w15:chartTrackingRefBased/>
  <w15:docId w15:val="{AD9CAB58-4AC5-4918-A286-94FC4603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ABD"/>
    <w:pPr>
      <w:widowControl w:val="0"/>
      <w:spacing w:line="360" w:lineRule="auto"/>
      <w:jc w:val="both"/>
    </w:pPr>
    <w:rPr>
      <w:rFonts w:ascii="Times New Roman" w:hAnsi="Times New Roman" w:cs="Times New Roman"/>
      <w:sz w:val="22"/>
    </w:rPr>
  </w:style>
  <w:style w:type="paragraph" w:styleId="1">
    <w:name w:val="heading 1"/>
    <w:basedOn w:val="a"/>
    <w:next w:val="a"/>
    <w:link w:val="10"/>
    <w:uiPriority w:val="9"/>
    <w:qFormat/>
    <w:rsid w:val="00980ABD"/>
    <w:pPr>
      <w:keepNext/>
      <w:keepLines/>
      <w:spacing w:before="340" w:after="330"/>
      <w:outlineLvl w:val="0"/>
    </w:pPr>
    <w:rPr>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0ABD"/>
    <w:pPr>
      <w:pBdr>
        <w:bottom w:val="single" w:sz="6" w:space="1" w:color="auto"/>
      </w:pBdr>
      <w:tabs>
        <w:tab w:val="center" w:pos="4153"/>
        <w:tab w:val="right" w:pos="8306"/>
      </w:tabs>
      <w:snapToGrid w:val="0"/>
      <w:spacing w:line="240" w:lineRule="auto"/>
      <w:jc w:val="center"/>
    </w:pPr>
    <w:rPr>
      <w:rFonts w:asciiTheme="minorHAnsi" w:hAnsiTheme="minorHAnsi" w:cstheme="minorBidi"/>
      <w:sz w:val="18"/>
      <w:szCs w:val="18"/>
    </w:rPr>
  </w:style>
  <w:style w:type="character" w:customStyle="1" w:styleId="a4">
    <w:name w:val="页眉 字符"/>
    <w:basedOn w:val="a0"/>
    <w:link w:val="a3"/>
    <w:uiPriority w:val="99"/>
    <w:rsid w:val="00980ABD"/>
    <w:rPr>
      <w:sz w:val="18"/>
      <w:szCs w:val="18"/>
    </w:rPr>
  </w:style>
  <w:style w:type="paragraph" w:styleId="a5">
    <w:name w:val="footer"/>
    <w:basedOn w:val="a"/>
    <w:link w:val="a6"/>
    <w:uiPriority w:val="99"/>
    <w:unhideWhenUsed/>
    <w:rsid w:val="00980ABD"/>
    <w:pPr>
      <w:tabs>
        <w:tab w:val="center" w:pos="4153"/>
        <w:tab w:val="right" w:pos="8306"/>
      </w:tabs>
      <w:snapToGrid w:val="0"/>
      <w:spacing w:line="240" w:lineRule="auto"/>
      <w:jc w:val="left"/>
    </w:pPr>
    <w:rPr>
      <w:rFonts w:asciiTheme="minorHAnsi" w:hAnsiTheme="minorHAnsi" w:cstheme="minorBidi"/>
      <w:sz w:val="18"/>
      <w:szCs w:val="18"/>
    </w:rPr>
  </w:style>
  <w:style w:type="character" w:customStyle="1" w:styleId="a6">
    <w:name w:val="页脚 字符"/>
    <w:basedOn w:val="a0"/>
    <w:link w:val="a5"/>
    <w:uiPriority w:val="99"/>
    <w:rsid w:val="00980ABD"/>
    <w:rPr>
      <w:sz w:val="18"/>
      <w:szCs w:val="18"/>
    </w:rPr>
  </w:style>
  <w:style w:type="character" w:customStyle="1" w:styleId="10">
    <w:name w:val="标题 1 字符"/>
    <w:basedOn w:val="a0"/>
    <w:link w:val="1"/>
    <w:uiPriority w:val="9"/>
    <w:rsid w:val="00980ABD"/>
    <w:rPr>
      <w:rFonts w:ascii="Times New Roman" w:hAnsi="Times New Roman" w:cs="Times New Roman"/>
      <w:b/>
      <w:bCs/>
      <w:sz w:val="44"/>
      <w:szCs w:val="44"/>
    </w:rPr>
  </w:style>
  <w:style w:type="table" w:styleId="a7">
    <w:name w:val="Table Grid"/>
    <w:basedOn w:val="a1"/>
    <w:uiPriority w:val="59"/>
    <w:rsid w:val="00980AB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TDisplayEquation">
    <w:name w:val="MTDisplayEquation"/>
    <w:basedOn w:val="a"/>
    <w:next w:val="a"/>
    <w:link w:val="MTDisplayEquation0"/>
    <w:rsid w:val="00980ABD"/>
    <w:pPr>
      <w:tabs>
        <w:tab w:val="center" w:pos="4520"/>
        <w:tab w:val="right" w:pos="9020"/>
      </w:tabs>
      <w:spacing w:line="240" w:lineRule="auto"/>
    </w:pPr>
    <w:rPr>
      <w:rFonts w:asciiTheme="minorHAnsi" w:hAnsiTheme="minorHAnsi" w:cstheme="minorBidi"/>
      <w:sz w:val="21"/>
    </w:rPr>
  </w:style>
  <w:style w:type="character" w:customStyle="1" w:styleId="MTDisplayEquation0">
    <w:name w:val="MTDisplayEquation 字符"/>
    <w:basedOn w:val="a0"/>
    <w:link w:val="MTDisplayEquation"/>
    <w:rsid w:val="00980ABD"/>
  </w:style>
  <w:style w:type="character" w:styleId="a8">
    <w:name w:val="Hyperlink"/>
    <w:basedOn w:val="a0"/>
    <w:uiPriority w:val="99"/>
    <w:unhideWhenUsed/>
    <w:rsid w:val="007E3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550/arXiv.2407.19638" TargetMode="External"/><Relationship Id="rId3" Type="http://schemas.openxmlformats.org/officeDocument/2006/relationships/webSettings" Target="webSettings.xml"/><Relationship Id="rId7" Type="http://schemas.openxmlformats.org/officeDocument/2006/relationships/package" Target="embeddings/Microsoft_Visio___.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1956</Words>
  <Characters>11150</Characters>
  <Application>Microsoft Office Word</Application>
  <DocSecurity>0</DocSecurity>
  <Lines>92</Lines>
  <Paragraphs>26</Paragraphs>
  <ScaleCrop>false</ScaleCrop>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付媛</dc:creator>
  <cp:keywords/>
  <dc:description/>
  <cp:lastModifiedBy>付媛</cp:lastModifiedBy>
  <cp:revision>6</cp:revision>
  <dcterms:created xsi:type="dcterms:W3CDTF">2025-04-10T12:46:00Z</dcterms:created>
  <dcterms:modified xsi:type="dcterms:W3CDTF">2025-04-28T11:08:00Z</dcterms:modified>
</cp:coreProperties>
</file>