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99742" w14:textId="67CCCD22" w:rsidR="0039108E" w:rsidRDefault="0039108E" w:rsidP="009761C2">
      <w:pPr>
        <w:spacing w:before="100" w:beforeAutospacing="1" w:after="100" w:afterAutospacing="1"/>
        <w:jc w:val="both"/>
        <w:outlineLvl w:val="2"/>
        <w:rPr>
          <w:rFonts w:ascii="Arial" w:eastAsia="Times New Roman" w:hAnsi="Arial" w:cs="Arial"/>
          <w:b/>
          <w:bCs/>
          <w:sz w:val="32"/>
          <w:szCs w:val="24"/>
          <w:lang w:eastAsia="de-DE"/>
        </w:rPr>
      </w:pPr>
      <w:r>
        <w:rPr>
          <w:rFonts w:ascii="Arial" w:eastAsia="Times New Roman" w:hAnsi="Arial" w:cs="Arial"/>
          <w:b/>
          <w:bCs/>
          <w:sz w:val="32"/>
          <w:szCs w:val="24"/>
          <w:lang w:eastAsia="de-DE"/>
        </w:rPr>
        <w:t>Supplementary Material</w:t>
      </w:r>
    </w:p>
    <w:p w14:paraId="5298ECC3" w14:textId="0C5492D2" w:rsidR="009761C2" w:rsidRPr="006F2C9C" w:rsidRDefault="009761C2" w:rsidP="009761C2">
      <w:pPr>
        <w:spacing w:before="100" w:beforeAutospacing="1" w:after="100" w:afterAutospacing="1"/>
        <w:jc w:val="both"/>
        <w:outlineLvl w:val="2"/>
        <w:rPr>
          <w:rFonts w:ascii="Arial" w:eastAsia="Times New Roman" w:hAnsi="Arial" w:cs="Arial"/>
          <w:b/>
          <w:bCs/>
          <w:szCs w:val="24"/>
          <w:lang w:eastAsia="de-DE"/>
        </w:rPr>
      </w:pPr>
      <w:r w:rsidRPr="006F2C9C">
        <w:rPr>
          <w:rFonts w:ascii="Arial" w:eastAsia="Times New Roman" w:hAnsi="Arial" w:cs="Arial"/>
          <w:b/>
          <w:bCs/>
          <w:szCs w:val="24"/>
          <w:lang w:eastAsia="de-DE"/>
        </w:rPr>
        <w:t xml:space="preserve">A: </w:t>
      </w:r>
    </w:p>
    <w:p w14:paraId="4FBFD9EB" w14:textId="335F86E4" w:rsidR="009761C2" w:rsidRPr="009761C2" w:rsidRDefault="009761C2" w:rsidP="009761C2">
      <w:p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This </w:t>
      </w:r>
      <w:r w:rsidR="00B322F9">
        <w:rPr>
          <w:rFonts w:ascii="Arial" w:eastAsia="Times New Roman" w:hAnsi="Arial" w:cs="Arial"/>
          <w:szCs w:val="24"/>
          <w:lang w:eastAsia="de-DE"/>
        </w:rPr>
        <w:t>part</w:t>
      </w:r>
      <w:r w:rsidRPr="009761C2">
        <w:rPr>
          <w:rFonts w:ascii="Arial" w:eastAsia="Times New Roman" w:hAnsi="Arial" w:cs="Arial"/>
          <w:szCs w:val="24"/>
          <w:lang w:eastAsia="de-DE"/>
        </w:rPr>
        <w:t xml:space="preserve"> provides a step-by-step overview of the workflow used to process motion and ground reaction force data and perform musculoskeletal simulations.</w:t>
      </w:r>
    </w:p>
    <w:p w14:paraId="0E17E77D" w14:textId="4AD79B08" w:rsidR="009761C2" w:rsidRPr="009761C2" w:rsidRDefault="009761C2" w:rsidP="006F2C9C">
      <w:pPr>
        <w:spacing w:before="100" w:beforeAutospacing="1" w:after="100" w:afterAutospacing="1"/>
        <w:contextualSpacing/>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A1. Data Acquisition and Synchronization</w:t>
      </w:r>
    </w:p>
    <w:p w14:paraId="46185517" w14:textId="1E69F2BA" w:rsidR="009761C2" w:rsidRPr="009761C2" w:rsidRDefault="009761C2" w:rsidP="006F2C9C">
      <w:pPr>
        <w:numPr>
          <w:ilvl w:val="0"/>
          <w:numId w:val="1"/>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bCs/>
          <w:szCs w:val="24"/>
          <w:lang w:eastAsia="de-DE"/>
        </w:rPr>
        <w:t>Motion Capture</w:t>
      </w:r>
      <w:r w:rsidRPr="009761C2">
        <w:rPr>
          <w:rFonts w:ascii="Arial" w:eastAsia="Times New Roman" w:hAnsi="Arial" w:cs="Arial"/>
          <w:szCs w:val="24"/>
          <w:lang w:eastAsia="de-DE"/>
        </w:rPr>
        <w:t xml:space="preserve">: Full-body kinematics were recorded at 240 Hz using the </w:t>
      </w:r>
      <w:proofErr w:type="spellStart"/>
      <w:r w:rsidRPr="009761C2">
        <w:rPr>
          <w:rFonts w:ascii="Arial" w:eastAsia="Times New Roman" w:hAnsi="Arial" w:cs="Arial"/>
          <w:bCs/>
          <w:szCs w:val="24"/>
          <w:lang w:eastAsia="de-DE"/>
        </w:rPr>
        <w:t>Xsens</w:t>
      </w:r>
      <w:proofErr w:type="spellEnd"/>
      <w:r w:rsidRPr="009761C2">
        <w:rPr>
          <w:rFonts w:ascii="Arial" w:eastAsia="Times New Roman" w:hAnsi="Arial" w:cs="Arial"/>
          <w:bCs/>
          <w:szCs w:val="24"/>
          <w:lang w:eastAsia="de-DE"/>
        </w:rPr>
        <w:t>™ Link system (Figure 6),</w:t>
      </w:r>
      <w:r w:rsidRPr="009761C2">
        <w:rPr>
          <w:rFonts w:ascii="Arial" w:eastAsia="Times New Roman" w:hAnsi="Arial" w:cs="Arial"/>
          <w:szCs w:val="24"/>
          <w:lang w:eastAsia="de-DE"/>
        </w:rPr>
        <w:t xml:space="preserve"> which features </w:t>
      </w:r>
      <w:r w:rsidRPr="009761C2">
        <w:rPr>
          <w:rFonts w:ascii="Arial" w:eastAsia="Times New Roman" w:hAnsi="Arial" w:cs="Arial"/>
          <w:bCs/>
          <w:szCs w:val="24"/>
          <w:lang w:eastAsia="de-DE"/>
        </w:rPr>
        <w:t>17 inertial measurement units (IMUs)</w:t>
      </w:r>
      <w:r w:rsidRPr="009761C2">
        <w:rPr>
          <w:rFonts w:ascii="Arial" w:eastAsia="Times New Roman" w:hAnsi="Arial" w:cs="Arial"/>
          <w:szCs w:val="24"/>
          <w:lang w:eastAsia="de-DE"/>
        </w:rPr>
        <w:t xml:space="preserve"> placed according to the manufacturer’s guidelines. </w:t>
      </w:r>
    </w:p>
    <w:p w14:paraId="2E85336A" w14:textId="29AA9E9B" w:rsidR="009761C2" w:rsidRPr="009761C2" w:rsidRDefault="009761C2" w:rsidP="006F2C9C">
      <w:pPr>
        <w:numPr>
          <w:ilvl w:val="0"/>
          <w:numId w:val="1"/>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szCs w:val="24"/>
          <w:lang w:eastAsia="de-DE"/>
        </w:rPr>
        <w:t xml:space="preserve">Sensors placement: </w:t>
      </w:r>
      <w:r w:rsidRPr="009761C2">
        <w:rPr>
          <w:rFonts w:ascii="Arial" w:eastAsia="Times New Roman" w:hAnsi="Arial" w:cs="Arial"/>
          <w:bCs/>
          <w:szCs w:val="24"/>
          <w:lang w:eastAsia="de-DE"/>
        </w:rPr>
        <w:t>bilateral thighs, shanks, feet, shoulders, hands, and lower and upper arms. Additionally, on the pelvis, trunk, and head.</w:t>
      </w:r>
    </w:p>
    <w:p w14:paraId="47123E1A" w14:textId="77777777" w:rsidR="009761C2" w:rsidRPr="009761C2" w:rsidRDefault="009761C2" w:rsidP="006F2C9C">
      <w:pPr>
        <w:numPr>
          <w:ilvl w:val="0"/>
          <w:numId w:val="1"/>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szCs w:val="24"/>
          <w:lang w:eastAsia="de-DE"/>
        </w:rPr>
        <w:t>These miniature inertial measurement units contain</w:t>
      </w:r>
    </w:p>
    <w:p w14:paraId="21E5480F" w14:textId="060C47EC" w:rsidR="009761C2" w:rsidRPr="009761C2" w:rsidRDefault="009761C2" w:rsidP="006F2C9C">
      <w:pPr>
        <w:numPr>
          <w:ilvl w:val="2"/>
          <w:numId w:val="1"/>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szCs w:val="24"/>
          <w:lang w:eastAsia="de-DE"/>
        </w:rPr>
        <w:t>a 3D magnetometer to measure the 3D geomagnetic field,</w:t>
      </w:r>
    </w:p>
    <w:p w14:paraId="740A2E67" w14:textId="550BCEF7" w:rsidR="009761C2" w:rsidRPr="009761C2" w:rsidRDefault="009761C2" w:rsidP="006F2C9C">
      <w:pPr>
        <w:numPr>
          <w:ilvl w:val="2"/>
          <w:numId w:val="1"/>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szCs w:val="24"/>
          <w:lang w:eastAsia="de-DE"/>
        </w:rPr>
        <w:t>a 3D velocity gyroscope to measure the 3D angular velocity,</w:t>
      </w:r>
    </w:p>
    <w:p w14:paraId="45A32625" w14:textId="0E5F50FB" w:rsidR="009761C2" w:rsidRPr="009761C2" w:rsidRDefault="009761C2" w:rsidP="006F2C9C">
      <w:pPr>
        <w:numPr>
          <w:ilvl w:val="2"/>
          <w:numId w:val="1"/>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szCs w:val="24"/>
          <w:lang w:eastAsia="de-DE"/>
        </w:rPr>
        <w:t>a linear accelerometer to measure the 3D acceleration and</w:t>
      </w:r>
    </w:p>
    <w:p w14:paraId="36FDC047" w14:textId="2CF93401" w:rsidR="00C64861" w:rsidRPr="006F2C9C" w:rsidRDefault="00C64861" w:rsidP="00C64861">
      <w:pPr>
        <w:numPr>
          <w:ilvl w:val="2"/>
          <w:numId w:val="1"/>
        </w:numPr>
        <w:spacing w:before="100" w:beforeAutospacing="1" w:after="100" w:afterAutospacing="1"/>
        <w:contextualSpacing/>
        <w:jc w:val="both"/>
        <w:rPr>
          <w:rFonts w:ascii="Arial" w:eastAsia="Times New Roman" w:hAnsi="Arial" w:cs="Arial"/>
          <w:szCs w:val="24"/>
          <w:lang w:eastAsia="de-DE"/>
        </w:rPr>
      </w:pPr>
      <w:r>
        <w:rPr>
          <w:rFonts w:ascii="Arial" w:eastAsia="Times New Roman" w:hAnsi="Arial" w:cs="Arial"/>
          <w:noProof/>
          <w:szCs w:val="24"/>
          <w:lang w:eastAsia="de-DE"/>
        </w:rPr>
        <w:drawing>
          <wp:anchor distT="0" distB="0" distL="114300" distR="114300" simplePos="0" relativeHeight="251661312" behindDoc="1" locked="0" layoutInCell="1" allowOverlap="1" wp14:anchorId="0E6FCCD8" wp14:editId="5D6FDC28">
            <wp:simplePos x="0" y="0"/>
            <wp:positionH relativeFrom="margin">
              <wp:align>center</wp:align>
            </wp:positionH>
            <wp:positionV relativeFrom="paragraph">
              <wp:posOffset>240030</wp:posOffset>
            </wp:positionV>
            <wp:extent cx="4968240" cy="4968240"/>
            <wp:effectExtent l="0" t="0" r="381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8240" cy="496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1C2" w:rsidRPr="009761C2">
        <w:rPr>
          <w:rFonts w:ascii="Arial" w:eastAsia="Times New Roman" w:hAnsi="Arial" w:cs="Arial"/>
          <w:szCs w:val="24"/>
          <w:lang w:eastAsia="de-DE"/>
        </w:rPr>
        <w:t>a barometer, to measure the atmospheric pressure</w:t>
      </w:r>
    </w:p>
    <w:p w14:paraId="117134E9" w14:textId="7E14D4DA" w:rsidR="009761C2" w:rsidRPr="009F27FC" w:rsidRDefault="009761C2" w:rsidP="009F27FC">
      <w:pPr>
        <w:jc w:val="center"/>
        <w:rPr>
          <w:rFonts w:ascii="Arial" w:eastAsia="Calibri" w:hAnsi="Arial" w:cs="Arial"/>
          <w:bCs/>
          <w:i/>
          <w:noProof/>
          <w:szCs w:val="24"/>
        </w:rPr>
      </w:pPr>
      <w:r w:rsidRPr="009761C2">
        <w:rPr>
          <w:rFonts w:ascii="Arial" w:eastAsia="Calibri" w:hAnsi="Arial" w:cs="Arial"/>
          <w:bCs/>
          <w:szCs w:val="24"/>
        </w:rPr>
        <w:t xml:space="preserve">Figure </w:t>
      </w:r>
      <w:r w:rsidR="00ED28B9">
        <w:rPr>
          <w:rFonts w:ascii="Arial" w:eastAsia="Calibri" w:hAnsi="Arial" w:cs="Arial"/>
          <w:bCs/>
          <w:szCs w:val="24"/>
        </w:rPr>
        <w:t>S1</w:t>
      </w:r>
      <w:r w:rsidRPr="009761C2">
        <w:rPr>
          <w:rFonts w:ascii="Arial" w:eastAsia="Calibri" w:hAnsi="Arial" w:cs="Arial"/>
          <w:bCs/>
          <w:szCs w:val="24"/>
        </w:rPr>
        <w:t xml:space="preserve">: </w:t>
      </w:r>
      <w:proofErr w:type="spellStart"/>
      <w:r w:rsidRPr="009761C2">
        <w:rPr>
          <w:rFonts w:ascii="Arial" w:eastAsia="Calibri" w:hAnsi="Arial" w:cs="Arial"/>
          <w:bCs/>
          <w:szCs w:val="24"/>
        </w:rPr>
        <w:t>Xsens</w:t>
      </w:r>
      <w:r w:rsidRPr="009761C2">
        <w:rPr>
          <w:rFonts w:ascii="Arial" w:eastAsia="Calibri" w:hAnsi="Arial" w:cs="Arial"/>
          <w:bCs/>
          <w:szCs w:val="24"/>
          <w:vertAlign w:val="superscript"/>
        </w:rPr>
        <w:t>TM</w:t>
      </w:r>
      <w:proofErr w:type="spellEnd"/>
      <w:r w:rsidRPr="009761C2">
        <w:rPr>
          <w:rFonts w:ascii="Arial" w:eastAsia="Calibri" w:hAnsi="Arial" w:cs="Arial"/>
          <w:bCs/>
          <w:szCs w:val="24"/>
        </w:rPr>
        <w:t xml:space="preserve"> Link system (A), setup for the Timed Up and Go Test (C), and exact</w:t>
      </w:r>
      <w:r w:rsidRPr="009761C2">
        <w:rPr>
          <w:rFonts w:ascii="Arial" w:eastAsia="Calibri" w:hAnsi="Arial" w:cs="Arial"/>
          <w:bCs/>
          <w:noProof/>
          <w:szCs w:val="24"/>
        </w:rPr>
        <w:t xml:space="preserve"> measurement of a 3-meter walking distance.</w:t>
      </w:r>
    </w:p>
    <w:p w14:paraId="3F07827F" w14:textId="77777777" w:rsidR="009761C2" w:rsidRPr="009761C2" w:rsidRDefault="009761C2" w:rsidP="009761C2">
      <w:pPr>
        <w:numPr>
          <w:ilvl w:val="0"/>
          <w:numId w:val="1"/>
        </w:numPr>
        <w:spacing w:before="100" w:beforeAutospacing="1" w:after="100" w:afterAutospacing="1"/>
        <w:jc w:val="both"/>
        <w:rPr>
          <w:rFonts w:ascii="Arial" w:eastAsia="Times New Roman" w:hAnsi="Arial" w:cs="Arial"/>
          <w:szCs w:val="24"/>
          <w:lang w:eastAsia="de-DE"/>
        </w:rPr>
      </w:pPr>
      <w:r w:rsidRPr="009761C2">
        <w:rPr>
          <w:rFonts w:ascii="Arial" w:eastAsia="Calibri" w:hAnsi="Arial" w:cs="Arial"/>
          <w:szCs w:val="24"/>
        </w:rPr>
        <w:lastRenderedPageBreak/>
        <w:t xml:space="preserve">Calibration of </w:t>
      </w:r>
      <w:proofErr w:type="spellStart"/>
      <w:r w:rsidRPr="009761C2">
        <w:rPr>
          <w:rFonts w:ascii="Arial" w:eastAsia="Calibri" w:hAnsi="Arial" w:cs="Arial"/>
          <w:szCs w:val="24"/>
        </w:rPr>
        <w:t>Xsens</w:t>
      </w:r>
      <w:proofErr w:type="spellEnd"/>
      <w:r w:rsidRPr="009761C2">
        <w:rPr>
          <w:rFonts w:ascii="Arial" w:eastAsia="Calibri" w:hAnsi="Arial" w:cs="Arial"/>
          <w:b/>
          <w:bCs/>
          <w:szCs w:val="24"/>
        </w:rPr>
        <w:t>™</w:t>
      </w:r>
      <w:r w:rsidRPr="009761C2">
        <w:rPr>
          <w:rFonts w:ascii="Arial" w:eastAsia="Calibri" w:hAnsi="Arial" w:cs="Arial"/>
          <w:szCs w:val="24"/>
        </w:rPr>
        <w:t xml:space="preserve">: utilizing Magnetic Field Mapping (MFM) and static upright pose calibration to ensure accurate </w:t>
      </w:r>
      <w:r w:rsidRPr="009761C2">
        <w:rPr>
          <w:rFonts w:ascii="Arial" w:eastAsia="Calibri" w:hAnsi="Arial" w:cs="Arial"/>
          <w:bCs/>
          <w:szCs w:val="24"/>
        </w:rPr>
        <w:t>segment orientation and drift correction</w:t>
      </w:r>
      <w:r w:rsidRPr="009761C2">
        <w:rPr>
          <w:rFonts w:ascii="Arial" w:eastAsia="Calibri" w:hAnsi="Arial" w:cs="Arial"/>
          <w:b/>
          <w:szCs w:val="24"/>
        </w:rPr>
        <w:t xml:space="preserve">. </w:t>
      </w:r>
      <w:proofErr w:type="spellStart"/>
      <w:r w:rsidRPr="009761C2">
        <w:rPr>
          <w:rFonts w:ascii="Arial" w:eastAsia="Calibri" w:hAnsi="Arial" w:cs="Arial"/>
          <w:bCs/>
          <w:szCs w:val="24"/>
        </w:rPr>
        <w:t>Xsens</w:t>
      </w:r>
      <w:proofErr w:type="spellEnd"/>
      <w:r w:rsidRPr="009761C2">
        <w:rPr>
          <w:rFonts w:ascii="Arial" w:eastAsia="Calibri" w:hAnsi="Arial" w:cs="Arial"/>
          <w:bCs/>
          <w:szCs w:val="24"/>
        </w:rPr>
        <w:t>™ system</w:t>
      </w:r>
      <w:r w:rsidRPr="009761C2">
        <w:rPr>
          <w:rFonts w:ascii="Arial" w:eastAsia="Calibri" w:hAnsi="Arial" w:cs="Arial"/>
          <w:b/>
          <w:szCs w:val="24"/>
        </w:rPr>
        <w:t xml:space="preserve"> </w:t>
      </w:r>
      <w:r w:rsidRPr="009761C2">
        <w:rPr>
          <w:rFonts w:ascii="Arial" w:eastAsia="Calibri" w:hAnsi="Arial" w:cs="Arial"/>
          <w:szCs w:val="24"/>
        </w:rPr>
        <w:t>utilizes</w:t>
      </w:r>
      <w:r w:rsidRPr="009761C2">
        <w:rPr>
          <w:rFonts w:ascii="Arial" w:eastAsia="Calibri" w:hAnsi="Arial" w:cs="Arial"/>
          <w:b/>
          <w:szCs w:val="24"/>
        </w:rPr>
        <w:t xml:space="preserve"> </w:t>
      </w:r>
      <w:r w:rsidRPr="009761C2">
        <w:rPr>
          <w:rFonts w:ascii="Arial" w:eastAsia="Calibri" w:hAnsi="Arial" w:cs="Arial"/>
          <w:bCs/>
          <w:szCs w:val="24"/>
        </w:rPr>
        <w:t>6-DOF (Degrees of Freedom) models</w:t>
      </w:r>
      <w:r w:rsidRPr="009761C2">
        <w:rPr>
          <w:rFonts w:ascii="Arial" w:eastAsia="Calibri" w:hAnsi="Arial" w:cs="Arial"/>
          <w:b/>
          <w:szCs w:val="24"/>
        </w:rPr>
        <w:t>.</w:t>
      </w:r>
      <w:r w:rsidRPr="009761C2">
        <w:rPr>
          <w:rFonts w:ascii="Arial" w:eastAsia="Calibri" w:hAnsi="Arial" w:cs="Arial"/>
          <w:szCs w:val="24"/>
        </w:rPr>
        <w:t xml:space="preserve"> </w:t>
      </w:r>
    </w:p>
    <w:p w14:paraId="1E26104A" w14:textId="77777777" w:rsidR="009761C2" w:rsidRPr="009761C2" w:rsidRDefault="009761C2" w:rsidP="009761C2">
      <w:pPr>
        <w:numPr>
          <w:ilvl w:val="0"/>
          <w:numId w:val="1"/>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Ground Reaction Forces (GRFs)</w:t>
      </w:r>
      <w:r w:rsidRPr="009761C2">
        <w:rPr>
          <w:rFonts w:ascii="Arial" w:eastAsia="Times New Roman" w:hAnsi="Arial" w:cs="Arial"/>
          <w:szCs w:val="24"/>
          <w:lang w:eastAsia="de-DE"/>
        </w:rPr>
        <w:t xml:space="preserve">: </w:t>
      </w:r>
    </w:p>
    <w:p w14:paraId="354BABAB" w14:textId="77777777" w:rsidR="009761C2" w:rsidRPr="009761C2" w:rsidRDefault="009761C2" w:rsidP="009761C2">
      <w:pPr>
        <w:numPr>
          <w:ilvl w:val="1"/>
          <w:numId w:val="1"/>
        </w:numPr>
        <w:spacing w:before="100" w:beforeAutospacing="1" w:after="100" w:afterAutospacing="1"/>
        <w:jc w:val="both"/>
        <w:rPr>
          <w:rFonts w:ascii="Arial" w:eastAsia="Times New Roman" w:hAnsi="Arial" w:cs="Arial"/>
          <w:szCs w:val="24"/>
          <w:lang w:eastAsia="de-DE"/>
        </w:rPr>
      </w:pPr>
      <w:proofErr w:type="spellStart"/>
      <w:r w:rsidRPr="009761C2">
        <w:rPr>
          <w:rFonts w:ascii="Arial" w:eastAsia="Times New Roman" w:hAnsi="Arial" w:cs="Arial"/>
          <w:bCs/>
          <w:szCs w:val="24"/>
          <w:lang w:eastAsia="de-DE"/>
        </w:rPr>
        <w:t>Moticon</w:t>
      </w:r>
      <w:proofErr w:type="spellEnd"/>
      <w:r w:rsidRPr="009761C2">
        <w:rPr>
          <w:rFonts w:ascii="Arial" w:eastAsia="Times New Roman" w:hAnsi="Arial" w:cs="Arial"/>
          <w:bCs/>
          <w:szCs w:val="24"/>
          <w:lang w:eastAsia="de-DE"/>
        </w:rPr>
        <w:t>™ insoles (Figure 7)</w:t>
      </w:r>
      <w:r w:rsidRPr="009761C2">
        <w:rPr>
          <w:rFonts w:ascii="Arial" w:eastAsia="Times New Roman" w:hAnsi="Arial" w:cs="Arial"/>
          <w:szCs w:val="24"/>
          <w:lang w:eastAsia="de-DE"/>
        </w:rPr>
        <w:t xml:space="preserve"> recorded GRFs and plantar pressure distribution at a sampling rate of </w:t>
      </w:r>
      <w:r w:rsidRPr="009761C2">
        <w:rPr>
          <w:rFonts w:ascii="Arial" w:eastAsia="Times New Roman" w:hAnsi="Arial" w:cs="Arial"/>
          <w:bCs/>
          <w:szCs w:val="24"/>
          <w:lang w:eastAsia="de-DE"/>
        </w:rPr>
        <w:t>100 Hz</w:t>
      </w:r>
      <w:r w:rsidRPr="009761C2">
        <w:rPr>
          <w:rFonts w:ascii="Arial" w:eastAsia="Times New Roman" w:hAnsi="Arial" w:cs="Arial"/>
          <w:szCs w:val="24"/>
          <w:lang w:eastAsia="de-DE"/>
        </w:rPr>
        <w:t>. The insoles consist of 16 pressure sensors, three acceleration sensors, three angular sensors, and one temperature sensor.</w:t>
      </w:r>
    </w:p>
    <w:p w14:paraId="33058F38" w14:textId="77777777" w:rsidR="009761C2" w:rsidRPr="009761C2" w:rsidRDefault="009761C2" w:rsidP="009761C2">
      <w:pPr>
        <w:numPr>
          <w:ilvl w:val="0"/>
          <w:numId w:val="1"/>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 xml:space="preserve">Novel™ </w:t>
      </w:r>
      <w:proofErr w:type="spellStart"/>
      <w:r w:rsidRPr="009761C2">
        <w:rPr>
          <w:rFonts w:ascii="Arial" w:eastAsia="Times New Roman" w:hAnsi="Arial" w:cs="Arial"/>
          <w:bCs/>
          <w:szCs w:val="24"/>
          <w:lang w:eastAsia="de-DE"/>
        </w:rPr>
        <w:t>loadpads</w:t>
      </w:r>
      <w:proofErr w:type="spellEnd"/>
      <w:r w:rsidRPr="009761C2">
        <w:rPr>
          <w:rFonts w:ascii="Arial" w:eastAsia="Times New Roman" w:hAnsi="Arial" w:cs="Arial"/>
          <w:szCs w:val="24"/>
          <w:lang w:eastAsia="de-DE"/>
        </w:rPr>
        <w:t xml:space="preserve"> recorded force distribution at </w:t>
      </w:r>
      <w:r w:rsidRPr="009761C2">
        <w:rPr>
          <w:rFonts w:ascii="Arial" w:eastAsia="Times New Roman" w:hAnsi="Arial" w:cs="Arial"/>
          <w:bCs/>
          <w:szCs w:val="24"/>
          <w:lang w:eastAsia="de-DE"/>
        </w:rPr>
        <w:t>100 Hz</w:t>
      </w:r>
      <w:r w:rsidRPr="009761C2">
        <w:rPr>
          <w:rFonts w:ascii="Arial" w:eastAsia="Times New Roman" w:hAnsi="Arial" w:cs="Arial"/>
          <w:szCs w:val="24"/>
          <w:lang w:eastAsia="de-DE"/>
        </w:rPr>
        <w:t xml:space="preserve"> and were used to validate </w:t>
      </w:r>
      <w:proofErr w:type="spellStart"/>
      <w:r w:rsidRPr="009761C2">
        <w:rPr>
          <w:rFonts w:ascii="Arial" w:eastAsia="Times New Roman" w:hAnsi="Arial" w:cs="Arial"/>
          <w:szCs w:val="24"/>
          <w:lang w:eastAsia="de-DE"/>
        </w:rPr>
        <w:t>Moticon</w:t>
      </w:r>
      <w:proofErr w:type="spellEnd"/>
      <w:r w:rsidRPr="009761C2">
        <w:rPr>
          <w:rFonts w:ascii="Arial" w:eastAsia="Times New Roman" w:hAnsi="Arial" w:cs="Arial"/>
          <w:szCs w:val="24"/>
          <w:lang w:eastAsia="de-DE"/>
        </w:rPr>
        <w:t>™ measurements during both static calibration and dynamic gait trials.</w:t>
      </w:r>
    </w:p>
    <w:p w14:paraId="775437D9" w14:textId="77777777" w:rsidR="009761C2" w:rsidRPr="009761C2" w:rsidRDefault="009761C2" w:rsidP="009761C2">
      <w:pPr>
        <w:numPr>
          <w:ilvl w:val="0"/>
          <w:numId w:val="1"/>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Synchronization</w:t>
      </w:r>
      <w:r w:rsidRPr="009761C2">
        <w:rPr>
          <w:rFonts w:ascii="Arial" w:eastAsia="Times New Roman" w:hAnsi="Arial" w:cs="Arial"/>
          <w:szCs w:val="24"/>
          <w:lang w:eastAsia="de-DE"/>
        </w:rPr>
        <w:t xml:space="preserve">: All devices were synchronized using a </w:t>
      </w:r>
      <w:r w:rsidRPr="009761C2">
        <w:rPr>
          <w:rFonts w:ascii="Arial" w:eastAsia="Times New Roman" w:hAnsi="Arial" w:cs="Arial"/>
          <w:bCs/>
          <w:szCs w:val="24"/>
          <w:lang w:eastAsia="de-DE"/>
        </w:rPr>
        <w:t>hardware trigger</w:t>
      </w:r>
      <w:r w:rsidRPr="009761C2">
        <w:rPr>
          <w:rFonts w:ascii="Arial" w:eastAsia="Times New Roman" w:hAnsi="Arial" w:cs="Arial"/>
          <w:szCs w:val="24"/>
          <w:lang w:eastAsia="de-DE"/>
        </w:rPr>
        <w:t xml:space="preserve">. Post-processing synchronization was verified using </w:t>
      </w:r>
      <w:r w:rsidRPr="009761C2">
        <w:rPr>
          <w:rFonts w:ascii="Arial" w:eastAsia="Times New Roman" w:hAnsi="Arial" w:cs="Arial"/>
          <w:bCs/>
          <w:szCs w:val="24"/>
          <w:lang w:eastAsia="de-DE"/>
        </w:rPr>
        <w:t>gait event detection</w:t>
      </w:r>
      <w:r w:rsidRPr="009761C2">
        <w:rPr>
          <w:rFonts w:ascii="Arial" w:eastAsia="Times New Roman" w:hAnsi="Arial" w:cs="Arial"/>
          <w:szCs w:val="24"/>
          <w:lang w:eastAsia="de-DE"/>
        </w:rPr>
        <w:t xml:space="preserve"> (heel strike, toe-off) and </w:t>
      </w:r>
      <w:r w:rsidRPr="009761C2">
        <w:rPr>
          <w:rFonts w:ascii="Arial" w:eastAsia="Times New Roman" w:hAnsi="Arial" w:cs="Arial"/>
          <w:bCs/>
          <w:szCs w:val="24"/>
          <w:lang w:eastAsia="de-DE"/>
        </w:rPr>
        <w:t>cross-correlation of force curves</w:t>
      </w:r>
      <w:r w:rsidRPr="009761C2">
        <w:rPr>
          <w:rFonts w:ascii="Arial" w:eastAsia="Times New Roman" w:hAnsi="Arial" w:cs="Arial"/>
          <w:szCs w:val="24"/>
          <w:lang w:eastAsia="de-DE"/>
        </w:rPr>
        <w:t xml:space="preserve"> across systems.</w:t>
      </w:r>
    </w:p>
    <w:p w14:paraId="22CAAE1F" w14:textId="587E554B" w:rsidR="009761C2" w:rsidRPr="009F27FC" w:rsidRDefault="009761C2" w:rsidP="009F27FC">
      <w:pPr>
        <w:keepNext/>
        <w:spacing w:before="100" w:beforeAutospacing="1" w:after="100" w:afterAutospacing="1"/>
        <w:jc w:val="center"/>
        <w:rPr>
          <w:rFonts w:eastAsia="Calibri" w:cs="Times New Roman"/>
        </w:rPr>
      </w:pPr>
      <w:r w:rsidRPr="009761C2">
        <w:rPr>
          <w:rFonts w:ascii="Arial" w:eastAsia="Times New Roman" w:hAnsi="Arial" w:cs="Arial"/>
          <w:noProof/>
          <w:szCs w:val="24"/>
          <w:lang w:eastAsia="de-DE"/>
        </w:rPr>
        <w:drawing>
          <wp:anchor distT="0" distB="0" distL="114300" distR="114300" simplePos="0" relativeHeight="251662336" behindDoc="1" locked="0" layoutInCell="1" allowOverlap="1" wp14:anchorId="11F12065" wp14:editId="41AB69AE">
            <wp:simplePos x="0" y="0"/>
            <wp:positionH relativeFrom="margin">
              <wp:align>center</wp:align>
            </wp:positionH>
            <wp:positionV relativeFrom="paragraph">
              <wp:posOffset>-1270</wp:posOffset>
            </wp:positionV>
            <wp:extent cx="5758180" cy="3178810"/>
            <wp:effectExtent l="0" t="0" r="0" b="2540"/>
            <wp:wrapTight wrapText="bothSides">
              <wp:wrapPolygon edited="0">
                <wp:start x="0" y="0"/>
                <wp:lineTo x="0" y="21488"/>
                <wp:lineTo x="21509" y="21488"/>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3178810"/>
                    </a:xfrm>
                    <a:prstGeom prst="rect">
                      <a:avLst/>
                    </a:prstGeom>
                    <a:noFill/>
                    <a:ln>
                      <a:noFill/>
                    </a:ln>
                  </pic:spPr>
                </pic:pic>
              </a:graphicData>
            </a:graphic>
          </wp:anchor>
        </w:drawing>
      </w:r>
      <w:r w:rsidRPr="009761C2">
        <w:rPr>
          <w:rFonts w:ascii="Arial" w:eastAsia="Calibri" w:hAnsi="Arial" w:cs="Arial"/>
          <w:bCs/>
          <w:szCs w:val="24"/>
        </w:rPr>
        <w:t xml:space="preserve">Figure </w:t>
      </w:r>
      <w:r w:rsidR="00ED28B9">
        <w:rPr>
          <w:rFonts w:ascii="Arial" w:eastAsia="Calibri" w:hAnsi="Arial" w:cs="Arial"/>
          <w:bCs/>
          <w:szCs w:val="24"/>
        </w:rPr>
        <w:t>S2</w:t>
      </w:r>
      <w:r w:rsidRPr="009761C2">
        <w:rPr>
          <w:rFonts w:ascii="Arial" w:eastAsia="Calibri" w:hAnsi="Arial" w:cs="Arial"/>
          <w:bCs/>
          <w:szCs w:val="24"/>
        </w:rPr>
        <w:t xml:space="preserve">: </w:t>
      </w:r>
      <w:proofErr w:type="spellStart"/>
      <w:r w:rsidRPr="009761C2">
        <w:rPr>
          <w:rFonts w:ascii="Arial" w:eastAsia="Calibri" w:hAnsi="Arial" w:cs="Arial"/>
          <w:bCs/>
          <w:szCs w:val="24"/>
        </w:rPr>
        <w:t>Moticon</w:t>
      </w:r>
      <w:r w:rsidRPr="009761C2">
        <w:rPr>
          <w:rFonts w:ascii="Arial" w:eastAsia="Calibri" w:hAnsi="Arial" w:cs="Arial"/>
          <w:bCs/>
          <w:szCs w:val="24"/>
          <w:vertAlign w:val="superscript"/>
        </w:rPr>
        <w:t>TM</w:t>
      </w:r>
      <w:proofErr w:type="spellEnd"/>
      <w:r w:rsidRPr="009761C2">
        <w:rPr>
          <w:rFonts w:ascii="Arial" w:eastAsia="Calibri" w:hAnsi="Arial" w:cs="Arial"/>
          <w:bCs/>
          <w:szCs w:val="24"/>
        </w:rPr>
        <w:t xml:space="preserve"> sensor insole (A), Distribution of pressure sensors and position of the coordinate system (B), Live display of pressure distribution while standing (C).</w:t>
      </w:r>
    </w:p>
    <w:p w14:paraId="5486AB82"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A2. Data Processing</w:t>
      </w:r>
    </w:p>
    <w:p w14:paraId="4D6E88AC" w14:textId="77777777" w:rsidR="009761C2" w:rsidRPr="009761C2" w:rsidRDefault="009761C2" w:rsidP="009761C2">
      <w:pPr>
        <w:numPr>
          <w:ilvl w:val="0"/>
          <w:numId w:val="19"/>
        </w:numPr>
        <w:spacing w:before="0" w:after="0"/>
        <w:ind w:left="714" w:hanging="357"/>
        <w:contextualSpacing/>
        <w:jc w:val="both"/>
        <w:rPr>
          <w:rFonts w:ascii="Arial" w:eastAsia="Times New Roman" w:hAnsi="Arial" w:cs="Arial"/>
          <w:szCs w:val="24"/>
          <w:lang w:eastAsia="de-DE"/>
        </w:rPr>
      </w:pPr>
      <w:proofErr w:type="spellStart"/>
      <w:r w:rsidRPr="009761C2">
        <w:rPr>
          <w:rFonts w:ascii="Arial" w:eastAsia="Times New Roman" w:hAnsi="Arial" w:cs="Arial"/>
          <w:bCs/>
          <w:szCs w:val="24"/>
          <w:lang w:eastAsia="de-DE"/>
        </w:rPr>
        <w:t>Xsens</w:t>
      </w:r>
      <w:proofErr w:type="spellEnd"/>
      <w:r w:rsidRPr="009761C2">
        <w:rPr>
          <w:rFonts w:ascii="Arial" w:eastAsia="Times New Roman" w:hAnsi="Arial" w:cs="Arial"/>
          <w:bCs/>
          <w:szCs w:val="24"/>
          <w:lang w:eastAsia="de-DE"/>
        </w:rPr>
        <w:t>™ data</w:t>
      </w:r>
      <w:r w:rsidRPr="009761C2">
        <w:rPr>
          <w:rFonts w:ascii="Arial" w:eastAsia="Times New Roman" w:hAnsi="Arial" w:cs="Arial"/>
          <w:szCs w:val="24"/>
          <w:lang w:eastAsia="de-DE"/>
        </w:rPr>
        <w:t xml:space="preserve"> were exported </w:t>
      </w:r>
      <w:proofErr w:type="gramStart"/>
      <w:r w:rsidRPr="009761C2">
        <w:rPr>
          <w:rFonts w:ascii="Arial" w:eastAsia="Times New Roman" w:hAnsi="Arial" w:cs="Arial"/>
          <w:szCs w:val="24"/>
          <w:lang w:eastAsia="de-DE"/>
        </w:rPr>
        <w:t xml:space="preserve">as </w:t>
      </w:r>
      <w:r w:rsidRPr="009761C2">
        <w:rPr>
          <w:rFonts w:ascii="Arial" w:eastAsia="Times New Roman" w:hAnsi="Arial" w:cs="Arial"/>
          <w:bCs/>
          <w:szCs w:val="24"/>
          <w:lang w:eastAsia="de-DE"/>
        </w:rPr>
        <w:t>.</w:t>
      </w:r>
      <w:proofErr w:type="spellStart"/>
      <w:r w:rsidRPr="009761C2">
        <w:rPr>
          <w:rFonts w:ascii="Arial" w:eastAsia="Times New Roman" w:hAnsi="Arial" w:cs="Arial"/>
          <w:bCs/>
          <w:szCs w:val="24"/>
          <w:lang w:eastAsia="de-DE"/>
        </w:rPr>
        <w:t>bvh</w:t>
      </w:r>
      <w:proofErr w:type="spellEnd"/>
      <w:proofErr w:type="gramEnd"/>
      <w:r w:rsidRPr="009761C2">
        <w:rPr>
          <w:rFonts w:ascii="Arial" w:eastAsia="Times New Roman" w:hAnsi="Arial" w:cs="Arial"/>
          <w:bCs/>
          <w:szCs w:val="24"/>
          <w:lang w:eastAsia="de-DE"/>
        </w:rPr>
        <w:t xml:space="preserve"> (</w:t>
      </w:r>
      <w:proofErr w:type="spellStart"/>
      <w:r w:rsidRPr="009761C2">
        <w:rPr>
          <w:rFonts w:ascii="Arial" w:eastAsia="Times New Roman" w:hAnsi="Arial" w:cs="Arial"/>
          <w:bCs/>
          <w:szCs w:val="24"/>
          <w:lang w:eastAsia="de-DE"/>
        </w:rPr>
        <w:t>BioVision</w:t>
      </w:r>
      <w:proofErr w:type="spellEnd"/>
      <w:r w:rsidRPr="009761C2">
        <w:rPr>
          <w:rFonts w:ascii="Arial" w:eastAsia="Times New Roman" w:hAnsi="Arial" w:cs="Arial"/>
          <w:bCs/>
          <w:szCs w:val="24"/>
          <w:lang w:eastAsia="de-DE"/>
        </w:rPr>
        <w:t xml:space="preserve"> Hierarchy)</w:t>
      </w:r>
      <w:r w:rsidRPr="009761C2">
        <w:rPr>
          <w:rFonts w:ascii="Arial" w:eastAsia="Times New Roman" w:hAnsi="Arial" w:cs="Arial"/>
          <w:szCs w:val="24"/>
          <w:lang w:eastAsia="de-DE"/>
        </w:rPr>
        <w:t xml:space="preserve"> files and imported into </w:t>
      </w:r>
      <w:proofErr w:type="spellStart"/>
      <w:r w:rsidRPr="009761C2">
        <w:rPr>
          <w:rFonts w:ascii="Arial" w:eastAsia="Times New Roman" w:hAnsi="Arial" w:cs="Arial"/>
          <w:bCs/>
          <w:szCs w:val="24"/>
          <w:lang w:eastAsia="de-DE"/>
        </w:rPr>
        <w:t>AnyBody</w:t>
      </w:r>
      <w:proofErr w:type="spellEnd"/>
      <w:r w:rsidRPr="009761C2">
        <w:rPr>
          <w:rFonts w:ascii="Arial" w:eastAsia="Times New Roman" w:hAnsi="Arial" w:cs="Arial"/>
          <w:bCs/>
          <w:szCs w:val="24"/>
          <w:lang w:eastAsia="de-DE"/>
        </w:rPr>
        <w:t>™ Modeling System</w:t>
      </w:r>
      <w:r w:rsidRPr="009761C2">
        <w:rPr>
          <w:rFonts w:ascii="Arial" w:eastAsia="Times New Roman" w:hAnsi="Arial" w:cs="Arial"/>
          <w:szCs w:val="24"/>
          <w:lang w:eastAsia="de-DE"/>
        </w:rPr>
        <w:t xml:space="preserve"> using the </w:t>
      </w:r>
      <w:r w:rsidRPr="009761C2">
        <w:rPr>
          <w:rFonts w:ascii="Arial" w:eastAsia="Times New Roman" w:hAnsi="Arial" w:cs="Arial"/>
          <w:bCs/>
          <w:szCs w:val="24"/>
          <w:lang w:eastAsia="de-DE"/>
        </w:rPr>
        <w:t>AMMR (</w:t>
      </w:r>
      <w:proofErr w:type="spellStart"/>
      <w:r w:rsidRPr="009761C2">
        <w:rPr>
          <w:rFonts w:ascii="Arial" w:eastAsia="Times New Roman" w:hAnsi="Arial" w:cs="Arial"/>
          <w:bCs/>
          <w:szCs w:val="24"/>
          <w:lang w:eastAsia="de-DE"/>
        </w:rPr>
        <w:t>AnyBody</w:t>
      </w:r>
      <w:proofErr w:type="spellEnd"/>
      <w:r w:rsidRPr="009761C2">
        <w:rPr>
          <w:rFonts w:ascii="Arial" w:eastAsia="Times New Roman" w:hAnsi="Arial" w:cs="Arial"/>
          <w:bCs/>
          <w:szCs w:val="24"/>
          <w:lang w:eastAsia="de-DE"/>
        </w:rPr>
        <w:t>™ Managed Model Repository)</w:t>
      </w:r>
      <w:r w:rsidRPr="009761C2">
        <w:rPr>
          <w:rFonts w:ascii="Arial" w:eastAsia="Times New Roman" w:hAnsi="Arial" w:cs="Arial"/>
          <w:szCs w:val="24"/>
          <w:lang w:eastAsia="de-DE"/>
        </w:rPr>
        <w:t xml:space="preserve">. An explicit explanation video for the </w:t>
      </w:r>
      <w:proofErr w:type="spellStart"/>
      <w:r w:rsidRPr="009761C2">
        <w:rPr>
          <w:rFonts w:ascii="Arial" w:eastAsia="Times New Roman" w:hAnsi="Arial" w:cs="Arial"/>
          <w:szCs w:val="24"/>
          <w:lang w:eastAsia="de-DE"/>
        </w:rPr>
        <w:t>Xsens-AnyBody</w:t>
      </w:r>
      <w:proofErr w:type="spellEnd"/>
      <w:r w:rsidRPr="009761C2">
        <w:rPr>
          <w:rFonts w:ascii="Arial" w:eastAsia="Times New Roman" w:hAnsi="Arial" w:cs="Arial"/>
          <w:szCs w:val="24"/>
          <w:lang w:eastAsia="de-DE"/>
        </w:rPr>
        <w:t xml:space="preserve"> Workflow: https://base.movella.com/s/article/AnyBody-Xsens-workflow-webinar-kinetic-modeling-on-the-field?language=en_US</w:t>
      </w:r>
    </w:p>
    <w:p w14:paraId="247DFE49" w14:textId="77777777" w:rsidR="009761C2" w:rsidRPr="009761C2" w:rsidRDefault="009761C2" w:rsidP="009761C2">
      <w:pPr>
        <w:numPr>
          <w:ilvl w:val="0"/>
          <w:numId w:val="2"/>
        </w:numPr>
        <w:spacing w:before="0" w:after="0"/>
        <w:ind w:left="714" w:hanging="357"/>
        <w:jc w:val="both"/>
        <w:rPr>
          <w:rFonts w:ascii="Arial" w:eastAsia="Times New Roman" w:hAnsi="Arial" w:cs="Arial"/>
          <w:szCs w:val="24"/>
          <w:lang w:eastAsia="de-DE"/>
        </w:rPr>
      </w:pPr>
      <w:r w:rsidRPr="009761C2">
        <w:rPr>
          <w:rFonts w:ascii="Arial" w:eastAsia="Times New Roman" w:hAnsi="Arial" w:cs="Arial"/>
          <w:szCs w:val="24"/>
          <w:lang w:eastAsia="de-DE"/>
        </w:rPr>
        <w:t>The kinematic data were used to drive the musculoskeletal model, with individual models scaled based on each participant’s anthropometric data.</w:t>
      </w:r>
    </w:p>
    <w:p w14:paraId="1090FB28" w14:textId="77777777" w:rsidR="009761C2" w:rsidRPr="009761C2" w:rsidRDefault="009761C2" w:rsidP="009761C2">
      <w:pPr>
        <w:numPr>
          <w:ilvl w:val="0"/>
          <w:numId w:val="2"/>
        </w:numPr>
        <w:spacing w:before="0" w:after="0"/>
        <w:ind w:left="714" w:hanging="357"/>
        <w:jc w:val="both"/>
        <w:rPr>
          <w:rFonts w:ascii="Arial" w:eastAsia="Times New Roman" w:hAnsi="Arial" w:cs="Arial"/>
          <w:szCs w:val="24"/>
          <w:lang w:eastAsia="de-DE"/>
        </w:rPr>
      </w:pPr>
      <w:r w:rsidRPr="009761C2">
        <w:rPr>
          <w:rFonts w:ascii="Arial" w:eastAsia="Times New Roman" w:hAnsi="Arial" w:cs="Arial"/>
          <w:bCs/>
          <w:szCs w:val="24"/>
          <w:lang w:eastAsia="de-DE"/>
        </w:rPr>
        <w:t xml:space="preserve">GRF data from </w:t>
      </w:r>
      <w:proofErr w:type="spellStart"/>
      <w:r w:rsidRPr="009761C2">
        <w:rPr>
          <w:rFonts w:ascii="Arial" w:eastAsia="Times New Roman" w:hAnsi="Arial" w:cs="Arial"/>
          <w:bCs/>
          <w:szCs w:val="24"/>
          <w:lang w:eastAsia="de-DE"/>
        </w:rPr>
        <w:t>Moticon</w:t>
      </w:r>
      <w:proofErr w:type="spellEnd"/>
      <w:r w:rsidRPr="009761C2">
        <w:rPr>
          <w:rFonts w:ascii="Arial" w:eastAsia="Times New Roman" w:hAnsi="Arial" w:cs="Arial"/>
          <w:bCs/>
          <w:szCs w:val="24"/>
          <w:lang w:eastAsia="de-DE"/>
        </w:rPr>
        <w:t>™ insoles</w:t>
      </w:r>
      <w:r w:rsidRPr="009761C2">
        <w:rPr>
          <w:rFonts w:ascii="Arial" w:eastAsia="Times New Roman" w:hAnsi="Arial" w:cs="Arial"/>
          <w:szCs w:val="24"/>
          <w:lang w:eastAsia="de-DE"/>
        </w:rPr>
        <w:t xml:space="preserve">, validated by Novel™ </w:t>
      </w:r>
      <w:proofErr w:type="spellStart"/>
      <w:r w:rsidRPr="009761C2">
        <w:rPr>
          <w:rFonts w:ascii="Arial" w:eastAsia="Times New Roman" w:hAnsi="Arial" w:cs="Arial"/>
          <w:szCs w:val="24"/>
          <w:lang w:eastAsia="de-DE"/>
        </w:rPr>
        <w:t>loadpads</w:t>
      </w:r>
      <w:proofErr w:type="spellEnd"/>
      <w:r w:rsidRPr="009761C2">
        <w:rPr>
          <w:rFonts w:ascii="Arial" w:eastAsia="Times New Roman" w:hAnsi="Arial" w:cs="Arial"/>
          <w:szCs w:val="24"/>
          <w:lang w:eastAsia="de-DE"/>
        </w:rPr>
        <w:t xml:space="preserve"> (see Figure 8), were imported as .txt files containing timestamps, Ground reaction force (GRF), and center of pressure (CoP). </w:t>
      </w:r>
    </w:p>
    <w:p w14:paraId="24FFEFB2" w14:textId="77777777" w:rsidR="009761C2" w:rsidRPr="009761C2" w:rsidRDefault="009761C2" w:rsidP="009761C2">
      <w:pPr>
        <w:numPr>
          <w:ilvl w:val="1"/>
          <w:numId w:val="2"/>
        </w:numPr>
        <w:spacing w:before="0" w:after="0"/>
        <w:jc w:val="both"/>
        <w:rPr>
          <w:rFonts w:ascii="Arial" w:eastAsia="Times New Roman" w:hAnsi="Arial" w:cs="Arial"/>
          <w:szCs w:val="24"/>
          <w:lang w:eastAsia="de-DE"/>
        </w:rPr>
      </w:pPr>
      <w:r w:rsidRPr="009761C2">
        <w:rPr>
          <w:rFonts w:ascii="Arial" w:eastAsia="Times New Roman" w:hAnsi="Arial" w:cs="Arial"/>
          <w:szCs w:val="24"/>
          <w:lang w:eastAsia="de-DE"/>
        </w:rPr>
        <w:t xml:space="preserve">These data were imported into </w:t>
      </w:r>
      <w:proofErr w:type="spellStart"/>
      <w:r w:rsidRPr="009761C2">
        <w:rPr>
          <w:rFonts w:ascii="Arial" w:eastAsia="Times New Roman" w:hAnsi="Arial" w:cs="Arial"/>
          <w:szCs w:val="24"/>
          <w:lang w:eastAsia="de-DE"/>
        </w:rPr>
        <w:t>AnyBody</w:t>
      </w:r>
      <w:proofErr w:type="spellEnd"/>
      <w:r w:rsidRPr="009761C2">
        <w:rPr>
          <w:rFonts w:ascii="Arial" w:eastAsia="Times New Roman" w:hAnsi="Arial" w:cs="Arial"/>
          <w:szCs w:val="24"/>
          <w:lang w:eastAsia="de-DE"/>
        </w:rPr>
        <w:t>™ using:</w:t>
      </w:r>
    </w:p>
    <w:p w14:paraId="099B420E" w14:textId="77777777" w:rsidR="009761C2" w:rsidRPr="009761C2" w:rsidRDefault="009761C2" w:rsidP="009761C2">
      <w:pPr>
        <w:numPr>
          <w:ilvl w:val="2"/>
          <w:numId w:val="2"/>
        </w:numPr>
        <w:spacing w:before="100" w:beforeAutospacing="1" w:after="100" w:afterAutospacing="1"/>
        <w:jc w:val="both"/>
        <w:rPr>
          <w:rFonts w:ascii="Arial" w:eastAsia="Times New Roman" w:hAnsi="Arial" w:cs="Arial"/>
          <w:szCs w:val="24"/>
          <w:lang w:eastAsia="de-DE"/>
        </w:rPr>
      </w:pPr>
      <w:proofErr w:type="spellStart"/>
      <w:r w:rsidRPr="009761C2">
        <w:rPr>
          <w:rFonts w:ascii="Arial" w:eastAsia="Times New Roman" w:hAnsi="Arial" w:cs="Arial"/>
          <w:bCs/>
          <w:szCs w:val="24"/>
          <w:lang w:eastAsia="de-DE"/>
        </w:rPr>
        <w:t>AnyInputFile</w:t>
      </w:r>
      <w:proofErr w:type="spellEnd"/>
      <w:r w:rsidRPr="009761C2">
        <w:rPr>
          <w:rFonts w:ascii="Arial" w:eastAsia="Times New Roman" w:hAnsi="Arial" w:cs="Arial"/>
          <w:szCs w:val="24"/>
          <w:lang w:eastAsia="de-DE"/>
        </w:rPr>
        <w:t xml:space="preserve"> to load the text file</w:t>
      </w:r>
    </w:p>
    <w:p w14:paraId="2441C404" w14:textId="77777777" w:rsidR="009761C2" w:rsidRPr="009761C2" w:rsidRDefault="009761C2" w:rsidP="009761C2">
      <w:pPr>
        <w:numPr>
          <w:ilvl w:val="2"/>
          <w:numId w:val="2"/>
        </w:numPr>
        <w:spacing w:before="100" w:beforeAutospacing="1" w:after="100" w:afterAutospacing="1"/>
        <w:jc w:val="both"/>
        <w:rPr>
          <w:rFonts w:ascii="Arial" w:eastAsia="Times New Roman" w:hAnsi="Arial" w:cs="Arial"/>
          <w:szCs w:val="24"/>
          <w:lang w:eastAsia="de-DE"/>
        </w:rPr>
      </w:pPr>
      <w:proofErr w:type="spellStart"/>
      <w:r w:rsidRPr="009761C2">
        <w:rPr>
          <w:rFonts w:ascii="Arial" w:eastAsia="Times New Roman" w:hAnsi="Arial" w:cs="Arial"/>
          <w:bCs/>
          <w:szCs w:val="24"/>
          <w:lang w:eastAsia="de-DE"/>
        </w:rPr>
        <w:lastRenderedPageBreak/>
        <w:t>AnyFunInterpol</w:t>
      </w:r>
      <w:proofErr w:type="spellEnd"/>
      <w:r w:rsidRPr="009761C2">
        <w:rPr>
          <w:rFonts w:ascii="Arial" w:eastAsia="Times New Roman" w:hAnsi="Arial" w:cs="Arial"/>
          <w:szCs w:val="24"/>
          <w:lang w:eastAsia="de-DE"/>
        </w:rPr>
        <w:t xml:space="preserve"> to create a time-dependent interpolation function for each GRF and CoP data stream</w:t>
      </w:r>
    </w:p>
    <w:p w14:paraId="0A099863" w14:textId="77777777" w:rsidR="009761C2" w:rsidRPr="009761C2" w:rsidRDefault="009761C2" w:rsidP="009761C2">
      <w:pPr>
        <w:numPr>
          <w:ilvl w:val="2"/>
          <w:numId w:val="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The </w:t>
      </w:r>
      <w:r w:rsidRPr="009761C2">
        <w:rPr>
          <w:rFonts w:ascii="Arial" w:eastAsia="Times New Roman" w:hAnsi="Arial" w:cs="Arial"/>
          <w:bCs/>
          <w:szCs w:val="24"/>
          <w:lang w:eastAsia="de-DE"/>
        </w:rPr>
        <w:t>GRFs</w:t>
      </w:r>
      <w:r w:rsidRPr="009761C2">
        <w:rPr>
          <w:rFonts w:ascii="Arial" w:eastAsia="Times New Roman" w:hAnsi="Arial" w:cs="Arial"/>
          <w:szCs w:val="24"/>
          <w:lang w:eastAsia="de-DE"/>
        </w:rPr>
        <w:t xml:space="preserve"> were applied to the </w:t>
      </w:r>
      <w:r w:rsidRPr="009761C2">
        <w:rPr>
          <w:rFonts w:ascii="Arial" w:eastAsia="Times New Roman" w:hAnsi="Arial" w:cs="Arial"/>
          <w:bCs/>
          <w:szCs w:val="24"/>
          <w:lang w:eastAsia="de-DE"/>
        </w:rPr>
        <w:t>foot segment</w:t>
      </w:r>
      <w:r w:rsidRPr="009761C2">
        <w:rPr>
          <w:rFonts w:ascii="Arial" w:eastAsia="Times New Roman" w:hAnsi="Arial" w:cs="Arial"/>
          <w:szCs w:val="24"/>
          <w:lang w:eastAsia="de-DE"/>
        </w:rPr>
        <w:t xml:space="preserve"> in the model via a time-dependent force vector.</w:t>
      </w:r>
    </w:p>
    <w:p w14:paraId="2D27B3A8" w14:textId="77777777" w:rsidR="009761C2" w:rsidRPr="009761C2" w:rsidRDefault="009761C2" w:rsidP="009761C2">
      <w:pPr>
        <w:numPr>
          <w:ilvl w:val="2"/>
          <w:numId w:val="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noProof/>
          <w:szCs w:val="24"/>
          <w:lang w:eastAsia="de-DE"/>
        </w:rPr>
        <w:drawing>
          <wp:anchor distT="0" distB="0" distL="114300" distR="114300" simplePos="0" relativeHeight="251659264" behindDoc="0" locked="0" layoutInCell="1" allowOverlap="1" wp14:anchorId="0FC3CE5C" wp14:editId="2AC8B984">
            <wp:simplePos x="0" y="0"/>
            <wp:positionH relativeFrom="margin">
              <wp:align>center</wp:align>
            </wp:positionH>
            <wp:positionV relativeFrom="paragraph">
              <wp:posOffset>701675</wp:posOffset>
            </wp:positionV>
            <wp:extent cx="5892800" cy="3657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846" r="6209"/>
                    <a:stretch/>
                  </pic:blipFill>
                  <pic:spPr bwMode="auto">
                    <a:xfrm>
                      <a:off x="0" y="0"/>
                      <a:ext cx="5892800"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61C2">
        <w:rPr>
          <w:rFonts w:ascii="Arial" w:eastAsia="Times New Roman" w:hAnsi="Arial" w:cs="Arial"/>
          <w:szCs w:val="24"/>
          <w:lang w:eastAsia="de-DE"/>
        </w:rPr>
        <w:t xml:space="preserve">The </w:t>
      </w:r>
      <w:r w:rsidRPr="009761C2">
        <w:rPr>
          <w:rFonts w:ascii="Arial" w:eastAsia="Times New Roman" w:hAnsi="Arial" w:cs="Arial"/>
          <w:bCs/>
          <w:szCs w:val="24"/>
          <w:lang w:eastAsia="de-DE"/>
        </w:rPr>
        <w:t>center of pressure coordinates</w:t>
      </w:r>
      <w:r w:rsidRPr="009761C2">
        <w:rPr>
          <w:rFonts w:ascii="Arial" w:eastAsia="Times New Roman" w:hAnsi="Arial" w:cs="Arial"/>
          <w:szCs w:val="24"/>
          <w:lang w:eastAsia="de-DE"/>
        </w:rPr>
        <w:t xml:space="preserve"> </w:t>
      </w:r>
      <w:proofErr w:type="gramStart"/>
      <w:r w:rsidRPr="009761C2">
        <w:rPr>
          <w:rFonts w:ascii="Arial" w:eastAsia="Times New Roman" w:hAnsi="Arial" w:cs="Arial"/>
          <w:szCs w:val="24"/>
          <w:lang w:eastAsia="de-DE"/>
        </w:rPr>
        <w:t>were</w:t>
      </w:r>
      <w:proofErr w:type="gramEnd"/>
      <w:r w:rsidRPr="009761C2">
        <w:rPr>
          <w:rFonts w:ascii="Arial" w:eastAsia="Times New Roman" w:hAnsi="Arial" w:cs="Arial"/>
          <w:szCs w:val="24"/>
          <w:lang w:eastAsia="de-DE"/>
        </w:rPr>
        <w:t xml:space="preserve"> used to define the </w:t>
      </w:r>
      <w:r w:rsidRPr="009761C2">
        <w:rPr>
          <w:rFonts w:ascii="Arial" w:eastAsia="Times New Roman" w:hAnsi="Arial" w:cs="Arial"/>
          <w:bCs/>
          <w:szCs w:val="24"/>
          <w:lang w:eastAsia="de-DE"/>
        </w:rPr>
        <w:t>dynamic point of force application</w:t>
      </w:r>
      <w:r w:rsidRPr="009761C2">
        <w:rPr>
          <w:rFonts w:ascii="Arial" w:eastAsia="Times New Roman" w:hAnsi="Arial" w:cs="Arial"/>
          <w:szCs w:val="24"/>
          <w:lang w:eastAsia="de-DE"/>
        </w:rPr>
        <w:t>, ensuring the force was applied at the correct anatomical location during each time step.</w:t>
      </w:r>
    </w:p>
    <w:p w14:paraId="6723F584" w14:textId="47AF336E" w:rsidR="009761C2" w:rsidRPr="009761C2" w:rsidRDefault="009761C2" w:rsidP="009F27FC">
      <w:pPr>
        <w:keepNext/>
        <w:jc w:val="center"/>
        <w:rPr>
          <w:rFonts w:ascii="Arial" w:eastAsia="Calibri" w:hAnsi="Arial" w:cs="Arial"/>
          <w:bCs/>
          <w:i/>
          <w:szCs w:val="24"/>
        </w:rPr>
      </w:pPr>
      <w:r w:rsidRPr="009761C2">
        <w:rPr>
          <w:rFonts w:ascii="Arial" w:eastAsia="Calibri" w:hAnsi="Arial" w:cs="Arial"/>
          <w:bCs/>
          <w:szCs w:val="24"/>
        </w:rPr>
        <w:t xml:space="preserve">Figure </w:t>
      </w:r>
      <w:r w:rsidR="00ED28B9">
        <w:rPr>
          <w:rFonts w:ascii="Arial" w:eastAsia="Calibri" w:hAnsi="Arial" w:cs="Arial"/>
          <w:bCs/>
          <w:szCs w:val="24"/>
        </w:rPr>
        <w:t>S3</w:t>
      </w:r>
      <w:r w:rsidRPr="009761C2">
        <w:rPr>
          <w:rFonts w:ascii="Arial" w:eastAsia="Calibri" w:hAnsi="Arial" w:cs="Arial"/>
          <w:bCs/>
          <w:szCs w:val="24"/>
        </w:rPr>
        <w:t xml:space="preserve">: Simultaneous measurement of the sensor insoles with the </w:t>
      </w:r>
      <w:proofErr w:type="spellStart"/>
      <w:r w:rsidRPr="009761C2">
        <w:rPr>
          <w:rFonts w:ascii="Arial" w:eastAsia="Calibri" w:hAnsi="Arial" w:cs="Arial"/>
          <w:bCs/>
          <w:szCs w:val="24"/>
        </w:rPr>
        <w:t>loadpads</w:t>
      </w:r>
      <w:proofErr w:type="spellEnd"/>
      <w:r w:rsidRPr="009761C2">
        <w:rPr>
          <w:rFonts w:ascii="Arial" w:eastAsia="Calibri" w:hAnsi="Arial" w:cs="Arial"/>
          <w:bCs/>
          <w:szCs w:val="24"/>
        </w:rPr>
        <w:t xml:space="preserve"> during a partial weight-bearing measurement of 20 kg on the right leg.</w:t>
      </w:r>
    </w:p>
    <w:p w14:paraId="21B5B057" w14:textId="77777777" w:rsidR="009F27FC" w:rsidRDefault="009F27FC" w:rsidP="009761C2">
      <w:pPr>
        <w:spacing w:before="100" w:beforeAutospacing="1" w:after="100" w:afterAutospacing="1"/>
        <w:jc w:val="both"/>
        <w:outlineLvl w:val="3"/>
        <w:rPr>
          <w:rFonts w:ascii="Arial" w:eastAsia="Times New Roman" w:hAnsi="Arial" w:cs="Arial"/>
          <w:b/>
          <w:bCs/>
          <w:szCs w:val="24"/>
          <w:lang w:eastAsia="de-DE"/>
        </w:rPr>
      </w:pPr>
    </w:p>
    <w:p w14:paraId="698EBFB6" w14:textId="5F92E706"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A4. Musculoskeletal Simulation</w:t>
      </w:r>
    </w:p>
    <w:p w14:paraId="245DA580" w14:textId="77777777" w:rsidR="009761C2" w:rsidRPr="009761C2" w:rsidRDefault="009761C2" w:rsidP="009761C2">
      <w:pPr>
        <w:numPr>
          <w:ilvl w:val="0"/>
          <w:numId w:val="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Inverse dynamics simulations</w:t>
      </w:r>
      <w:r w:rsidRPr="009761C2">
        <w:rPr>
          <w:rFonts w:ascii="Arial" w:eastAsia="Times New Roman" w:hAnsi="Arial" w:cs="Arial"/>
          <w:szCs w:val="24"/>
          <w:lang w:eastAsia="de-DE"/>
        </w:rPr>
        <w:t xml:space="preserve"> were performed in </w:t>
      </w:r>
      <w:proofErr w:type="spellStart"/>
      <w:r w:rsidRPr="009761C2">
        <w:rPr>
          <w:rFonts w:ascii="Arial" w:eastAsia="Times New Roman" w:hAnsi="Arial" w:cs="Arial"/>
          <w:szCs w:val="24"/>
          <w:lang w:eastAsia="de-DE"/>
        </w:rPr>
        <w:t>AnyBody</w:t>
      </w:r>
      <w:proofErr w:type="spellEnd"/>
      <w:r w:rsidRPr="009761C2">
        <w:rPr>
          <w:rFonts w:ascii="Arial" w:eastAsia="Times New Roman" w:hAnsi="Arial" w:cs="Arial"/>
          <w:szCs w:val="24"/>
          <w:lang w:eastAsia="de-DE"/>
        </w:rPr>
        <w:t>™ to estimate joint and muscle forces (Figure 9).</w:t>
      </w:r>
    </w:p>
    <w:p w14:paraId="37A2E70F" w14:textId="77777777" w:rsidR="009761C2" w:rsidRPr="009761C2" w:rsidRDefault="009761C2" w:rsidP="009761C2">
      <w:pPr>
        <w:numPr>
          <w:ilvl w:val="0"/>
          <w:numId w:val="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A </w:t>
      </w:r>
      <w:r w:rsidRPr="009761C2">
        <w:rPr>
          <w:rFonts w:ascii="Arial" w:eastAsia="Times New Roman" w:hAnsi="Arial" w:cs="Arial"/>
          <w:bCs/>
          <w:szCs w:val="24"/>
          <w:lang w:eastAsia="de-DE"/>
        </w:rPr>
        <w:t>min/max muscle recruitment criterion</w:t>
      </w:r>
      <w:r w:rsidRPr="009761C2">
        <w:rPr>
          <w:rFonts w:ascii="Arial" w:eastAsia="Times New Roman" w:hAnsi="Arial" w:cs="Arial"/>
          <w:szCs w:val="24"/>
          <w:lang w:eastAsia="de-DE"/>
        </w:rPr>
        <w:t xml:space="preserve"> was used to solve the muscle redundancy problem and calculate muscle activations and joint loads.</w:t>
      </w:r>
    </w:p>
    <w:p w14:paraId="7F86EFD4" w14:textId="77777777" w:rsidR="009761C2" w:rsidRPr="009761C2" w:rsidRDefault="009761C2" w:rsidP="009761C2">
      <w:pPr>
        <w:numPr>
          <w:ilvl w:val="0"/>
          <w:numId w:val="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Resulting joint reaction forces were calculated throughout the gait cycle and extracted for the knee joint.</w:t>
      </w:r>
    </w:p>
    <w:p w14:paraId="76AB9FDC"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p>
    <w:p w14:paraId="3120A0E7"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A4. Outcome Metrics and Normalization</w:t>
      </w:r>
    </w:p>
    <w:p w14:paraId="4BC979A3" w14:textId="77777777" w:rsidR="009761C2" w:rsidRPr="009761C2" w:rsidRDefault="009761C2" w:rsidP="009761C2">
      <w:pPr>
        <w:numPr>
          <w:ilvl w:val="0"/>
          <w:numId w:val="4"/>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Mean and peak knee joint forces</w:t>
      </w:r>
      <w:r w:rsidRPr="009761C2">
        <w:rPr>
          <w:rFonts w:ascii="Arial" w:eastAsia="Times New Roman" w:hAnsi="Arial" w:cs="Arial"/>
          <w:szCs w:val="24"/>
          <w:lang w:eastAsia="de-DE"/>
        </w:rPr>
        <w:t xml:space="preserve"> were calculated across the stance phase of the gait cycle during the </w:t>
      </w:r>
      <w:r w:rsidRPr="009761C2">
        <w:rPr>
          <w:rFonts w:ascii="Arial" w:eastAsia="Times New Roman" w:hAnsi="Arial" w:cs="Arial"/>
          <w:bCs/>
          <w:szCs w:val="24"/>
          <w:lang w:eastAsia="de-DE"/>
        </w:rPr>
        <w:t>Timed Up and Go (TUG)</w:t>
      </w:r>
      <w:r w:rsidRPr="009761C2">
        <w:rPr>
          <w:rFonts w:ascii="Arial" w:eastAsia="Times New Roman" w:hAnsi="Arial" w:cs="Arial"/>
          <w:szCs w:val="24"/>
          <w:lang w:eastAsia="de-DE"/>
        </w:rPr>
        <w:t xml:space="preserve"> test.</w:t>
      </w:r>
    </w:p>
    <w:p w14:paraId="0B4C3324" w14:textId="77777777" w:rsidR="009761C2" w:rsidRPr="009761C2" w:rsidRDefault="009761C2" w:rsidP="009761C2">
      <w:pPr>
        <w:numPr>
          <w:ilvl w:val="0"/>
          <w:numId w:val="4"/>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lastRenderedPageBreak/>
        <w:t xml:space="preserve">Forces were </w:t>
      </w:r>
      <w:r w:rsidRPr="009761C2">
        <w:rPr>
          <w:rFonts w:ascii="Arial" w:eastAsia="Times New Roman" w:hAnsi="Arial" w:cs="Arial"/>
          <w:bCs/>
          <w:szCs w:val="24"/>
          <w:lang w:eastAsia="de-DE"/>
        </w:rPr>
        <w:t>normalized to body weight (%BW)</w:t>
      </w:r>
      <w:r w:rsidRPr="009761C2">
        <w:rPr>
          <w:rFonts w:ascii="Arial" w:eastAsia="Times New Roman" w:hAnsi="Arial" w:cs="Arial"/>
          <w:szCs w:val="24"/>
          <w:lang w:eastAsia="de-DE"/>
        </w:rPr>
        <w:t xml:space="preserve"> for inter-individual comparison.</w:t>
      </w:r>
    </w:p>
    <w:p w14:paraId="4EBCD0E0" w14:textId="48086CE2" w:rsidR="009761C2" w:rsidRPr="009F27FC" w:rsidRDefault="009761C2" w:rsidP="009761C2">
      <w:pPr>
        <w:numPr>
          <w:ilvl w:val="0"/>
          <w:numId w:val="4"/>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Group averages were computed from the data of each participant for both </w:t>
      </w:r>
      <w:r w:rsidRPr="009761C2">
        <w:rPr>
          <w:rFonts w:ascii="Arial" w:eastAsia="Times New Roman" w:hAnsi="Arial" w:cs="Arial"/>
          <w:bCs/>
          <w:szCs w:val="24"/>
          <w:lang w:eastAsia="de-DE"/>
        </w:rPr>
        <w:t>full weight-bearing</w:t>
      </w:r>
      <w:r w:rsidRPr="009761C2">
        <w:rPr>
          <w:rFonts w:ascii="Arial" w:eastAsia="Times New Roman" w:hAnsi="Arial" w:cs="Arial"/>
          <w:szCs w:val="24"/>
          <w:lang w:eastAsia="de-DE"/>
        </w:rPr>
        <w:t xml:space="preserve"> and </w:t>
      </w:r>
      <w:r w:rsidRPr="009761C2">
        <w:rPr>
          <w:rFonts w:ascii="Arial" w:eastAsia="Times New Roman" w:hAnsi="Arial" w:cs="Arial"/>
          <w:bCs/>
          <w:szCs w:val="24"/>
          <w:lang w:eastAsia="de-DE"/>
        </w:rPr>
        <w:t>partial weight-bearing</w:t>
      </w:r>
      <w:r w:rsidRPr="009761C2">
        <w:rPr>
          <w:rFonts w:ascii="Arial" w:eastAsia="Times New Roman" w:hAnsi="Arial" w:cs="Arial"/>
          <w:szCs w:val="24"/>
          <w:lang w:eastAsia="de-DE"/>
        </w:rPr>
        <w:t xml:space="preserve"> conditions (20 kg and 50% body weight).</w:t>
      </w:r>
    </w:p>
    <w:p w14:paraId="49B6DB37" w14:textId="5D25DBF7" w:rsidR="009761C2" w:rsidRPr="009F27FC" w:rsidRDefault="009761C2" w:rsidP="009F27FC">
      <w:pPr>
        <w:keepNext/>
        <w:spacing w:before="100" w:beforeAutospacing="1" w:after="100" w:afterAutospacing="1"/>
        <w:jc w:val="center"/>
        <w:rPr>
          <w:rFonts w:eastAsia="Calibri" w:cs="Times New Roman"/>
        </w:rPr>
      </w:pPr>
      <w:r w:rsidRPr="009761C2">
        <w:rPr>
          <w:rFonts w:ascii="Arial" w:eastAsia="Times New Roman" w:hAnsi="Arial" w:cs="Arial"/>
          <w:noProof/>
          <w:szCs w:val="24"/>
          <w:lang w:eastAsia="de-DE"/>
        </w:rPr>
        <w:drawing>
          <wp:anchor distT="0" distB="0" distL="114300" distR="114300" simplePos="0" relativeHeight="251663360" behindDoc="1" locked="0" layoutInCell="1" allowOverlap="1" wp14:anchorId="031A7DF7" wp14:editId="5AC2436A">
            <wp:simplePos x="0" y="0"/>
            <wp:positionH relativeFrom="margin">
              <wp:align>center</wp:align>
            </wp:positionH>
            <wp:positionV relativeFrom="paragraph">
              <wp:posOffset>-3810</wp:posOffset>
            </wp:positionV>
            <wp:extent cx="5758180" cy="3622040"/>
            <wp:effectExtent l="0" t="0" r="0" b="0"/>
            <wp:wrapTight wrapText="bothSides">
              <wp:wrapPolygon edited="0">
                <wp:start x="0" y="0"/>
                <wp:lineTo x="0" y="21471"/>
                <wp:lineTo x="21509" y="21471"/>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3622040"/>
                    </a:xfrm>
                    <a:prstGeom prst="rect">
                      <a:avLst/>
                    </a:prstGeom>
                    <a:noFill/>
                    <a:ln>
                      <a:noFill/>
                    </a:ln>
                  </pic:spPr>
                </pic:pic>
              </a:graphicData>
            </a:graphic>
          </wp:anchor>
        </w:drawing>
      </w:r>
      <w:r w:rsidRPr="009761C2">
        <w:rPr>
          <w:rFonts w:ascii="Arial" w:eastAsia="Calibri" w:hAnsi="Arial" w:cs="Arial"/>
          <w:bCs/>
          <w:szCs w:val="24"/>
        </w:rPr>
        <w:t xml:space="preserve">Figure </w:t>
      </w:r>
      <w:r w:rsidR="00ED28B9">
        <w:rPr>
          <w:rFonts w:ascii="Arial" w:eastAsia="Calibri" w:hAnsi="Arial" w:cs="Arial"/>
          <w:bCs/>
          <w:szCs w:val="24"/>
        </w:rPr>
        <w:t>S4</w:t>
      </w:r>
      <w:r w:rsidRPr="009761C2">
        <w:rPr>
          <w:rFonts w:ascii="Arial" w:eastAsia="Calibri" w:hAnsi="Arial" w:cs="Arial"/>
          <w:bCs/>
          <w:szCs w:val="24"/>
        </w:rPr>
        <w:t xml:space="preserve">: Complete gait cycle in </w:t>
      </w:r>
      <w:proofErr w:type="spellStart"/>
      <w:r w:rsidRPr="009761C2">
        <w:rPr>
          <w:rFonts w:ascii="Arial" w:eastAsia="Calibri" w:hAnsi="Arial" w:cs="Arial"/>
          <w:bCs/>
          <w:szCs w:val="24"/>
        </w:rPr>
        <w:t>AnyBody</w:t>
      </w:r>
      <w:r w:rsidRPr="009761C2">
        <w:rPr>
          <w:rFonts w:ascii="Arial" w:eastAsia="Calibri" w:hAnsi="Arial" w:cs="Arial"/>
          <w:bCs/>
          <w:szCs w:val="24"/>
          <w:vertAlign w:val="superscript"/>
        </w:rPr>
        <w:t>TM</w:t>
      </w:r>
      <w:proofErr w:type="spellEnd"/>
      <w:r w:rsidRPr="009761C2">
        <w:rPr>
          <w:rFonts w:ascii="Arial" w:eastAsia="Calibri" w:hAnsi="Arial" w:cs="Arial"/>
          <w:bCs/>
          <w:szCs w:val="24"/>
        </w:rPr>
        <w:t xml:space="preserve"> based on healthy gait data recorded with </w:t>
      </w:r>
      <w:proofErr w:type="spellStart"/>
      <w:r w:rsidRPr="009761C2">
        <w:rPr>
          <w:rFonts w:ascii="Arial" w:eastAsia="Calibri" w:hAnsi="Arial" w:cs="Arial"/>
          <w:bCs/>
          <w:szCs w:val="24"/>
        </w:rPr>
        <w:t>Xsens</w:t>
      </w:r>
      <w:r w:rsidRPr="009761C2">
        <w:rPr>
          <w:rFonts w:ascii="Arial" w:eastAsia="Calibri" w:hAnsi="Arial" w:cs="Arial"/>
          <w:bCs/>
          <w:szCs w:val="24"/>
          <w:vertAlign w:val="superscript"/>
        </w:rPr>
        <w:t>TM</w:t>
      </w:r>
      <w:proofErr w:type="spellEnd"/>
      <w:r w:rsidRPr="009761C2">
        <w:rPr>
          <w:rFonts w:ascii="Arial" w:eastAsia="Calibri" w:hAnsi="Arial" w:cs="Arial"/>
          <w:bCs/>
          <w:szCs w:val="24"/>
        </w:rPr>
        <w:t>.</w:t>
      </w:r>
    </w:p>
    <w:p w14:paraId="0704BC1A"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A5. Validation and Quality Control</w:t>
      </w:r>
    </w:p>
    <w:p w14:paraId="5BB0F33B" w14:textId="77777777" w:rsidR="009761C2" w:rsidRPr="009761C2" w:rsidRDefault="009761C2" w:rsidP="009761C2">
      <w:pPr>
        <w:numPr>
          <w:ilvl w:val="0"/>
          <w:numId w:val="5"/>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Force measurements from the </w:t>
      </w:r>
      <w:r w:rsidRPr="009761C2">
        <w:rPr>
          <w:rFonts w:ascii="Arial" w:eastAsia="Times New Roman" w:hAnsi="Arial" w:cs="Arial"/>
          <w:bCs/>
          <w:szCs w:val="24"/>
          <w:lang w:eastAsia="de-DE"/>
        </w:rPr>
        <w:t xml:space="preserve">Novel™ </w:t>
      </w:r>
      <w:proofErr w:type="spellStart"/>
      <w:r w:rsidRPr="009761C2">
        <w:rPr>
          <w:rFonts w:ascii="Arial" w:eastAsia="Times New Roman" w:hAnsi="Arial" w:cs="Arial"/>
          <w:bCs/>
          <w:szCs w:val="24"/>
          <w:lang w:eastAsia="de-DE"/>
        </w:rPr>
        <w:t>loadpads</w:t>
      </w:r>
      <w:proofErr w:type="spellEnd"/>
      <w:r w:rsidRPr="009761C2">
        <w:rPr>
          <w:rFonts w:ascii="Arial" w:eastAsia="Times New Roman" w:hAnsi="Arial" w:cs="Arial"/>
          <w:szCs w:val="24"/>
          <w:lang w:eastAsia="de-DE"/>
        </w:rPr>
        <w:t xml:space="preserve"> were used to confirm the accuracy of load distribution and timing captured by the </w:t>
      </w:r>
      <w:proofErr w:type="spellStart"/>
      <w:r w:rsidRPr="009761C2">
        <w:rPr>
          <w:rFonts w:ascii="Arial" w:eastAsia="Times New Roman" w:hAnsi="Arial" w:cs="Arial"/>
          <w:szCs w:val="24"/>
          <w:lang w:eastAsia="de-DE"/>
        </w:rPr>
        <w:t>Moticon</w:t>
      </w:r>
      <w:proofErr w:type="spellEnd"/>
      <w:r w:rsidRPr="009761C2">
        <w:rPr>
          <w:rFonts w:ascii="Arial" w:eastAsia="Times New Roman" w:hAnsi="Arial" w:cs="Arial"/>
          <w:szCs w:val="24"/>
          <w:lang w:eastAsia="de-DE"/>
        </w:rPr>
        <w:t>™ insoles.</w:t>
      </w:r>
    </w:p>
    <w:p w14:paraId="2E700AB5" w14:textId="77777777" w:rsidR="009761C2" w:rsidRPr="009761C2" w:rsidRDefault="009761C2" w:rsidP="009761C2">
      <w:pPr>
        <w:numPr>
          <w:ilvl w:val="0"/>
          <w:numId w:val="5"/>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Simulated joint force outputs were compared with known values from the </w:t>
      </w:r>
      <w:proofErr w:type="spellStart"/>
      <w:r w:rsidRPr="009761C2">
        <w:rPr>
          <w:rFonts w:ascii="Arial" w:eastAsia="Times New Roman" w:hAnsi="Arial" w:cs="Arial"/>
          <w:bCs/>
          <w:szCs w:val="24"/>
          <w:lang w:eastAsia="de-DE"/>
        </w:rPr>
        <w:t>OrthoLoad</w:t>
      </w:r>
      <w:proofErr w:type="spellEnd"/>
      <w:r w:rsidRPr="009761C2">
        <w:rPr>
          <w:rFonts w:ascii="Arial" w:eastAsia="Times New Roman" w:hAnsi="Arial" w:cs="Arial"/>
          <w:bCs/>
          <w:szCs w:val="24"/>
          <w:lang w:eastAsia="de-DE"/>
        </w:rPr>
        <w:t>™ database</w:t>
      </w:r>
      <w:r w:rsidRPr="009761C2">
        <w:rPr>
          <w:rFonts w:ascii="Arial" w:eastAsia="Times New Roman" w:hAnsi="Arial" w:cs="Arial"/>
          <w:szCs w:val="24"/>
          <w:lang w:eastAsia="de-DE"/>
        </w:rPr>
        <w:t xml:space="preserve"> to ensure plausibility, although no direct validation was performed in this study.</w:t>
      </w:r>
    </w:p>
    <w:p w14:paraId="1B57874A" w14:textId="77777777" w:rsidR="009761C2" w:rsidRPr="009761C2" w:rsidRDefault="009761C2" w:rsidP="009761C2">
      <w:pPr>
        <w:numPr>
          <w:ilvl w:val="0"/>
          <w:numId w:val="5"/>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Only trials that showed consistent load adherence and minimal signal noise were included in the final analysis.</w:t>
      </w:r>
    </w:p>
    <w:p w14:paraId="07EDEAF1" w14:textId="77777777" w:rsidR="009761C2" w:rsidRPr="009761C2" w:rsidRDefault="009761C2" w:rsidP="009761C2">
      <w:pPr>
        <w:numPr>
          <w:ilvl w:val="0"/>
          <w:numId w:val="5"/>
        </w:numPr>
        <w:contextualSpacing/>
        <w:jc w:val="both"/>
        <w:rPr>
          <w:rFonts w:ascii="Arial" w:eastAsia="Cambria" w:hAnsi="Arial" w:cs="Arial"/>
          <w:color w:val="000000"/>
          <w:szCs w:val="24"/>
        </w:rPr>
      </w:pPr>
      <w:r w:rsidRPr="009761C2">
        <w:rPr>
          <w:rFonts w:ascii="Arial" w:eastAsia="Cambria" w:hAnsi="Arial" w:cs="Arial"/>
          <w:color w:val="000000"/>
          <w:szCs w:val="24"/>
        </w:rPr>
        <w:t>The systems used for inertial motion capture (</w:t>
      </w:r>
      <w:proofErr w:type="spellStart"/>
      <w:r w:rsidRPr="009761C2">
        <w:rPr>
          <w:rFonts w:ascii="Arial" w:eastAsia="Cambria" w:hAnsi="Arial" w:cs="Arial"/>
          <w:color w:val="000000"/>
          <w:szCs w:val="24"/>
        </w:rPr>
        <w:t>Xsens</w:t>
      </w:r>
      <w:proofErr w:type="spellEnd"/>
      <w:r w:rsidRPr="009761C2">
        <w:rPr>
          <w:rFonts w:ascii="Arial" w:eastAsia="Cambria" w:hAnsi="Arial" w:cs="Arial"/>
          <w:color w:val="000000"/>
          <w:szCs w:val="24"/>
        </w:rPr>
        <w:t>™), insole-based force measurement (</w:t>
      </w:r>
      <w:proofErr w:type="spellStart"/>
      <w:r w:rsidRPr="009761C2">
        <w:rPr>
          <w:rFonts w:ascii="Arial" w:eastAsia="Cambria" w:hAnsi="Arial" w:cs="Arial"/>
          <w:color w:val="000000"/>
          <w:szCs w:val="24"/>
        </w:rPr>
        <w:t>Moticon</w:t>
      </w:r>
      <w:proofErr w:type="spellEnd"/>
      <w:r w:rsidRPr="009761C2">
        <w:rPr>
          <w:rFonts w:ascii="Arial" w:eastAsia="Cambria" w:hAnsi="Arial" w:cs="Arial"/>
          <w:color w:val="000000"/>
          <w:szCs w:val="24"/>
        </w:rPr>
        <w:t>™), and musculoskeletal modeling (</w:t>
      </w:r>
      <w:proofErr w:type="spellStart"/>
      <w:r w:rsidRPr="009761C2">
        <w:rPr>
          <w:rFonts w:ascii="Arial" w:eastAsia="Cambria" w:hAnsi="Arial" w:cs="Arial"/>
          <w:color w:val="000000"/>
          <w:szCs w:val="24"/>
        </w:rPr>
        <w:t>AnyBody</w:t>
      </w:r>
      <w:proofErr w:type="spellEnd"/>
      <w:r w:rsidRPr="009761C2">
        <w:rPr>
          <w:rFonts w:ascii="Arial" w:eastAsia="Cambria" w:hAnsi="Arial" w:cs="Arial"/>
          <w:color w:val="000000"/>
          <w:szCs w:val="24"/>
        </w:rPr>
        <w:t xml:space="preserve">™) provide a </w:t>
      </w:r>
      <w:r w:rsidRPr="009761C2">
        <w:rPr>
          <w:rFonts w:ascii="Arial" w:eastAsia="Cambria" w:hAnsi="Arial" w:cs="Arial"/>
          <w:bCs/>
          <w:color w:val="000000"/>
          <w:szCs w:val="24"/>
        </w:rPr>
        <w:t>validated and reproducible workflow</w:t>
      </w:r>
      <w:r w:rsidRPr="009761C2">
        <w:rPr>
          <w:rFonts w:ascii="Arial" w:eastAsia="Cambria" w:hAnsi="Arial" w:cs="Arial"/>
          <w:color w:val="000000"/>
          <w:szCs w:val="24"/>
        </w:rPr>
        <w:t xml:space="preserve">, as demonstrated in previous studies </w:t>
      </w:r>
      <w:r w:rsidRPr="009761C2">
        <w:rPr>
          <w:rFonts w:ascii="Arial" w:eastAsia="Cambria" w:hAnsi="Arial" w:cs="Arial"/>
          <w:color w:val="000000"/>
          <w:szCs w:val="24"/>
        </w:rPr>
        <w:fldChar w:fldCharType="begin" w:fldLock="1"/>
      </w:r>
      <w:r w:rsidRPr="009761C2">
        <w:rPr>
          <w:rFonts w:ascii="Arial" w:eastAsia="Cambria" w:hAnsi="Arial" w:cs="Arial"/>
          <w:color w:val="000000"/>
          <w:szCs w:val="24"/>
        </w:rPr>
        <w:instrText>ADDIN CSL_CITATION {"citationItems":[{"id":"ITEM-1","itemData":{"DOI":"10.3390/s140203362","ISSN":"14248220","abstract":"This article presents a review of the methods used in recognition and analysis of the human gait from three different approaches: image processing, floor sensors and sensors placed on the body. Progress in new technologies has led the development of a series of devices and techniques which allow for objective evaluation, making measurements more efficient and effective and providing specialists with reliable information. Firstly, an introduction of the key gait parameters and semi-subjective methods is presented. Secondly, technologies and studies on the different objective methods are reviewed. Finally, based on the latest research, the characteristics of each method are discussed. 40% of the reviewed articles published in late 2012 and 2013 were related to non-wearable systems, 37.5% presented inertial sensor-based systems, and the remaining 22.5% corresponded to other wearable systems. An increasing number of research works demonstrate that various parameters such as precision, conformability, usability or transportability have indicated that the portable systems based on body sensors are promising methods for gait analysis. © 2014 by the authors; licensee MDPI, Basel, Switzerland.","author":[{"dropping-particle":"","family":"Muro-de-la-Herran","given":"Alvaro","non-dropping-particle":"","parse-names":false,"suffix":""},{"dropping-particle":"","family":"García-Zapirain","given":"Begoña","non-dropping-particle":"","parse-names":false,"suffix":""},{"dropping-particle":"","family":"Méndez-Zorrilla","given":"Amaia","non-dropping-particle":"","parse-names":false,"suffix":""}],"container-title":"Sensors (Switzerland)","id":"ITEM-1","issue":"2","issued":{"date-parts":[["2014"]]},"page":"3362-3394","title":"Gait analysis methods: An overview of wearable and non-wearable systems, highlighting clinical applications","type":"article-journal","volume":"14"},"uris":["http://www.mendeley.com/documents/?uuid=18618efe-30ce-41d9-b887-8c23ed901020"]},{"id":"ITEM-2","itemData":{"DOI":"10.1080/02640414.2018.1545515","ISSN":"1466447X","PMID":"30427263","abstract":"Ground reaction force measurements are a fundamental element of kinetic analyses of locomotion, yet they are traditionally constrained to laboratory settings or stationary frames. This study assessed the validity and reliability of a new wireless in-shoe system (Novel Loadsol/Pedoped) for field-based ground reaction force measurement in hopping, walking, and running. Twenty participants bilaterally hopped on a force plate and walked (5 km/hr) and ran (10 km/hr) on an instrumented treadmill on two separate days while wearing the insoles. GRFs were recorded simultaneously on each respective system. Peak GRF in hopping and peak GRF, contact time (CT), and impulse (IMP) in walking and running were compared on a per-hop and step-by-step basis. In hopping, the insoles demonstrated excellent agreement with the force plate (ICC: 0.96). In walking and running, the insoles demonstrated good-to-excellent agreement with the treadmill across all measures (ICCs: 0.88–0.96) and were reliable across sessions (ICCs within 0.00–0.03). A separate verification study with ten participants was conducted to assess a correction algorithm for further agreement improvement but demonstrated little meaningful change in systemic agreements. These results indicated that the Novel Loadsol system is a valid and reliable tool for wireless ground reaction force measurement in hopping, walking, and running.","author":[{"dropping-particle":"","family":"Burns","given":"Geoffrey T.","non-dropping-particle":"","parse-names":false,"suffix":""},{"dropping-particle":"","family":"Deneweth Zendler","given":"Jessica","non-dropping-particle":"","parse-names":false,"suffix":""},{"dropping-particle":"","family":"Zernicke","given":"Ronald F.","non-dropping-particle":"","parse-names":false,"suffix":""}],"container-title":"Journal of Sports Sciences","id":"ITEM-2","issue":"10","issued":{"date-parts":[["2019"]]},"page":"1129-1138","publisher":"Routledge","title":"Validation of a wireless shoe insole for ground reaction force measurement","type":"article-journal","volume":"37"},"uris":["http://www.mendeley.com/documents/?uuid=58ab92d2-bccd-4a6a-b0c2-d3526cc55d9d"]},{"id":"ITEM-3","itemData":{"author":[{"dropping-particle":"","family":"M.S.","given":"Andersen","non-dropping-particle":"","parse-names":false,"suffix":""},{"dropping-particle":"","family":"M.","given":"Damsgaard","non-dropping-particle":"","parse-names":false,"suffix":""},{"dropping-particle":"","family":"J.","given":"Rasmussen","non-dropping-particle":"","parse-names":false,"suffix":""}],"container-title":"Computer Methods in Biomechanics and Biomedical Engineering","id":"ITEM-3","issue":"4","issued":{"date-parts":[["2009"]]},"page":"371-384","title":"Kinematic analysis of over-determinate biomechanical systems","type":"article-journal","volume":"12"},"uris":["http://www.mendeley.com/documents/?uuid=4421016b-63a7-41fc-a2e0-fccc961f3cd0"]}],"mendeley":{"formattedCitation":"[8, 39, 43]","plainTextFormattedCitation":"[8, 39, 43]","previouslyFormattedCitation":"[7, 38, 42]"},"properties":{"noteIndex":0},"schema":"https://github.com/citation-style-language/schema/raw/master/csl-citation.json"}</w:instrText>
      </w:r>
      <w:r w:rsidRPr="009761C2">
        <w:rPr>
          <w:rFonts w:ascii="Arial" w:eastAsia="Cambria" w:hAnsi="Arial" w:cs="Arial"/>
          <w:color w:val="000000"/>
          <w:szCs w:val="24"/>
        </w:rPr>
        <w:fldChar w:fldCharType="separate"/>
      </w:r>
      <w:r w:rsidRPr="009761C2">
        <w:rPr>
          <w:rFonts w:ascii="Arial" w:eastAsia="Cambria" w:hAnsi="Arial" w:cs="Arial"/>
          <w:noProof/>
          <w:color w:val="000000"/>
          <w:szCs w:val="24"/>
        </w:rPr>
        <w:t>[8, 39, 43]</w:t>
      </w:r>
      <w:r w:rsidRPr="009761C2">
        <w:rPr>
          <w:rFonts w:ascii="Arial" w:eastAsia="Cambria" w:hAnsi="Arial" w:cs="Arial"/>
          <w:color w:val="000000"/>
          <w:szCs w:val="24"/>
        </w:rPr>
        <w:fldChar w:fldCharType="end"/>
      </w:r>
      <w:r w:rsidRPr="009761C2">
        <w:rPr>
          <w:rFonts w:ascii="Arial" w:eastAsia="Cambria" w:hAnsi="Arial" w:cs="Arial"/>
          <w:color w:val="000000"/>
          <w:szCs w:val="24"/>
        </w:rPr>
        <w:t>.</w:t>
      </w:r>
    </w:p>
    <w:p w14:paraId="4D5AD6D9" w14:textId="77777777" w:rsidR="009761C2" w:rsidRPr="009761C2" w:rsidRDefault="009761C2" w:rsidP="009761C2">
      <w:pPr>
        <w:spacing w:before="0" w:after="160" w:line="259" w:lineRule="auto"/>
        <w:rPr>
          <w:rFonts w:ascii="Arial" w:eastAsia="Calibri" w:hAnsi="Arial" w:cs="Arial"/>
          <w:color w:val="000000"/>
        </w:rPr>
      </w:pPr>
      <w:r w:rsidRPr="009761C2">
        <w:rPr>
          <w:rFonts w:ascii="Arial" w:eastAsia="Calibri" w:hAnsi="Arial" w:cs="Arial"/>
          <w:color w:val="000000"/>
        </w:rPr>
        <w:br w:type="page"/>
      </w:r>
    </w:p>
    <w:p w14:paraId="30F11E9F" w14:textId="641C49B4" w:rsidR="009761C2" w:rsidRPr="006F2C9C" w:rsidRDefault="009761C2" w:rsidP="009761C2">
      <w:pPr>
        <w:spacing w:before="100" w:beforeAutospacing="1" w:after="100" w:afterAutospacing="1"/>
        <w:jc w:val="both"/>
        <w:outlineLvl w:val="2"/>
        <w:rPr>
          <w:rFonts w:ascii="Arial" w:eastAsia="Times New Roman" w:hAnsi="Arial" w:cs="Arial"/>
          <w:b/>
          <w:bCs/>
          <w:szCs w:val="24"/>
          <w:lang w:eastAsia="de-DE"/>
        </w:rPr>
      </w:pPr>
      <w:r w:rsidRPr="006F2C9C">
        <w:rPr>
          <w:rFonts w:ascii="Arial" w:eastAsia="Times New Roman" w:hAnsi="Arial" w:cs="Arial"/>
          <w:b/>
          <w:bCs/>
          <w:szCs w:val="24"/>
          <w:lang w:eastAsia="de-DE"/>
        </w:rPr>
        <w:lastRenderedPageBreak/>
        <w:t xml:space="preserve">B: </w:t>
      </w:r>
    </w:p>
    <w:p w14:paraId="2D3080CC" w14:textId="5FE5FDA5" w:rsidR="009761C2" w:rsidRPr="009761C2" w:rsidRDefault="009761C2" w:rsidP="009761C2">
      <w:p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This </w:t>
      </w:r>
      <w:r w:rsidR="00B322F9">
        <w:rPr>
          <w:rFonts w:ascii="Arial" w:eastAsia="Times New Roman" w:hAnsi="Arial" w:cs="Arial"/>
          <w:szCs w:val="24"/>
          <w:lang w:eastAsia="de-DE"/>
        </w:rPr>
        <w:t>part</w:t>
      </w:r>
      <w:r w:rsidRPr="009761C2">
        <w:rPr>
          <w:rFonts w:ascii="Arial" w:eastAsia="Times New Roman" w:hAnsi="Arial" w:cs="Arial"/>
          <w:szCs w:val="24"/>
          <w:lang w:eastAsia="de-DE"/>
        </w:rPr>
        <w:t xml:space="preserve"> outlines the construction and execution of the patient-specific finite element (FE) models used to assess implant stress and interfragmentary strain under varying loading conditions.</w:t>
      </w:r>
    </w:p>
    <w:p w14:paraId="38C9CD14"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B1. Software and Workflow Overview</w:t>
      </w:r>
    </w:p>
    <w:p w14:paraId="30CD503C" w14:textId="77777777" w:rsidR="009761C2" w:rsidRPr="009761C2" w:rsidRDefault="009761C2" w:rsidP="009761C2">
      <w:pPr>
        <w:numPr>
          <w:ilvl w:val="0"/>
          <w:numId w:val="11"/>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All FE models were developed using </w:t>
      </w:r>
      <w:proofErr w:type="spellStart"/>
      <w:r w:rsidRPr="009761C2">
        <w:rPr>
          <w:rFonts w:ascii="Arial" w:eastAsia="Times New Roman" w:hAnsi="Arial" w:cs="Arial"/>
          <w:bCs/>
          <w:szCs w:val="24"/>
          <w:lang w:eastAsia="de-DE"/>
        </w:rPr>
        <w:t>ScanIP</w:t>
      </w:r>
      <w:proofErr w:type="spellEnd"/>
      <w:r w:rsidRPr="009761C2">
        <w:rPr>
          <w:rFonts w:ascii="Arial" w:eastAsia="Times New Roman" w:hAnsi="Arial" w:cs="Arial"/>
          <w:bCs/>
          <w:szCs w:val="24"/>
          <w:lang w:eastAsia="de-DE"/>
        </w:rPr>
        <w:t>™</w:t>
      </w:r>
      <w:r w:rsidRPr="009761C2">
        <w:rPr>
          <w:rFonts w:ascii="Arial" w:eastAsia="Times New Roman" w:hAnsi="Arial" w:cs="Arial"/>
          <w:szCs w:val="24"/>
          <w:lang w:eastAsia="de-DE"/>
        </w:rPr>
        <w:t xml:space="preserve"> (Synopsys) for segmentation and meshing, and simulated in </w:t>
      </w:r>
      <w:r w:rsidRPr="009761C2">
        <w:rPr>
          <w:rFonts w:ascii="Arial" w:eastAsia="Times New Roman" w:hAnsi="Arial" w:cs="Arial"/>
          <w:bCs/>
          <w:szCs w:val="24"/>
          <w:lang w:eastAsia="de-DE"/>
        </w:rPr>
        <w:t>ABAQUS/Standard™</w:t>
      </w:r>
      <w:r w:rsidRPr="009761C2">
        <w:rPr>
          <w:rFonts w:ascii="Arial" w:eastAsia="Times New Roman" w:hAnsi="Arial" w:cs="Arial"/>
          <w:szCs w:val="24"/>
          <w:lang w:eastAsia="de-DE"/>
        </w:rPr>
        <w:t xml:space="preserve"> (Dassault </w:t>
      </w:r>
      <w:proofErr w:type="spellStart"/>
      <w:r w:rsidRPr="009761C2">
        <w:rPr>
          <w:rFonts w:ascii="Arial" w:eastAsia="Times New Roman" w:hAnsi="Arial" w:cs="Arial"/>
          <w:szCs w:val="24"/>
          <w:lang w:eastAsia="de-DE"/>
        </w:rPr>
        <w:t>Systèmes</w:t>
      </w:r>
      <w:proofErr w:type="spellEnd"/>
      <w:r w:rsidRPr="009761C2">
        <w:rPr>
          <w:rFonts w:ascii="Arial" w:eastAsia="Times New Roman" w:hAnsi="Arial" w:cs="Arial"/>
          <w:szCs w:val="24"/>
          <w:lang w:eastAsia="de-DE"/>
        </w:rPr>
        <w:t>).</w:t>
      </w:r>
    </w:p>
    <w:p w14:paraId="4F8BCAB7" w14:textId="77777777" w:rsidR="009761C2" w:rsidRPr="009761C2" w:rsidRDefault="009761C2" w:rsidP="009761C2">
      <w:pPr>
        <w:numPr>
          <w:ilvl w:val="0"/>
          <w:numId w:val="11"/>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Patient-specific models were based on </w:t>
      </w:r>
      <w:r w:rsidRPr="009761C2">
        <w:rPr>
          <w:rFonts w:ascii="Arial" w:eastAsia="Times New Roman" w:hAnsi="Arial" w:cs="Arial"/>
          <w:bCs/>
          <w:szCs w:val="24"/>
          <w:lang w:eastAsia="de-DE"/>
        </w:rPr>
        <w:t>postoperative CT scans</w:t>
      </w:r>
      <w:r w:rsidRPr="009761C2">
        <w:rPr>
          <w:rFonts w:ascii="Arial" w:eastAsia="Times New Roman" w:hAnsi="Arial" w:cs="Arial"/>
          <w:szCs w:val="24"/>
          <w:lang w:eastAsia="de-DE"/>
        </w:rPr>
        <w:t xml:space="preserve">, imported in DICOM format. The scans were performed using a </w:t>
      </w:r>
      <w:r w:rsidRPr="009761C2">
        <w:rPr>
          <w:rFonts w:ascii="Arial" w:eastAsia="Times New Roman" w:hAnsi="Arial" w:cs="Arial"/>
          <w:bCs/>
          <w:szCs w:val="24"/>
          <w:lang w:eastAsia="de-DE"/>
        </w:rPr>
        <w:t>Siemens SOMATOM Definition Edge</w:t>
      </w:r>
      <w:r w:rsidRPr="009761C2">
        <w:rPr>
          <w:rFonts w:ascii="Arial" w:eastAsia="Times New Roman" w:hAnsi="Arial" w:cs="Arial"/>
          <w:szCs w:val="24"/>
          <w:lang w:eastAsia="de-DE"/>
        </w:rPr>
        <w:t xml:space="preserve"> CT scanner with the following parameters:</w:t>
      </w:r>
    </w:p>
    <w:p w14:paraId="40EC9BCF"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Body part examined</w:t>
      </w:r>
      <w:r w:rsidRPr="009761C2">
        <w:rPr>
          <w:rFonts w:ascii="Arial" w:eastAsia="Times New Roman" w:hAnsi="Arial" w:cs="Arial"/>
          <w:szCs w:val="24"/>
          <w:lang w:eastAsia="de-DE"/>
        </w:rPr>
        <w:t>: Extremity</w:t>
      </w:r>
    </w:p>
    <w:p w14:paraId="5022190F"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Slice thickness</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0.75 mm</w:t>
      </w:r>
    </w:p>
    <w:p w14:paraId="47282B84"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Spacing</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0.3125 x 0.3125 x 0.5 mm</w:t>
      </w:r>
    </w:p>
    <w:p w14:paraId="6B1A4356"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Reconstruction diameter</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160 mm</w:t>
      </w:r>
    </w:p>
    <w:p w14:paraId="69963905"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Convolution kernel</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B26s</w:t>
      </w:r>
    </w:p>
    <w:p w14:paraId="43165B8B"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Energy settings (</w:t>
      </w:r>
      <w:proofErr w:type="spellStart"/>
      <w:r w:rsidRPr="009761C2">
        <w:rPr>
          <w:rFonts w:ascii="Arial" w:eastAsia="Times New Roman" w:hAnsi="Arial" w:cs="Arial"/>
          <w:bCs/>
          <w:szCs w:val="24"/>
          <w:lang w:eastAsia="de-DE"/>
        </w:rPr>
        <w:t>kVp</w:t>
      </w:r>
      <w:proofErr w:type="spellEnd"/>
      <w:r w:rsidRPr="009761C2">
        <w:rPr>
          <w:rFonts w:ascii="Arial" w:eastAsia="Times New Roman" w:hAnsi="Arial" w:cs="Arial"/>
          <w:bCs/>
          <w:szCs w:val="24"/>
          <w:lang w:eastAsia="de-DE"/>
        </w:rPr>
        <w:t>)</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 xml:space="preserve">120 </w:t>
      </w:r>
      <w:proofErr w:type="spellStart"/>
      <w:r w:rsidRPr="009761C2">
        <w:rPr>
          <w:rFonts w:ascii="Arial" w:eastAsia="Times New Roman" w:hAnsi="Arial" w:cs="Arial"/>
          <w:bCs/>
          <w:szCs w:val="24"/>
          <w:lang w:eastAsia="de-DE"/>
        </w:rPr>
        <w:t>kVp</w:t>
      </w:r>
      <w:proofErr w:type="spellEnd"/>
    </w:p>
    <w:p w14:paraId="4BC2BE75"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X-ray tube current</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72 mA</w:t>
      </w:r>
    </w:p>
    <w:p w14:paraId="09117BFA"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Exposure time</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 xml:space="preserve">1000 </w:t>
      </w:r>
      <w:proofErr w:type="spellStart"/>
      <w:r w:rsidRPr="009761C2">
        <w:rPr>
          <w:rFonts w:ascii="Arial" w:eastAsia="Times New Roman" w:hAnsi="Arial" w:cs="Arial"/>
          <w:bCs/>
          <w:szCs w:val="24"/>
          <w:lang w:eastAsia="de-DE"/>
        </w:rPr>
        <w:t>ms</w:t>
      </w:r>
      <w:proofErr w:type="spellEnd"/>
    </w:p>
    <w:p w14:paraId="7ECDE7C1"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Distance source to detector</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1085.6 mm</w:t>
      </w:r>
    </w:p>
    <w:p w14:paraId="3C40D152"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Distance source to patient</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595 mm</w:t>
      </w:r>
    </w:p>
    <w:p w14:paraId="1DAB1A85"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Rotation direction</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Clockwise (CW)</w:t>
      </w:r>
    </w:p>
    <w:p w14:paraId="48253117"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Patient position</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Feet first supine (FFS)</w:t>
      </w:r>
    </w:p>
    <w:p w14:paraId="55D911DA"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bCs/>
          <w:szCs w:val="24"/>
          <w:lang w:eastAsia="de-DE"/>
        </w:rPr>
        <w:t>Image resolution</w:t>
      </w:r>
      <w:r w:rsidRPr="009761C2">
        <w:rPr>
          <w:rFonts w:ascii="Arial" w:eastAsia="Times New Roman" w:hAnsi="Arial" w:cs="Arial"/>
          <w:szCs w:val="24"/>
          <w:lang w:eastAsia="de-DE"/>
        </w:rPr>
        <w:t xml:space="preserve">: </w:t>
      </w:r>
      <w:r w:rsidRPr="009761C2">
        <w:rPr>
          <w:rFonts w:ascii="Arial" w:eastAsia="Times New Roman" w:hAnsi="Arial" w:cs="Arial"/>
          <w:bCs/>
          <w:szCs w:val="24"/>
          <w:lang w:eastAsia="de-DE"/>
        </w:rPr>
        <w:t>512 x 512 x 541 voxels</w:t>
      </w:r>
    </w:p>
    <w:p w14:paraId="038EB184" w14:textId="77777777" w:rsidR="009761C2" w:rsidRPr="009761C2" w:rsidRDefault="009761C2" w:rsidP="009761C2">
      <w:pPr>
        <w:numPr>
          <w:ilvl w:val="0"/>
          <w:numId w:val="20"/>
        </w:numPr>
        <w:tabs>
          <w:tab w:val="num" w:pos="1428"/>
        </w:tabs>
        <w:spacing w:before="100" w:beforeAutospacing="1" w:after="100" w:afterAutospacing="1"/>
        <w:ind w:left="1428"/>
        <w:jc w:val="both"/>
        <w:rPr>
          <w:rFonts w:ascii="Arial" w:eastAsia="Times New Roman" w:hAnsi="Arial" w:cs="Arial"/>
          <w:szCs w:val="24"/>
          <w:lang w:eastAsia="de-DE"/>
        </w:rPr>
      </w:pPr>
      <w:r w:rsidRPr="009761C2">
        <w:rPr>
          <w:rFonts w:ascii="Arial" w:eastAsia="Times New Roman" w:hAnsi="Arial" w:cs="Arial"/>
          <w:szCs w:val="24"/>
          <w:lang w:eastAsia="de-DE"/>
        </w:rPr>
        <w:t>Pixel spacing: 0.3125\0.3125</w:t>
      </w:r>
    </w:p>
    <w:p w14:paraId="143CB5DA" w14:textId="77777777" w:rsidR="009761C2" w:rsidRPr="009761C2" w:rsidRDefault="009761C2" w:rsidP="009761C2">
      <w:pPr>
        <w:numPr>
          <w:ilvl w:val="0"/>
          <w:numId w:val="11"/>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The workflow included segmentation, 3D reconstruction, mesh generation, assignment of material properties, and application of boundary conditions and external loads.</w:t>
      </w:r>
    </w:p>
    <w:p w14:paraId="781915B4"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B2. Geometry and Meshing</w:t>
      </w:r>
    </w:p>
    <w:p w14:paraId="75628C5B" w14:textId="77777777" w:rsidR="009761C2" w:rsidRPr="009761C2" w:rsidRDefault="009761C2" w:rsidP="009761C2">
      <w:pPr>
        <w:numPr>
          <w:ilvl w:val="0"/>
          <w:numId w:val="1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Segmentation</w:t>
      </w:r>
      <w:r w:rsidRPr="009761C2">
        <w:rPr>
          <w:rFonts w:ascii="Arial" w:eastAsia="Times New Roman" w:hAnsi="Arial" w:cs="Arial"/>
          <w:szCs w:val="24"/>
          <w:lang w:eastAsia="de-DE"/>
        </w:rPr>
        <w:t xml:space="preserve"> was performed using semi-automatic thresholding and manual refinement in </w:t>
      </w:r>
      <w:proofErr w:type="spellStart"/>
      <w:r w:rsidRPr="009761C2">
        <w:rPr>
          <w:rFonts w:ascii="Arial" w:eastAsia="Times New Roman" w:hAnsi="Arial" w:cs="Arial"/>
          <w:bCs/>
          <w:szCs w:val="24"/>
          <w:lang w:eastAsia="de-DE"/>
        </w:rPr>
        <w:t>ScanIP</w:t>
      </w:r>
      <w:proofErr w:type="spellEnd"/>
      <w:r w:rsidRPr="009761C2">
        <w:rPr>
          <w:rFonts w:ascii="Arial" w:eastAsia="Times New Roman" w:hAnsi="Arial" w:cs="Arial"/>
          <w:bCs/>
          <w:szCs w:val="24"/>
          <w:lang w:eastAsia="de-DE"/>
        </w:rPr>
        <w:t>™</w:t>
      </w:r>
      <w:r w:rsidRPr="009761C2">
        <w:rPr>
          <w:rFonts w:ascii="Arial" w:eastAsia="Times New Roman" w:hAnsi="Arial" w:cs="Arial"/>
          <w:szCs w:val="24"/>
          <w:lang w:eastAsia="de-DE"/>
        </w:rPr>
        <w:t>.</w:t>
      </w:r>
    </w:p>
    <w:p w14:paraId="60AF6389" w14:textId="77777777" w:rsidR="009761C2" w:rsidRPr="009761C2" w:rsidRDefault="009761C2" w:rsidP="009761C2">
      <w:pPr>
        <w:numPr>
          <w:ilvl w:val="0"/>
          <w:numId w:val="1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The tibia, implant (plate and screws), and fracture gap were modeled as separate parts.</w:t>
      </w:r>
    </w:p>
    <w:p w14:paraId="438A6EF0" w14:textId="77777777" w:rsidR="009761C2" w:rsidRPr="009761C2" w:rsidRDefault="009761C2" w:rsidP="009761C2">
      <w:pPr>
        <w:numPr>
          <w:ilvl w:val="0"/>
          <w:numId w:val="1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Mesh type</w:t>
      </w:r>
      <w:r w:rsidRPr="009761C2">
        <w:rPr>
          <w:rFonts w:ascii="Arial" w:eastAsia="Times New Roman" w:hAnsi="Arial" w:cs="Arial"/>
          <w:szCs w:val="24"/>
          <w:lang w:eastAsia="de-DE"/>
        </w:rPr>
        <w:t>: 10-node quadratic tetrahedral elements (C3D10).</w:t>
      </w:r>
    </w:p>
    <w:p w14:paraId="30CEC3CE" w14:textId="77777777" w:rsidR="009761C2" w:rsidRPr="009761C2" w:rsidRDefault="009761C2" w:rsidP="009761C2">
      <w:pPr>
        <w:numPr>
          <w:ilvl w:val="0"/>
          <w:numId w:val="1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Mesh density</w:t>
      </w:r>
      <w:r w:rsidRPr="009761C2">
        <w:rPr>
          <w:rFonts w:ascii="Arial" w:eastAsia="Times New Roman" w:hAnsi="Arial" w:cs="Arial"/>
          <w:szCs w:val="24"/>
          <w:lang w:eastAsia="de-DE"/>
        </w:rPr>
        <w:t xml:space="preserve">: Refined in areas near the fracture site. </w:t>
      </w:r>
    </w:p>
    <w:p w14:paraId="073A8EC8" w14:textId="77777777" w:rsidR="009761C2" w:rsidRPr="009761C2" w:rsidRDefault="009761C2" w:rsidP="009761C2">
      <w:pPr>
        <w:numPr>
          <w:ilvl w:val="1"/>
          <w:numId w:val="12"/>
        </w:numPr>
        <w:contextualSpacing/>
        <w:jc w:val="both"/>
        <w:rPr>
          <w:rFonts w:ascii="Arial" w:eastAsia="Cambria" w:hAnsi="Arial" w:cs="Arial"/>
          <w:color w:val="000000"/>
          <w:szCs w:val="24"/>
        </w:rPr>
      </w:pPr>
      <w:r w:rsidRPr="009761C2">
        <w:rPr>
          <w:rFonts w:ascii="Arial" w:eastAsia="Cambria" w:hAnsi="Arial" w:cs="Arial"/>
          <w:color w:val="000000"/>
          <w:szCs w:val="24"/>
        </w:rPr>
        <w:t>Element volume - Mean: 0.1646 mm³</w:t>
      </w:r>
    </w:p>
    <w:p w14:paraId="6C843312" w14:textId="77777777" w:rsidR="009761C2" w:rsidRPr="009761C2" w:rsidRDefault="009761C2" w:rsidP="009761C2">
      <w:pPr>
        <w:numPr>
          <w:ilvl w:val="1"/>
          <w:numId w:val="12"/>
        </w:numPr>
        <w:contextualSpacing/>
        <w:jc w:val="both"/>
        <w:rPr>
          <w:rFonts w:ascii="Arial" w:eastAsia="Cambria" w:hAnsi="Arial" w:cs="Arial"/>
          <w:color w:val="000000"/>
          <w:szCs w:val="24"/>
          <w:lang w:val="de-DE"/>
        </w:rPr>
      </w:pPr>
      <w:r w:rsidRPr="009761C2">
        <w:rPr>
          <w:rFonts w:ascii="Arial" w:eastAsia="Cambria" w:hAnsi="Arial" w:cs="Arial"/>
          <w:color w:val="000000"/>
          <w:szCs w:val="24"/>
          <w:lang w:val="de-DE"/>
        </w:rPr>
        <w:t xml:space="preserve">Element </w:t>
      </w:r>
      <w:proofErr w:type="spellStart"/>
      <w:r w:rsidRPr="009761C2">
        <w:rPr>
          <w:rFonts w:ascii="Arial" w:eastAsia="Cambria" w:hAnsi="Arial" w:cs="Arial"/>
          <w:color w:val="000000"/>
          <w:szCs w:val="24"/>
          <w:lang w:val="de-DE"/>
        </w:rPr>
        <w:t>volume</w:t>
      </w:r>
      <w:proofErr w:type="spellEnd"/>
      <w:r w:rsidRPr="009761C2">
        <w:rPr>
          <w:rFonts w:ascii="Arial" w:eastAsia="Cambria" w:hAnsi="Arial" w:cs="Arial"/>
          <w:color w:val="000000"/>
          <w:szCs w:val="24"/>
          <w:lang w:val="de-DE"/>
        </w:rPr>
        <w:t xml:space="preserve"> - Min: 2.756e-04 mm³</w:t>
      </w:r>
    </w:p>
    <w:p w14:paraId="26A81E05" w14:textId="77777777" w:rsidR="009761C2" w:rsidRPr="009761C2" w:rsidRDefault="009761C2" w:rsidP="009761C2">
      <w:pPr>
        <w:numPr>
          <w:ilvl w:val="1"/>
          <w:numId w:val="12"/>
        </w:numPr>
        <w:contextualSpacing/>
        <w:jc w:val="both"/>
        <w:rPr>
          <w:rFonts w:ascii="Arial" w:eastAsia="Cambria" w:hAnsi="Arial" w:cs="Arial"/>
          <w:color w:val="000000"/>
          <w:szCs w:val="24"/>
        </w:rPr>
      </w:pPr>
      <w:r w:rsidRPr="009761C2">
        <w:rPr>
          <w:rFonts w:ascii="Arial" w:eastAsia="Cambria" w:hAnsi="Arial" w:cs="Arial"/>
          <w:color w:val="000000"/>
          <w:szCs w:val="24"/>
        </w:rPr>
        <w:t>Element volume - Max: 1.392 mm³</w:t>
      </w:r>
    </w:p>
    <w:p w14:paraId="1A946FA0" w14:textId="77777777" w:rsidR="009761C2" w:rsidRPr="009761C2" w:rsidRDefault="009761C2" w:rsidP="009761C2">
      <w:pPr>
        <w:numPr>
          <w:ilvl w:val="0"/>
          <w:numId w:val="12"/>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Mesh quality assessment</w:t>
      </w:r>
      <w:r w:rsidRPr="009761C2">
        <w:rPr>
          <w:rFonts w:ascii="Arial" w:eastAsia="Times New Roman" w:hAnsi="Arial" w:cs="Arial"/>
          <w:szCs w:val="24"/>
          <w:lang w:eastAsia="de-DE"/>
        </w:rPr>
        <w:t>: Quality inspection (Figure 10), convergence tested by comparing results across three mesh densities (coarse, medium, fine).</w:t>
      </w:r>
    </w:p>
    <w:p w14:paraId="2E274B2E" w14:textId="3FB4C557" w:rsidR="009761C2" w:rsidRPr="009F27FC" w:rsidRDefault="009761C2" w:rsidP="009F27FC">
      <w:pPr>
        <w:keepNext/>
        <w:spacing w:before="100" w:beforeAutospacing="1" w:after="100" w:afterAutospacing="1"/>
        <w:jc w:val="center"/>
        <w:rPr>
          <w:rFonts w:eastAsia="Calibri" w:cs="Times New Roman"/>
        </w:rPr>
      </w:pPr>
      <w:r w:rsidRPr="009761C2">
        <w:rPr>
          <w:rFonts w:ascii="Arial" w:eastAsia="Times New Roman" w:hAnsi="Arial" w:cs="Arial"/>
          <w:noProof/>
          <w:szCs w:val="24"/>
          <w:lang w:eastAsia="de-DE"/>
        </w:rPr>
        <w:lastRenderedPageBreak/>
        <w:drawing>
          <wp:anchor distT="0" distB="0" distL="114300" distR="114300" simplePos="0" relativeHeight="251664384" behindDoc="1" locked="0" layoutInCell="1" allowOverlap="1" wp14:anchorId="1DD68944" wp14:editId="11F8F1AE">
            <wp:simplePos x="0" y="0"/>
            <wp:positionH relativeFrom="margin">
              <wp:align>center</wp:align>
            </wp:positionH>
            <wp:positionV relativeFrom="paragraph">
              <wp:posOffset>1270</wp:posOffset>
            </wp:positionV>
            <wp:extent cx="6208395" cy="3172460"/>
            <wp:effectExtent l="0" t="0" r="1905" b="8890"/>
            <wp:wrapTight wrapText="bothSides">
              <wp:wrapPolygon edited="0">
                <wp:start x="0" y="0"/>
                <wp:lineTo x="0" y="21531"/>
                <wp:lineTo x="21540" y="21531"/>
                <wp:lineTo x="21540" y="0"/>
                <wp:lineTo x="0" y="0"/>
              </wp:wrapPolygon>
            </wp:wrapTight>
            <wp:docPr id="7" name="Picture 2">
              <a:extLst xmlns:a="http://schemas.openxmlformats.org/drawingml/2006/main">
                <a:ext uri="{FF2B5EF4-FFF2-40B4-BE49-F238E27FC236}">
                  <a16:creationId xmlns:a16="http://schemas.microsoft.com/office/drawing/2014/main" id="{872A60D2-AD78-4C2C-860E-D5CBA56C6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2A60D2-AD78-4C2C-860E-D5CBA56C668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213" t="19737" r="15385"/>
                    <a:stretch/>
                  </pic:blipFill>
                  <pic:spPr>
                    <a:xfrm>
                      <a:off x="0" y="0"/>
                      <a:ext cx="6208395" cy="3172460"/>
                    </a:xfrm>
                    <a:prstGeom prst="rect">
                      <a:avLst/>
                    </a:prstGeom>
                  </pic:spPr>
                </pic:pic>
              </a:graphicData>
            </a:graphic>
          </wp:anchor>
        </w:drawing>
      </w:r>
      <w:r w:rsidRPr="009761C2">
        <w:rPr>
          <w:rFonts w:ascii="Arial" w:eastAsia="Calibri" w:hAnsi="Arial" w:cs="Arial"/>
          <w:bCs/>
          <w:szCs w:val="24"/>
        </w:rPr>
        <w:t xml:space="preserve">Figure </w:t>
      </w:r>
      <w:r w:rsidR="00ED28B9" w:rsidRPr="00ED28B9">
        <w:rPr>
          <w:rFonts w:ascii="Arial" w:eastAsia="Calibri" w:hAnsi="Arial" w:cs="Arial"/>
          <w:bCs/>
          <w:szCs w:val="24"/>
        </w:rPr>
        <w:t>S5</w:t>
      </w:r>
      <w:r w:rsidRPr="009761C2">
        <w:rPr>
          <w:rFonts w:ascii="Arial" w:eastAsia="Calibri" w:hAnsi="Arial" w:cs="Arial"/>
          <w:bCs/>
          <w:szCs w:val="24"/>
        </w:rPr>
        <w:t>: Screenshot of the mesh quality.</w:t>
      </w:r>
    </w:p>
    <w:p w14:paraId="347BEE7E" w14:textId="77777777" w:rsidR="009761C2" w:rsidRPr="009761C2" w:rsidRDefault="009761C2" w:rsidP="009761C2">
      <w:pPr>
        <w:spacing w:before="100" w:beforeAutospacing="1" w:after="100" w:afterAutospacing="1"/>
        <w:jc w:val="both"/>
        <w:rPr>
          <w:rFonts w:ascii="Arial" w:eastAsia="Times New Roman" w:hAnsi="Arial" w:cs="Arial"/>
          <w:szCs w:val="24"/>
          <w:lang w:eastAsia="de-DE"/>
        </w:rPr>
      </w:pPr>
    </w:p>
    <w:p w14:paraId="117915E4"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B3. Material Properties</w:t>
      </w:r>
    </w:p>
    <w:p w14:paraId="6D49958E" w14:textId="77777777" w:rsidR="009761C2" w:rsidRPr="009761C2" w:rsidRDefault="009761C2" w:rsidP="009761C2">
      <w:pPr>
        <w:numPr>
          <w:ilvl w:val="0"/>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Bone</w:t>
      </w:r>
      <w:r w:rsidRPr="009761C2">
        <w:rPr>
          <w:rFonts w:ascii="Arial" w:eastAsia="Times New Roman" w:hAnsi="Arial" w:cs="Arial"/>
          <w:szCs w:val="24"/>
          <w:lang w:eastAsia="de-DE"/>
        </w:rPr>
        <w:t xml:space="preserve">: Material properties are assigned based on postoperative CT scans using a density-modulus mapping approach, informed by the results of two review papers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{"citationItems":[{"id":"ITEM-1","itemData":{"DOI":"10.1016/j.clinbiomech.2007.08.024","ISSN":"02680033","PMID":"17931759","abstract":"Background: In many published studies, elastic properties of bone are correlated to the bone density, in order to derive an empirical elasticity-density relationship. The most common use of these relationships is the prediction of the bone local properties from medical imaging data in subject-specific numerical simulation studies. The proposed relationships are substantially different one from the other. It is unclear whether such differences in elasticity-density relationships can be entirely explained in terms of methodological discrepancies among studies. Methods: All relevant literature was reviewed. Only elasticity-density relationships derived from similarly controlled experiments were included and properly normalized. The resulting relationships were grouped according to the most important methodological differences: type of end support during testing, specimen geometry, and anatomical sampling location. Findings: Even after normalization with respect to strain rate and densitometric measurement unit, substantial inter-study differences do exist, and they can only be partially explained by the methodological differences between studies. Interpretation: Some recommendations are made for the application of elasticity-density relationships to subject-specific finite element studies. The importance of defining a standardized mechanical testing methodology for bone specimens is stressed, and some guidelines that emerged from the literature are proposed. To identify density-elasticity relationships suitable for use in subject-specific FE studies, the development of a benchmark study is also proposed, where the elasticity-density relationship is taken as the variable under study, and a numerical model of known numerical accuracy predicts experimental strain measurements. © 2007 Elsevier Ltd. All rights reserved.","author":[{"dropping-particle":"","family":"Helgason","given":"Benedikt","non-dropping-particle":"","parse-names":false,"suffix":""},{"dropping-particle":"","family":"Perilli","given":"Egon","non-dropping-particle":"","parse-names":false,"suffix":""},{"dropping-particle":"","family":"Schileo","given":"Enrico","non-dropping-particle":"","parse-names":false,"suffix":""},{"dropping-particle":"","family":"Taddei","given":"Fulvia","non-dropping-particle":"","parse-names":false,"suffix":""},{"dropping-particle":"","family":"Brynjólfsson","given":"Sigurdur","non-dropping-particle":"","parse-names":false,"suffix":""},{"dropping-particle":"","family":"Viceconti","given":"Marco","non-dropping-particle":"","parse-names":false,"suffix":""}],"container-title":"Clinical Biomechanics","id":"ITEM-1","issue":"2","issued":{"date-parts":[["2008"]]},"page":"135-146","title":"Mathematical relationships between bone density and mechanical properties: A literature review","type":"article-journal","volume":"23"},"uris":["http://www.mendeley.com/documents/?uuid=2781d66c-133d-4dff-9627-0653e4eb3d2c"]},{"id":"ITEM-2","itemData":{"DOI":"10.1186/s40634-016-0072-2","ISSN":"21971153","abstract":"Background: Finite element modeling of human bone provides a powerful tool to evaluate a wide variety of outcomes in a highly repeatable and parametric manner. These models are most often derived from computed tomography data, with mechanical properties related to bone mineral density (BMD) from the x-ray energy attenuation provided from this data. To increase accuracy, many researchers report the use of quantitative computed tomography (QCT), in which a calibration phantom is used during image acquisition to improve the estimation of BMD. Since model accuracy is dependent on the methods used in the calculation of BMD and density-mechanical property relationships, it is important to use relationships developed for the same anatomical location and using the same scanner settings, as these may impact model accuracy. The purpose of this literature review is to report the relationships used in the conversion of QCT equivalent density measures to ash, apparent, and/or tissue densities in recent finite element (FE) studies used in common density-modulus relationships. For studies reporting experimental validation, the validation metrics and results are presented. Results: Of the studies reviewed, 29% reported the use of a dipotassium phosphate (K2HPO4) phantom, 47% a hydroxyapatite (HA) phantom, 13% did not report phantom type, 7% reported use of both K2HPO4 and HA phantoms, and 4% alternate phantom types. Scanner type and/or settings were omitted or partially reported in 31% of studies. The majority of studies used densitometric and/or density-modulus relationships derived from different anatomical locations scanned in different scanners with different scanner settings. The methods used to derive various densitometric relationships are reported and recommendations are provided toward the standardization of reporting metrics. Conclusions: This review assessed the current state of QCT-based FE modeling with use of clinical scanners. It was found that previously developed densitometric relationships vary by anatomical location, scanner type and settings. Reporting of all parameters used when referring to previously developed relationships, or in the development of new relationships, may increase the accuracy and repeatability of future FE models.","author":[{"dropping-particle":"","family":"Knowles","given":"Nikolas K.","non-dropping-particle":"","parse-names":false,"suffix":""},{"dropping-particle":"","family":"Reeves","given":"Jacob M.","non-dropping-particle":"","parse-names":false,"suffix":""},{"dropping-particle":"","family":"Ferreira","given":"Louis M.","non-dropping-particle":"","parse-names":false,"suffix":""}],"container-title":"Journal of Experimental Orthopaedics","id":"ITEM-2","issue":"1","issued":{"date-parts":[["2016"]]},"publisher":"Journal of Experimental Orthopaedics","title":"Quantitative Computed Tomography (QCT) derived Bone Mineral Density (BMD) in finite element studies: a review of the literature","type":"article-journal","volume":"3"},"uris":["http://www.mendeley.com/documents/?uuid=6a8f209f-75c4-45d9-87b8-627450b7e594"]}],"mendeley":{"formattedCitation":"[29, 36]","plainTextFormattedCitation":"[29, 36]","previouslyFormattedCitation":"[28, 35]"},"properties":{"noteIndex":0},"schema":"https://github.com/citation-style-language/schema/raw/master/csl-citation.json"}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[29, 36]</w:t>
      </w:r>
      <w:r w:rsidRPr="009761C2">
        <w:rPr>
          <w:rFonts w:ascii="Arial" w:eastAsia="Times New Roman" w:hAnsi="Arial" w:cs="Arial"/>
          <w:szCs w:val="24"/>
          <w:lang w:eastAsia="de-DE"/>
        </w:rPr>
        <w:fldChar w:fldCharType="end"/>
      </w:r>
      <w:r w:rsidRPr="009761C2">
        <w:rPr>
          <w:rFonts w:ascii="Arial" w:eastAsia="Times New Roman" w:hAnsi="Arial" w:cs="Arial"/>
          <w:szCs w:val="24"/>
          <w:lang w:eastAsia="de-DE"/>
        </w:rPr>
        <w:t>.</w:t>
      </w:r>
    </w:p>
    <w:p w14:paraId="3AFB5E99" w14:textId="77777777" w:rsidR="009761C2" w:rsidRPr="009761C2" w:rsidRDefault="009761C2" w:rsidP="009761C2">
      <w:pPr>
        <w:numPr>
          <w:ilvl w:val="1"/>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 xml:space="preserve">Workflow: </w:t>
      </w:r>
    </w:p>
    <w:p w14:paraId="5868F0B7" w14:textId="77777777" w:rsidR="009761C2" w:rsidRPr="009761C2" w:rsidRDefault="009761C2" w:rsidP="009761C2">
      <w:pPr>
        <w:numPr>
          <w:ilvl w:val="2"/>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Raw CT data is mapped to bone mineral density (BMD) using a six-rod calibration phantom. Histograms of Hounsfield units (HU) values are generated for each rod, and the peaks of these histograms are used as calibration points to define a linear relationship between HU and BMD.</w:t>
      </w:r>
    </w:p>
    <w:p w14:paraId="4CE79437" w14:textId="77777777" w:rsidR="009761C2" w:rsidRPr="009761C2" w:rsidRDefault="009761C2" w:rsidP="009761C2">
      <w:pPr>
        <w:numPr>
          <w:ilvl w:val="2"/>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The BMD values are converted to ash density using literature-based linear relationships for hydroxyapatite phantoms</w:t>
      </w:r>
    </w:p>
    <w:p w14:paraId="6B2DE5DC" w14:textId="77777777" w:rsidR="009761C2" w:rsidRPr="009761C2" w:rsidRDefault="009761C2" w:rsidP="009761C2">
      <w:pPr>
        <w:numPr>
          <w:ilvl w:val="2"/>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Ash density is converted to apparent density </w:t>
      </w:r>
    </w:p>
    <w:p w14:paraId="5AD807A1" w14:textId="77777777" w:rsidR="009761C2" w:rsidRPr="009761C2" w:rsidRDefault="009761C2" w:rsidP="009761C2">
      <w:pPr>
        <w:numPr>
          <w:ilvl w:val="2"/>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Apparent density is used to derive material parameters using tibia-specific relationships.</w:t>
      </w:r>
    </w:p>
    <w:p w14:paraId="2CA99C1B" w14:textId="77777777" w:rsidR="009761C2" w:rsidRPr="009761C2" w:rsidRDefault="009761C2" w:rsidP="009761C2">
      <w:pPr>
        <w:numPr>
          <w:ilvl w:val="1"/>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For the tibia, we use the values from Rho et al</w:t>
      </w:r>
      <w:r w:rsidRPr="009761C2">
        <w:rPr>
          <w:rFonts w:ascii="Arial" w:eastAsia="Times New Roman" w:hAnsi="Arial" w:cs="Arial"/>
          <w:szCs w:val="24"/>
          <w:lang w:eastAsia="de-DE"/>
        </w:rPr>
        <w:t xml:space="preserve">.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{"citationItems":[{"id":"ITEM-1","itemData":{"DOI":"10.1016/1350-4533(95)97314-F","ISSN":"13504533","PMID":"7670694","abstract":"Mechanical properties of cortical and cancellous bone from eight human subjects were determined using an ultrasonic transmission technique. Raw computerized tomography (CT) values obtained from scans of the bones in water were corrected to Hounsfield units. The correlations between CT numbers and mechanical property estimated from cortical bone were found to be low (r2&lt;0.2), while these relationships for cancellous bone were found to be higher (r2&gt;0.6). These results suggest that CT values may be useful in predicting mechanical properties only for cancellous bone. Poor correlations were found between modulus in the radial or circumferential direction and modulus in the superior-inferior direction for cortical bone, whereas good correlations were found between modulus in the anteriorposterior direction or medial-lateral direction and modulus in the S-I direction for cancellous bone. These results indicate that modulus in the radial or circumferential direction could not be predicted from modulus in the S-I direction for cortical bone, but could be predicted for cancellous bone. The predictive capabilities of linear and power models evaluated for cancellous bone alone were approximately equal. However, the power function gives a better fit of data at the low and high density values. The specific relationships, depending on the types of bone, that predict elastic modulus from density and CT numbers were suggested for human cortical and cancellous bone. These specific correlations may help a number of researchers develop more accurate models; however, these hypotheses should be proven by further study. © 1995.","author":[{"dropping-particle":"","family":"Rho","given":"J. Y.","non-dropping-particle":"","parse-names":false,"suffix":""},{"dropping-particle":"","family":"Hobatho","given":"M. C.","non-dropping-particle":"","parse-names":false,"suffix":""},{"dropping-particle":"","family":"Ashman","given":"R. B.","non-dropping-particle":"","parse-names":false,"suffix":""}],"container-title":"Medical Engineering and Physics","id":"ITEM-1","issue":"5","issued":{"date-parts":[["1995"]]},"page":"347-355","title":"Relations of mechanical properties to density and CT numbers in human bone","type":"article-journal","volume":"17"},"uris":["http://www.mendeley.com/documents/?uuid=f0cca200-cdee-4e52-83f6-667585e71175"]}],"mendeley":{"formattedCitation":"[45]","plainTextFormattedCitation":"[45]","previouslyFormattedCitation":"[44]"},"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[45]</w:t>
      </w:r>
      <w:r w:rsidRPr="009761C2">
        <w:rPr>
          <w:rFonts w:ascii="Arial" w:eastAsia="Times New Roman" w:hAnsi="Arial" w:cs="Arial"/>
          <w:szCs w:val="24"/>
          <w:lang w:eastAsia="de-DE"/>
        </w:rPr>
        <w:fldChar w:fldCharType="end"/>
      </w:r>
      <w:r w:rsidRPr="009761C2">
        <w:rPr>
          <w:rFonts w:ascii="Arial" w:eastAsia="Times New Roman" w:hAnsi="Arial" w:cs="Arial"/>
          <w:szCs w:val="24"/>
          <w:lang w:eastAsia="de-DE"/>
        </w:rPr>
        <w:t xml:space="preserve"> and Edwards et al.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{"citationItems":[{"id":"ITEM-1","itemData":{"DOI":"10.1016/j.jbiomech.2013.04.016","ISSN":"00219290","PMID":"23680350","abstract":"Individuals with spinal cord injury experience a rapid loss of bone mineral below the neurological lesion. The clinical consequence of this bone loss is a high rate of fracture around regions of the knee. The ability to predict the mechanical competence of bones at this location may serve as an important clinical tool to assess fracture risk in the spinal cord injury population. The purpose of this study was to develop, and statistically compare, non-invasive methods to predict torsional stiffness (K) and strength (Tult) of the proximal tibia. Twenty-two human tibiae were assigned to either a \"training set\" or a \"test set\" (11 specimens each) and mechanically loaded to failure. The training set was used to develop subject-specific finite element (FE) models, and statistical models based on dual energy x-ray absorptiometry (DXA) and quantitative computed tomography (QCT), to predict K and Tult; the test set was used for cross-validation. Mechanical testing produced clinically relevant spiral fractures in all specimens. All methods were accurate and reliable predictors of K (cross-validation r2≥0.91; error≤13%), however FE models explained an additional 15% of the variance in measured Tult and illustrated 12-16% less error than DXA and QCT models. Given the strong correlations between measured and FE predicted K (cross-validation r2=0.95; error=10%) and Tult (cross-validation r2=0.91; error=9%), we believe the FE modeling procedure has reached a level of accuracy necessary to answer clinically relevant questions. © 2013 Elsevier Ltd.","author":[{"dropping-particle":"","family":"Edwards","given":"W. Brent","non-dropping-particle":"","parse-names":false,"suffix":""},{"dropping-particle":"","family":"Schnitzer","given":"Thomas J.","non-dropping-particle":"","parse-names":false,"suffix":""},{"dropping-particle":"","family":"Troy","given":"Karen L.","non-dropping-particle":"","parse-names":false,"suffix":""}],"container-title":"Journal of Biomechanics","id":"ITEM-1","issue":"10","issued":{"date-parts":[["2013"]]},"page":"1655-1662","publisher":"Elsevier","title":"Torsional stiffness and strength of the proximal tibia are better predicted by finite element models than DXA or QCT","type":"article-journal","volume":"46"},"uris":["http://www.mendeley.com/documents/?uuid=9fa61b3c-cc8b-4fe2-a7b6-b66333ddcaa9"]}],"mendeley":{"formattedCitation":"[23]","plainTextFormattedCitation":"[23]","previouslyFormattedCitation":"[22]"},"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[23]</w:t>
      </w:r>
      <w:r w:rsidRPr="009761C2">
        <w:rPr>
          <w:rFonts w:ascii="Arial" w:eastAsia="Times New Roman" w:hAnsi="Arial" w:cs="Arial"/>
          <w:szCs w:val="24"/>
          <w:lang w:eastAsia="de-DE"/>
        </w:rPr>
        <w:fldChar w:fldCharType="end"/>
      </w:r>
    </w:p>
    <w:p w14:paraId="01D691E0" w14:textId="77777777" w:rsidR="009761C2" w:rsidRPr="009761C2" w:rsidRDefault="009761C2" w:rsidP="009761C2">
      <w:pPr>
        <w:numPr>
          <w:ilvl w:val="1"/>
          <w:numId w:val="13"/>
        </w:numPr>
        <w:spacing w:before="100" w:beforeAutospacing="1" w:after="100" w:afterAutospacing="1"/>
        <w:contextualSpacing/>
        <w:jc w:val="both"/>
        <w:rPr>
          <w:rFonts w:ascii="Arial" w:eastAsia="Times New Roman" w:hAnsi="Arial" w:cs="Arial"/>
          <w:szCs w:val="24"/>
          <w:lang w:eastAsia="de-DE"/>
        </w:rPr>
      </w:pPr>
      <w:r w:rsidRPr="009761C2">
        <w:rPr>
          <w:rFonts w:ascii="Arial" w:eastAsia="Times New Roman" w:hAnsi="Arial" w:cs="Arial"/>
          <w:szCs w:val="24"/>
          <w:lang w:eastAsia="de-DE"/>
        </w:rPr>
        <w:t>Poisson’s ratio set to 0.3.</w:t>
      </w:r>
    </w:p>
    <w:p w14:paraId="1FA6FE97" w14:textId="77777777" w:rsidR="009761C2" w:rsidRPr="009761C2" w:rsidRDefault="009761C2" w:rsidP="009761C2">
      <w:pPr>
        <w:numPr>
          <w:ilvl w:val="0"/>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Implant (Ti-6Al-4V)</w:t>
      </w:r>
      <w:r w:rsidRPr="009761C2">
        <w:rPr>
          <w:rFonts w:ascii="Arial" w:eastAsia="Times New Roman" w:hAnsi="Arial" w:cs="Arial"/>
          <w:szCs w:val="24"/>
          <w:lang w:eastAsia="de-DE"/>
        </w:rPr>
        <w:t xml:space="preserve">: E = 110 </w:t>
      </w:r>
      <w:proofErr w:type="spellStart"/>
      <w:r w:rsidRPr="009761C2">
        <w:rPr>
          <w:rFonts w:ascii="Arial" w:eastAsia="Times New Roman" w:hAnsi="Arial" w:cs="Arial"/>
          <w:szCs w:val="24"/>
          <w:lang w:eastAsia="de-DE"/>
        </w:rPr>
        <w:t>GPa</w:t>
      </w:r>
      <w:proofErr w:type="spellEnd"/>
      <w:r w:rsidRPr="009761C2">
        <w:rPr>
          <w:rFonts w:ascii="Arial" w:eastAsia="Times New Roman" w:hAnsi="Arial" w:cs="Arial"/>
          <w:szCs w:val="24"/>
          <w:lang w:eastAsia="de-DE"/>
        </w:rPr>
        <w:t xml:space="preserve">, ν = 0.3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{"citationItems":[{"id":"ITEM-1","itemData":{"author":[{"dropping-particle":"","family":"Imam, M.A., Fraker","given":"A.C.","non-dropping-particle":"","parse-names":false,"suffix":""}],"container-title":"Material Science","id":"ITEM-1","issued":{"date-parts":[["1996"]]},"page":"3-16","title":"Titanium Alloys as Implant Materials","type":"article-journal"},"uris":["http://www.mendeley.com/documents/?uuid=4909200c-e0e0-4717-a702-62395454e30b"]}],"mendeley":{"formattedCitation":"[33]","plainTextFormattedCitation":"[33]","previouslyFormattedCitation":"[32]"},"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[33]</w:t>
      </w:r>
      <w:r w:rsidRPr="009761C2">
        <w:rPr>
          <w:rFonts w:ascii="Arial" w:eastAsia="Times New Roman" w:hAnsi="Arial" w:cs="Arial"/>
          <w:szCs w:val="24"/>
          <w:lang w:eastAsia="de-DE"/>
        </w:rPr>
        <w:fldChar w:fldCharType="end"/>
      </w:r>
    </w:p>
    <w:p w14:paraId="6481B3E2" w14:textId="6BA63C67" w:rsidR="009761C2" w:rsidRDefault="009761C2" w:rsidP="009761C2">
      <w:pPr>
        <w:numPr>
          <w:ilvl w:val="0"/>
          <w:numId w:val="13"/>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Fracture gap (soft callus)</w:t>
      </w:r>
      <w:r w:rsidRPr="009761C2">
        <w:rPr>
          <w:rFonts w:ascii="Arial" w:eastAsia="Times New Roman" w:hAnsi="Arial" w:cs="Arial"/>
          <w:szCs w:val="24"/>
          <w:lang w:eastAsia="de-DE"/>
        </w:rPr>
        <w:t xml:space="preserve">: E = 0.3 MPa, ν = 0.3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{"citationItems":[{"id":"ITEM-1","itemData":{"DOI":"10.1016/S0021-9290(98)00153-5","ISSN":"00219290","PMID":"10093025","abstract":"A new quantitative tissue differentiation theory which relates the local tissue formation in a fracture gap to the local stress and strain is presented. Our hypothesis proposes that the amounts of strain and hydrostatic pressure along existing calcified surfaces in the fracture callus determine the differentiation of the callus tissue. The study compares the local strains and stresses in the callus as calculated from a finite element model with histological findings from an animal fracture model. The hypothesis predicts intramembranous bone formation for strains smaller approximately ±5% and hydrostatic pressures smaller than ±0.15 MPa. Endochondral ossification is associated with compressive pressures larger than about - 0.15 MPa and strains smaller than ± 15%. All other conditions seemed to lead to connective tissue or fibrous cartilage. The hypothesis enables a better understanding of the complex tissue differentiation seen in histological images and the mechanical conditions for healing delayed healing or nonunions.","author":[{"dropping-particle":"","family":"Claes","given":"L. E.","non-dropping-particle":"","parse-names":false,"suffix":""},{"dropping-particle":"","family":"Heigele","given":"C. A.","non-dropping-particle":"","parse-names":false,"suffix":""}],"container-title":"Journal of Biomechanics","id":"ITEM-1","issue":"3","issued":{"date-parts":[["1999"]]},"page":"255-266","title":"Magnitudes of local stress and strain along bony surfaces predict the course and type of fracture healing","type":"article-journal","volume":"32"},"uris":["http://www.mendeley.com/documents/?uuid=3ebb49fe-4dcc-451d-ac16-ba3b1e61c20c"]}],"mendeley":{"formattedCitation":"[14]","plainTextFormattedCitation":"[14]","previouslyFormattedCitation":"[13]"},"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[14]</w:t>
      </w:r>
      <w:r w:rsidRPr="009761C2">
        <w:rPr>
          <w:rFonts w:ascii="Arial" w:eastAsia="Times New Roman" w:hAnsi="Arial" w:cs="Arial"/>
          <w:szCs w:val="24"/>
          <w:lang w:eastAsia="de-DE"/>
        </w:rPr>
        <w:fldChar w:fldCharType="end"/>
      </w:r>
    </w:p>
    <w:p w14:paraId="63681B8D" w14:textId="6D47D852" w:rsidR="00197FE9" w:rsidRDefault="00197FE9" w:rsidP="00197FE9">
      <w:pPr>
        <w:spacing w:before="100" w:beforeAutospacing="1" w:after="100" w:afterAutospacing="1"/>
        <w:jc w:val="both"/>
        <w:rPr>
          <w:rFonts w:ascii="Arial" w:eastAsia="Times New Roman" w:hAnsi="Arial" w:cs="Arial"/>
          <w:szCs w:val="24"/>
          <w:lang w:eastAsia="de-DE"/>
        </w:rPr>
      </w:pPr>
    </w:p>
    <w:p w14:paraId="7842C67C" w14:textId="6B748968" w:rsidR="00197FE9" w:rsidRDefault="00197FE9" w:rsidP="00197FE9">
      <w:pPr>
        <w:spacing w:before="100" w:beforeAutospacing="1" w:after="100" w:afterAutospacing="1"/>
        <w:jc w:val="both"/>
        <w:rPr>
          <w:rFonts w:ascii="Arial" w:eastAsia="Times New Roman" w:hAnsi="Arial" w:cs="Arial"/>
          <w:szCs w:val="24"/>
          <w:lang w:eastAsia="de-DE"/>
        </w:rPr>
      </w:pPr>
    </w:p>
    <w:p w14:paraId="70C84879" w14:textId="77777777" w:rsidR="00197FE9" w:rsidRPr="009761C2" w:rsidRDefault="00197FE9" w:rsidP="00197FE9">
      <w:pPr>
        <w:spacing w:before="100" w:beforeAutospacing="1" w:after="100" w:afterAutospacing="1"/>
        <w:jc w:val="both"/>
        <w:rPr>
          <w:rFonts w:ascii="Arial" w:eastAsia="Times New Roman" w:hAnsi="Arial" w:cs="Arial"/>
          <w:szCs w:val="24"/>
          <w:lang w:eastAsia="de-DE"/>
        </w:rPr>
      </w:pPr>
    </w:p>
    <w:p w14:paraId="5EDECB74"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lastRenderedPageBreak/>
        <w:t>B4. Boundary Conditions and Load Application</w:t>
      </w:r>
    </w:p>
    <w:p w14:paraId="242FFFA1" w14:textId="77777777" w:rsidR="009761C2" w:rsidRPr="009761C2" w:rsidRDefault="009761C2" w:rsidP="009761C2">
      <w:pPr>
        <w:numPr>
          <w:ilvl w:val="0"/>
          <w:numId w:val="14"/>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Distal node set</w:t>
      </w:r>
      <w:r w:rsidRPr="009761C2">
        <w:rPr>
          <w:rFonts w:ascii="Arial" w:eastAsia="Times New Roman" w:hAnsi="Arial" w:cs="Arial"/>
          <w:szCs w:val="24"/>
          <w:lang w:eastAsia="de-DE"/>
        </w:rPr>
        <w:t>: Fixed in all translational degrees of freedom.</w:t>
      </w:r>
    </w:p>
    <w:p w14:paraId="606E78D6" w14:textId="33D567CF" w:rsidR="009761C2" w:rsidRPr="009761C2" w:rsidRDefault="009761C2" w:rsidP="009761C2">
      <w:pPr>
        <w:numPr>
          <w:ilvl w:val="0"/>
          <w:numId w:val="14"/>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Proximal node set</w:t>
      </w:r>
      <w:r w:rsidRPr="009761C2">
        <w:rPr>
          <w:rFonts w:ascii="Arial" w:eastAsia="Times New Roman" w:hAnsi="Arial" w:cs="Arial"/>
          <w:szCs w:val="24"/>
          <w:lang w:eastAsia="de-DE"/>
        </w:rPr>
        <w:t xml:space="preserve">: Knee joint forces from </w:t>
      </w:r>
      <w:proofErr w:type="spellStart"/>
      <w:r w:rsidRPr="009761C2">
        <w:rPr>
          <w:rFonts w:ascii="Arial" w:eastAsia="Times New Roman" w:hAnsi="Arial" w:cs="Arial"/>
          <w:szCs w:val="24"/>
          <w:lang w:eastAsia="de-DE"/>
        </w:rPr>
        <w:t>AnyBody</w:t>
      </w:r>
      <w:proofErr w:type="spellEnd"/>
      <w:r w:rsidRPr="009761C2">
        <w:rPr>
          <w:rFonts w:ascii="Arial" w:eastAsia="Times New Roman" w:hAnsi="Arial" w:cs="Arial"/>
          <w:szCs w:val="24"/>
          <w:lang w:eastAsia="de-DE"/>
        </w:rPr>
        <w:t>™ simulations were applied as time-independent vectors for each loading condition (20 kg, 50% body weight, full weight-bearing)</w:t>
      </w:r>
      <w:r w:rsidR="009F27FC">
        <w:rPr>
          <w:rFonts w:ascii="Arial" w:eastAsia="Times New Roman" w:hAnsi="Arial" w:cs="Arial"/>
          <w:szCs w:val="24"/>
          <w:lang w:eastAsia="de-DE"/>
        </w:rPr>
        <w:t>,</w:t>
      </w:r>
      <w:r w:rsidRPr="009761C2">
        <w:rPr>
          <w:rFonts w:ascii="Arial" w:eastAsia="Times New Roman" w:hAnsi="Arial" w:cs="Arial"/>
          <w:szCs w:val="24"/>
          <w:lang w:eastAsia="de-DE"/>
        </w:rPr>
        <w:t xml:space="preserve"> scaled to the body weight (Figure 11).</w:t>
      </w:r>
    </w:p>
    <w:p w14:paraId="091E902C" w14:textId="77777777" w:rsidR="009761C2" w:rsidRPr="009761C2" w:rsidRDefault="009761C2" w:rsidP="009761C2">
      <w:pPr>
        <w:numPr>
          <w:ilvl w:val="0"/>
          <w:numId w:val="14"/>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Forces applied at the tibial plateau, considering magnitude and direction relative to anatomical axes.</w:t>
      </w:r>
    </w:p>
    <w:p w14:paraId="748DA712"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B5. Solver Settings</w:t>
      </w:r>
    </w:p>
    <w:p w14:paraId="794F5B7E" w14:textId="77777777" w:rsidR="009761C2" w:rsidRPr="009761C2" w:rsidRDefault="009761C2" w:rsidP="009761C2">
      <w:pPr>
        <w:numPr>
          <w:ilvl w:val="0"/>
          <w:numId w:val="16"/>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Simulations performed using </w:t>
      </w:r>
      <w:r w:rsidRPr="009761C2">
        <w:rPr>
          <w:rFonts w:ascii="Arial" w:eastAsia="Times New Roman" w:hAnsi="Arial" w:cs="Arial"/>
          <w:bCs/>
          <w:szCs w:val="24"/>
          <w:lang w:eastAsia="de-DE"/>
        </w:rPr>
        <w:t>ABAQUS/Standard™ (implicit)</w:t>
      </w:r>
      <w:r w:rsidRPr="009761C2">
        <w:rPr>
          <w:rFonts w:ascii="Arial" w:eastAsia="Times New Roman" w:hAnsi="Arial" w:cs="Arial"/>
          <w:szCs w:val="24"/>
          <w:lang w:eastAsia="de-DE"/>
        </w:rPr>
        <w:t xml:space="preserve"> solver.</w:t>
      </w:r>
    </w:p>
    <w:p w14:paraId="7475D7A6" w14:textId="77777777" w:rsidR="009761C2" w:rsidRPr="009761C2" w:rsidRDefault="009761C2" w:rsidP="009761C2">
      <w:pPr>
        <w:numPr>
          <w:ilvl w:val="0"/>
          <w:numId w:val="16"/>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Nonlinear static analysis with automatic time incrementation.</w:t>
      </w:r>
    </w:p>
    <w:p w14:paraId="67DEE447" w14:textId="77777777" w:rsidR="009761C2" w:rsidRPr="009761C2" w:rsidRDefault="009761C2" w:rsidP="009761C2">
      <w:pPr>
        <w:numPr>
          <w:ilvl w:val="0"/>
          <w:numId w:val="16"/>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
          <w:bCs/>
          <w:szCs w:val="24"/>
          <w:lang w:eastAsia="de-DE"/>
        </w:rPr>
        <w:t>Convergence tolerance</w:t>
      </w:r>
      <w:r w:rsidRPr="009761C2">
        <w:rPr>
          <w:rFonts w:ascii="Arial" w:eastAsia="Times New Roman" w:hAnsi="Arial" w:cs="Arial"/>
          <w:szCs w:val="24"/>
          <w:lang w:eastAsia="de-DE"/>
        </w:rPr>
        <w:t>: Force residuals &lt; 1% of applied load.</w:t>
      </w:r>
    </w:p>
    <w:p w14:paraId="6CE86410" w14:textId="77777777" w:rsidR="009761C2" w:rsidRPr="009761C2" w:rsidRDefault="009761C2" w:rsidP="009761C2">
      <w:pPr>
        <w:numPr>
          <w:ilvl w:val="0"/>
          <w:numId w:val="16"/>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Newton–Raphson method with line search used for nonlinear solution.</w:t>
      </w:r>
    </w:p>
    <w:p w14:paraId="2A53A5B6"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B6. Output Variables</w:t>
      </w:r>
    </w:p>
    <w:p w14:paraId="6609002C" w14:textId="77777777" w:rsidR="009761C2" w:rsidRPr="009761C2" w:rsidRDefault="009761C2" w:rsidP="009761C2">
      <w:pPr>
        <w:numPr>
          <w:ilvl w:val="0"/>
          <w:numId w:val="17"/>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Peak von Mises stress</w:t>
      </w:r>
      <w:r w:rsidRPr="009761C2">
        <w:rPr>
          <w:rFonts w:ascii="Arial" w:eastAsia="Times New Roman" w:hAnsi="Arial" w:cs="Arial"/>
          <w:szCs w:val="24"/>
          <w:lang w:eastAsia="de-DE"/>
        </w:rPr>
        <w:t xml:space="preserve"> in the plate</w:t>
      </w:r>
    </w:p>
    <w:p w14:paraId="025875A6" w14:textId="77777777" w:rsidR="009761C2" w:rsidRPr="009761C2" w:rsidRDefault="009761C2" w:rsidP="009761C2">
      <w:pPr>
        <w:numPr>
          <w:ilvl w:val="0"/>
          <w:numId w:val="17"/>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Interfragmentary strain-state of fracture/callus</w:t>
      </w:r>
      <w:r w:rsidRPr="009761C2">
        <w:rPr>
          <w:rFonts w:ascii="Arial" w:eastAsia="Times New Roman" w:hAnsi="Arial" w:cs="Arial"/>
          <w:szCs w:val="24"/>
          <w:lang w:eastAsia="de-DE"/>
        </w:rPr>
        <w:t xml:space="preserve"> </w:t>
      </w:r>
    </w:p>
    <w:p w14:paraId="16A616BB" w14:textId="77777777" w:rsidR="009761C2" w:rsidRPr="009761C2" w:rsidRDefault="009761C2" w:rsidP="009761C2">
      <w:pPr>
        <w:spacing w:before="100" w:beforeAutospacing="1" w:after="100" w:afterAutospacing="1"/>
        <w:jc w:val="both"/>
        <w:outlineLvl w:val="3"/>
        <w:rPr>
          <w:rFonts w:ascii="Arial" w:eastAsia="Times New Roman" w:hAnsi="Arial" w:cs="Arial"/>
          <w:b/>
          <w:bCs/>
          <w:szCs w:val="24"/>
          <w:lang w:eastAsia="de-DE"/>
        </w:rPr>
      </w:pPr>
      <w:r w:rsidRPr="009761C2">
        <w:rPr>
          <w:rFonts w:ascii="Arial" w:eastAsia="Times New Roman" w:hAnsi="Arial" w:cs="Arial"/>
          <w:b/>
          <w:bCs/>
          <w:szCs w:val="24"/>
          <w:lang w:eastAsia="de-DE"/>
        </w:rPr>
        <w:t>B7. Model Validation</w:t>
      </w:r>
    </w:p>
    <w:p w14:paraId="7CC2CAF7" w14:textId="77777777" w:rsidR="009761C2" w:rsidRPr="009761C2" w:rsidRDefault="009761C2" w:rsidP="009761C2">
      <w:pPr>
        <w:numPr>
          <w:ilvl w:val="0"/>
          <w:numId w:val="18"/>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Cross-checked against prior biomechanical literature</w:t>
      </w:r>
    </w:p>
    <w:p w14:paraId="57F15E10" w14:textId="77777777" w:rsidR="009761C2" w:rsidRPr="009761C2" w:rsidRDefault="009761C2" w:rsidP="009761C2">
      <w:pPr>
        <w:numPr>
          <w:ilvl w:val="0"/>
          <w:numId w:val="18"/>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Validation was conducted through </w:t>
      </w:r>
      <w:r w:rsidRPr="009761C2">
        <w:rPr>
          <w:rFonts w:ascii="Arial" w:eastAsia="Times New Roman" w:hAnsi="Arial" w:cs="Arial"/>
          <w:bCs/>
          <w:szCs w:val="24"/>
          <w:lang w:eastAsia="de-DE"/>
        </w:rPr>
        <w:t>comparison with clinical outcomes</w:t>
      </w:r>
      <w:r w:rsidRPr="009761C2">
        <w:rPr>
          <w:rFonts w:ascii="Arial" w:eastAsia="Times New Roman" w:hAnsi="Arial" w:cs="Arial"/>
          <w:szCs w:val="24"/>
          <w:lang w:eastAsia="de-DE"/>
        </w:rPr>
        <w:t xml:space="preserve">: </w:t>
      </w:r>
    </w:p>
    <w:p w14:paraId="61B28139" w14:textId="77777777" w:rsidR="009761C2" w:rsidRPr="009761C2" w:rsidRDefault="009761C2" w:rsidP="009761C2">
      <w:pPr>
        <w:numPr>
          <w:ilvl w:val="1"/>
          <w:numId w:val="18"/>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The </w:t>
      </w:r>
      <w:r w:rsidRPr="009761C2">
        <w:rPr>
          <w:rFonts w:ascii="Arial" w:eastAsia="Times New Roman" w:hAnsi="Arial" w:cs="Arial"/>
          <w:bCs/>
          <w:szCs w:val="24"/>
          <w:lang w:eastAsia="de-DE"/>
        </w:rPr>
        <w:t>simulated fracture mechanics aligned with actual patient outcomes</w:t>
      </w:r>
      <w:r w:rsidRPr="009761C2">
        <w:rPr>
          <w:rFonts w:ascii="Arial" w:eastAsia="Times New Roman" w:hAnsi="Arial" w:cs="Arial"/>
          <w:szCs w:val="24"/>
          <w:lang w:eastAsia="de-DE"/>
        </w:rPr>
        <w:t>, as shown by postoperative radiographic healing.</w:t>
      </w:r>
    </w:p>
    <w:p w14:paraId="181459C0" w14:textId="77777777" w:rsidR="009761C2" w:rsidRPr="009761C2" w:rsidRDefault="009761C2" w:rsidP="009761C2">
      <w:pPr>
        <w:numPr>
          <w:ilvl w:val="1"/>
          <w:numId w:val="18"/>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bCs/>
          <w:szCs w:val="24"/>
          <w:lang w:eastAsia="de-DE"/>
        </w:rPr>
        <w:t>Case 2 demonstrated screw loosening</w:t>
      </w:r>
      <w:r w:rsidRPr="009761C2">
        <w:rPr>
          <w:rFonts w:ascii="Arial" w:eastAsia="Times New Roman" w:hAnsi="Arial" w:cs="Arial"/>
          <w:szCs w:val="24"/>
          <w:lang w:eastAsia="de-DE"/>
        </w:rPr>
        <w:t>, which was predicted by the simulation due to high local stress values, reinforcing the model’s predictive capability.</w:t>
      </w:r>
    </w:p>
    <w:p w14:paraId="5FC3DFC2" w14:textId="77777777" w:rsidR="009761C2" w:rsidRPr="009761C2" w:rsidRDefault="009761C2" w:rsidP="009761C2">
      <w:pPr>
        <w:numPr>
          <w:ilvl w:val="0"/>
          <w:numId w:val="18"/>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Experiments on human cadaveric specimens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{"citationItems":[{"id":"ITEM-1","itemData":{"DOI":"10.3389/fbioe.2024.1370837","ISSN":"22964185","abstract":" Introduction: The management of fractured bones is a key domain within orthopedic trauma surgery, with the prevention of delayed healing and non-unions forming a core challenge. This study evaluates the efficacy of the AO Fracture Monitor in conjunction with biomechanical simulations to better understand the local mechanics of fracture gaps, which is crucial for comprehending mechanotransduction, a key factor in bone healing. Through a series of experiments and corresponding simulations, the study tests four hypotheses to determine the relationship between physical measurements and the predictive power of biomechanical models.  Methods: Employing the AO Fracture Monitor and Digital Image Correlation techniques, the study demonstrates a significant correlation between the surface strain of implants and interfragmentary movements. This provides a foundation for utilizing one-dimensional AO Fracture Monitor measurements to predict three-dimensional fracture behavior, thereby linking mechanical loading with fracture gap dynamics. Moreover, the research establishes that finite element simulations of bone-implant systems can be effectively validated using experimental data, underpinning the accuracy of simulations in replicating physical behaviors.  Results and Discussion: The findings endorse the combined use of monitoring technologies and simulations to infer the local mechanical conditions at the fracture site, offering a potential leap in personalized therapy for bone healing. Clinically, this approach can enhance treatment outcomes by refining the assessment precision in trauma trials, fostering the early detection of healing disturbances, and guiding improvements in future implant design. Ultimately, this study paves the way for more sophisticated patient monitoring and tailored interventions, promising to elevate the standard of care in orthopedic trauma surgery. ","author":[{"dropping-particle":"","family":"Wickert","given":"Kerstin","non-dropping-particle":"","parse-names":false,"suffix":""},{"dropping-particle":"","family":"Roland","given":"Michael","non-dropping-particle":"","parse-names":false,"suffix":""},{"dropping-particle":"","family":"Andres","given":"Annchristin","non-dropping-particle":"","parse-names":false,"suffix":""},{"dropping-particle":"","family":"Diebels","given":"Stefan","non-dropping-particle":"","parse-names":false,"suffix":""},{"dropping-particle":"","family":"Ganse","given":"Bergita","non-dropping-particle":"","parse-names":false,"suffix":""},{"dropping-particle":"","family":"Kerner","given":"Dorothea","non-dropping-particle":"","parse-names":false,"suffix":""},{"dropping-particle":"","family":"Frenzel","given":"Felix","non-dropping-particle":"","parse-names":false,"suffix":""},{"dropping-particle":"","family":"Tschernig","given":"Thomas","non-dropping-particle":"","parse-names":false,"suffix":""},{"dropping-particle":"","family":"Ernst","given":"Manuela","non-dropping-particle":"","parse-names":false,"suffix":""},{"dropping-particle":"","family":"Windolf","given":"Markus","non-dropping-particle":"","parse-names":false,"suffix":""},{"dropping-particle":"","family":"Müller","given":"Max","non-dropping-particle":"","parse-names":false,"suffix":""},{"dropping-particle":"","family":"Pohlemann","given":"Tim","non-dropping-particle":"","parse-names":false,"suffix":""},{"dropping-particle":"","family":"Orth","given":"Marcel","non-dropping-particle":"","parse-names":false,"suffix":""}],"container-title":"Frontiers in Bioengineering and Biotechnology","id":"ITEM-1","issue":"March","issued":{"date-parts":[["2024"]]},"page":"1-20","title":"Experimental and virtual testing of bone-implant systems equipped with the AO Fracture Monitor with regard to interfragmentary movement","type":"article-journal","volume":"12"},"uris":["http://www.mendeley.com/documents/?uuid=2aee9671-51de-4fc2-84d9-2f9580014165"]}],"mendeley":{"formattedCitation":"[54]","plainTextFormattedCitation":"[54]","previouslyFormattedCitation":"[53]"},"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[54]</w:t>
      </w:r>
      <w:r w:rsidRPr="009761C2">
        <w:rPr>
          <w:rFonts w:ascii="Arial" w:eastAsia="Times New Roman" w:hAnsi="Arial" w:cs="Arial"/>
          <w:szCs w:val="24"/>
          <w:lang w:eastAsia="de-DE"/>
        </w:rPr>
        <w:fldChar w:fldCharType="end"/>
      </w:r>
    </w:p>
    <w:p w14:paraId="786BFA7A" w14:textId="77777777" w:rsidR="009761C2" w:rsidRPr="009761C2" w:rsidRDefault="009761C2" w:rsidP="009761C2">
      <w:pPr>
        <w:numPr>
          <w:ilvl w:val="0"/>
          <w:numId w:val="18"/>
        </w:numPr>
        <w:spacing w:before="100" w:beforeAutospacing="1" w:after="100" w:afterAutospacing="1"/>
        <w:jc w:val="both"/>
        <w:rPr>
          <w:rFonts w:ascii="Arial" w:eastAsia="Times New Roman" w:hAnsi="Arial" w:cs="Arial"/>
          <w:szCs w:val="24"/>
          <w:lang w:eastAsia="de-DE"/>
        </w:rPr>
      </w:pPr>
      <w:r w:rsidRPr="009761C2">
        <w:rPr>
          <w:rFonts w:ascii="Arial" w:eastAsia="Times New Roman" w:hAnsi="Arial" w:cs="Arial"/>
          <w:szCs w:val="24"/>
          <w:lang w:eastAsia="de-DE"/>
        </w:rPr>
        <w:t xml:space="preserve">Although formal mechanical validation was limited by the unavailability of in vivo strain data, the approach aligns with existing, validated methodologies in the fracture healing simulation literature </w:t>
      </w:r>
      <w:r w:rsidRPr="009761C2">
        <w:rPr>
          <w:rFonts w:ascii="Arial" w:eastAsia="Times New Roman" w:hAnsi="Arial" w:cs="Arial"/>
          <w:szCs w:val="24"/>
          <w:lang w:eastAsia="de-DE"/>
        </w:rPr>
        <w:fldChar w:fldCharType="begin" w:fldLock="1"/>
      </w:r>
      <w:r w:rsidRPr="009761C2">
        <w:rPr>
          <w:rFonts w:ascii="Arial" w:eastAsia="Times New Roman" w:hAnsi="Arial" w:cs="Arial"/>
          <w:szCs w:val="24"/>
          <w:lang w:eastAsia="de-DE"/>
        </w:rPr>
        <w:instrText>ADDIN CSL_CITATION {"citationItems":[{"id":"ITEM-1","itemData":{"DOI":"10.1097/OI9.0000000000000099","ISBN":"0000000000000","ISSN":"25742167","abstract":"AbstractThis manuscript summarizes presentations of a symposium on key considerations in design of biomechanical models at the 2019 Basic Science Focus Forum of the Orthopaedic Trauma Association. The first section outlines the most important characteristics of a high-quality biomechanical study. The second section considers choices associated with designing experiments using finite element modeling versus synthetic bones versus human specimens. The third section discusses appropriate selection of experimental protocols and finite element analyses. The fourth section considers the pros and cons of use of biomechanical research for implant design. Finally, the fifth section examines how results from biomechanical studies can be used when clinical evidence is lacking or contradictory. When taken together, these presentations emphasize the critical importance of biomechanical research and the need to carefully consider and optimize models when designing a biomechanical study.","author":[{"dropping-particle":"","family":"Augat","given":"Peter","non-dropping-particle":"","parse-names":false,"suffix":""},{"dropping-particle":"","family":"Hast","given":"Michael W.","non-dropping-particle":"","parse-names":false,"suffix":""},{"dropping-particle":"","family":"Schemitsch","given":"Geoffrey","non-dropping-particle":"","parse-names":false,"suffix":""},{"dropping-particle":"","family":"Heyland","given":"Mark","non-dropping-particle":"","parse-names":false,"suffix":""},{"dropping-particle":"","family":"Trepczynski","given":"Adam","non-dropping-particle":"","parse-names":false,"suffix":""},{"dropping-particle":"","family":"Borgiani","given":"Edoardo","non-dropping-particle":"","parse-names":false,"suffix":""},{"dropping-particle":"","family":"Russow","given":"Gabriele","non-dropping-particle":"","parse-names":false,"suffix":""},{"dropping-particle":"","family":"Märdian","given":"Sven","non-dropping-particle":"","parse-names":false,"suffix":""},{"dropping-particle":"","family":"Duda","given":"Georg N.","non-dropping-particle":"","parse-names":false,"suffix":""},{"dropping-particle":"","family":"Hollensteiner","given":"Marianne","non-dropping-particle":"","parse-names":false,"suffix":""},{"dropping-particle":"","family":"Bottlang","given":"Michael","non-dropping-particle":"","parse-names":false,"suffix":""},{"dropping-particle":"","family":"Schemitsch","given":"Emil H.","non-dropping-particle":"","parse-names":false,"suffix":""}],"container-title":"OTA International","id":"ITEM-1","issue":"2","issued":{"date-parts":[["2021"]]},"page":"E099","title":"Biomechanical models: key considerations in study design","type":"article-journal","volume":"4"},"uris":["http://www.mendeley.com/documents/?uuid=c247b5e4-28b8-454a-a759-efdf997d4bcf"]}],"mendeley":{"formattedCitation":"[2]","plainTextFormattedCitation":"[2]"},"properties":{"noteIndex":0},"schema":"https://github.com/citation-style-language/schema/raw/master/csl-citation.json"}</w:instrText>
      </w:r>
      <w:r w:rsidRPr="009761C2">
        <w:rPr>
          <w:rFonts w:ascii="Arial" w:eastAsia="Times New Roman" w:hAnsi="Arial" w:cs="Arial"/>
          <w:szCs w:val="24"/>
          <w:lang w:eastAsia="de-DE"/>
        </w:rPr>
        <w:fldChar w:fldCharType="separate"/>
      </w:r>
      <w:r w:rsidRPr="009761C2">
        <w:rPr>
          <w:rFonts w:ascii="Arial" w:eastAsia="Times New Roman" w:hAnsi="Arial" w:cs="Arial"/>
          <w:noProof/>
          <w:szCs w:val="24"/>
          <w:lang w:eastAsia="de-DE"/>
        </w:rPr>
        <w:t>[2]</w:t>
      </w:r>
      <w:r w:rsidRPr="009761C2">
        <w:rPr>
          <w:rFonts w:ascii="Arial" w:eastAsia="Times New Roman" w:hAnsi="Arial" w:cs="Arial"/>
          <w:szCs w:val="24"/>
          <w:lang w:eastAsia="de-DE"/>
        </w:rPr>
        <w:fldChar w:fldCharType="end"/>
      </w:r>
      <w:r w:rsidRPr="009761C2">
        <w:rPr>
          <w:rFonts w:ascii="Arial" w:eastAsia="Times New Roman" w:hAnsi="Arial" w:cs="Arial"/>
          <w:szCs w:val="24"/>
          <w:lang w:eastAsia="de-DE"/>
        </w:rPr>
        <w:t>.</w:t>
      </w:r>
    </w:p>
    <w:p w14:paraId="617514D4" w14:textId="77777777" w:rsidR="009761C2" w:rsidRPr="009761C2" w:rsidRDefault="009761C2" w:rsidP="009761C2">
      <w:pPr>
        <w:jc w:val="both"/>
        <w:rPr>
          <w:rFonts w:ascii="Arial" w:eastAsia="Calibri" w:hAnsi="Arial" w:cs="Arial"/>
          <w:szCs w:val="24"/>
        </w:rPr>
      </w:pPr>
    </w:p>
    <w:p w14:paraId="63ACE241" w14:textId="77777777" w:rsidR="009761C2" w:rsidRPr="009761C2" w:rsidRDefault="009761C2" w:rsidP="009761C2">
      <w:pPr>
        <w:spacing w:before="100" w:beforeAutospacing="1" w:after="100" w:afterAutospacing="1"/>
        <w:jc w:val="both"/>
        <w:rPr>
          <w:rFonts w:ascii="Arial" w:eastAsia="Times New Roman" w:hAnsi="Arial" w:cs="Arial"/>
          <w:szCs w:val="24"/>
          <w:lang w:eastAsia="de-DE"/>
        </w:rPr>
      </w:pPr>
    </w:p>
    <w:p w14:paraId="685097FD" w14:textId="5F30699F" w:rsidR="00656CE1" w:rsidRPr="009F27FC" w:rsidRDefault="009761C2" w:rsidP="009F27FC">
      <w:pPr>
        <w:keepNext/>
        <w:spacing w:before="100" w:beforeAutospacing="1" w:after="100" w:afterAutospacing="1"/>
        <w:jc w:val="center"/>
        <w:rPr>
          <w:rFonts w:eastAsia="Calibri" w:cs="Times New Roman"/>
        </w:rPr>
      </w:pPr>
      <w:r w:rsidRPr="009761C2">
        <w:rPr>
          <w:rFonts w:ascii="Arial" w:eastAsia="Times New Roman" w:hAnsi="Arial" w:cs="Arial"/>
          <w:noProof/>
          <w:szCs w:val="24"/>
          <w:lang w:eastAsia="de-DE"/>
        </w:rPr>
        <w:lastRenderedPageBreak/>
        <w:drawing>
          <wp:anchor distT="0" distB="0" distL="114300" distR="114300" simplePos="0" relativeHeight="251665408" behindDoc="1" locked="0" layoutInCell="1" allowOverlap="1" wp14:anchorId="64B862FF" wp14:editId="5E8CFFB1">
            <wp:simplePos x="0" y="0"/>
            <wp:positionH relativeFrom="margin">
              <wp:align>center</wp:align>
            </wp:positionH>
            <wp:positionV relativeFrom="paragraph">
              <wp:posOffset>1270</wp:posOffset>
            </wp:positionV>
            <wp:extent cx="5605145" cy="79686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7968615"/>
                    </a:xfrm>
                    <a:prstGeom prst="rect">
                      <a:avLst/>
                    </a:prstGeom>
                    <a:noFill/>
                    <a:ln>
                      <a:noFill/>
                    </a:ln>
                  </pic:spPr>
                </pic:pic>
              </a:graphicData>
            </a:graphic>
          </wp:anchor>
        </w:drawing>
      </w:r>
      <w:r w:rsidRPr="009761C2">
        <w:rPr>
          <w:rFonts w:ascii="Arial" w:eastAsia="Calibri" w:hAnsi="Arial" w:cs="Arial"/>
          <w:bCs/>
          <w:szCs w:val="24"/>
        </w:rPr>
        <w:t xml:space="preserve">Figure </w:t>
      </w:r>
      <w:r w:rsidR="00ED28B9">
        <w:rPr>
          <w:rFonts w:ascii="Arial" w:eastAsia="Calibri" w:hAnsi="Arial" w:cs="Arial"/>
          <w:bCs/>
          <w:szCs w:val="24"/>
        </w:rPr>
        <w:t>S6</w:t>
      </w:r>
      <w:bookmarkStart w:id="0" w:name="_GoBack"/>
      <w:bookmarkEnd w:id="0"/>
      <w:r w:rsidRPr="009761C2">
        <w:rPr>
          <w:rFonts w:ascii="Arial" w:eastAsia="Calibri" w:hAnsi="Arial" w:cs="Arial"/>
          <w:bCs/>
          <w:szCs w:val="24"/>
        </w:rPr>
        <w:t>: Knee joint force during walking of a healthy subject for (A) full body weight bearing, (B) partial weight bearing of 50 % body weight</w:t>
      </w:r>
      <w:r w:rsidR="009F27FC">
        <w:rPr>
          <w:rFonts w:ascii="Arial" w:eastAsia="Calibri" w:hAnsi="Arial" w:cs="Arial"/>
          <w:bCs/>
          <w:szCs w:val="24"/>
        </w:rPr>
        <w:t>,</w:t>
      </w:r>
      <w:r w:rsidRPr="009761C2">
        <w:rPr>
          <w:rFonts w:ascii="Arial" w:eastAsia="Calibri" w:hAnsi="Arial" w:cs="Arial"/>
          <w:bCs/>
          <w:szCs w:val="24"/>
        </w:rPr>
        <w:t xml:space="preserve"> and (C) 20 kg partial weight bearing</w:t>
      </w:r>
      <w:r w:rsidR="009F27FC">
        <w:rPr>
          <w:rFonts w:ascii="Arial" w:eastAsia="Calibri" w:hAnsi="Arial" w:cs="Arial"/>
          <w:bCs/>
          <w:szCs w:val="24"/>
        </w:rPr>
        <w:t>.</w:t>
      </w:r>
    </w:p>
    <w:sectPr w:rsidR="00656CE1" w:rsidRPr="009F27FC" w:rsidSect="005B7030">
      <w:footerReference w:type="even" r:id="rId13"/>
      <w:footerReference w:type="default" r:id="rId14"/>
      <w:headerReference w:type="first" r:id="rId15"/>
      <w:pgSz w:w="12240" w:h="15840"/>
      <w:pgMar w:top="1138" w:right="1181" w:bottom="1138" w:left="1282" w:header="283" w:footer="510" w:gutter="0"/>
      <w:lnNumType w:countBy="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F1226" w14:textId="77777777" w:rsidR="009E40EA" w:rsidRDefault="009E40EA">
      <w:pPr>
        <w:spacing w:before="0" w:after="0"/>
      </w:pPr>
      <w:r>
        <w:separator/>
      </w:r>
    </w:p>
  </w:endnote>
  <w:endnote w:type="continuationSeparator" w:id="0">
    <w:p w14:paraId="6A9E35DE" w14:textId="77777777" w:rsidR="009E40EA" w:rsidRDefault="009E40E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81534"/>
      <w:docPartObj>
        <w:docPartGallery w:val="Page Numbers (Bottom of Page)"/>
        <w:docPartUnique/>
      </w:docPartObj>
    </w:sdtPr>
    <w:sdtEndPr/>
    <w:sdtContent>
      <w:p w14:paraId="650B11E7" w14:textId="77777777" w:rsidR="00EC3E2D" w:rsidRDefault="00197FE9">
        <w:pPr>
          <w:pStyle w:val="Footer"/>
          <w:jc w:val="right"/>
        </w:pPr>
        <w:r>
          <w:fldChar w:fldCharType="begin"/>
        </w:r>
        <w:r>
          <w:instrText>PAGE   \* MERGEFORMAT</w:instrText>
        </w:r>
        <w:r>
          <w:fldChar w:fldCharType="separate"/>
        </w:r>
        <w:r>
          <w:rPr>
            <w:lang w:val="de-DE"/>
          </w:rPr>
          <w:t>2</w:t>
        </w:r>
        <w:r>
          <w:fldChar w:fldCharType="end"/>
        </w:r>
      </w:p>
    </w:sdtContent>
  </w:sdt>
  <w:p w14:paraId="74BABC22" w14:textId="77777777" w:rsidR="00EC3E2D" w:rsidRPr="00577C4C" w:rsidRDefault="009E40EA">
    <w:pPr>
      <w:pStyle w:val="Footer"/>
      <w:rPr>
        <w:color w:val="C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242787"/>
      <w:docPartObj>
        <w:docPartGallery w:val="Page Numbers (Bottom of Page)"/>
        <w:docPartUnique/>
      </w:docPartObj>
    </w:sdtPr>
    <w:sdtEndPr/>
    <w:sdtContent>
      <w:p w14:paraId="6492313B" w14:textId="77777777" w:rsidR="00EC3E2D" w:rsidRDefault="00197FE9">
        <w:pPr>
          <w:pStyle w:val="Footer"/>
          <w:jc w:val="right"/>
        </w:pPr>
        <w:r>
          <w:fldChar w:fldCharType="begin"/>
        </w:r>
        <w:r>
          <w:instrText>PAGE   \* MERGEFORMAT</w:instrText>
        </w:r>
        <w:r>
          <w:fldChar w:fldCharType="separate"/>
        </w:r>
        <w:r>
          <w:rPr>
            <w:lang w:val="de-DE"/>
          </w:rPr>
          <w:t>2</w:t>
        </w:r>
        <w:r>
          <w:fldChar w:fldCharType="end"/>
        </w:r>
      </w:p>
    </w:sdtContent>
  </w:sdt>
  <w:p w14:paraId="57778264" w14:textId="77777777" w:rsidR="00EC3E2D" w:rsidRPr="00577C4C" w:rsidRDefault="009E40EA">
    <w:pPr>
      <w:pStyle w:val="Footer"/>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BEDC3" w14:textId="77777777" w:rsidR="009E40EA" w:rsidRDefault="009E40EA">
      <w:pPr>
        <w:spacing w:before="0" w:after="0"/>
      </w:pPr>
      <w:r>
        <w:separator/>
      </w:r>
    </w:p>
  </w:footnote>
  <w:footnote w:type="continuationSeparator" w:id="0">
    <w:p w14:paraId="696AE656" w14:textId="77777777" w:rsidR="009E40EA" w:rsidRDefault="009E40E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B1FD3" w14:textId="77777777" w:rsidR="00EC3E2D" w:rsidRDefault="00197FE9"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6E4"/>
    <w:multiLevelType w:val="multilevel"/>
    <w:tmpl w:val="04325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2491F"/>
    <w:multiLevelType w:val="hybridMultilevel"/>
    <w:tmpl w:val="BD887F1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C647E5B"/>
    <w:multiLevelType w:val="multilevel"/>
    <w:tmpl w:val="66647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B008A"/>
    <w:multiLevelType w:val="multilevel"/>
    <w:tmpl w:val="4F1C3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24662"/>
    <w:multiLevelType w:val="multilevel"/>
    <w:tmpl w:val="A52C1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31D76"/>
    <w:multiLevelType w:val="multilevel"/>
    <w:tmpl w:val="EF9275A0"/>
    <w:lvl w:ilvl="0">
      <w:start w:val="1"/>
      <w:numFmt w:val="bullet"/>
      <w:lvlText w:val=""/>
      <w:lvlJc w:val="left"/>
      <w:pPr>
        <w:tabs>
          <w:tab w:val="num" w:pos="1764"/>
        </w:tabs>
        <w:ind w:left="1764" w:hanging="360"/>
      </w:pPr>
      <w:rPr>
        <w:rFonts w:ascii="Symbol" w:hAnsi="Symbol" w:hint="default"/>
        <w:sz w:val="20"/>
      </w:rPr>
    </w:lvl>
    <w:lvl w:ilvl="1" w:tentative="1">
      <w:start w:val="1"/>
      <w:numFmt w:val="bullet"/>
      <w:lvlText w:val="o"/>
      <w:lvlJc w:val="left"/>
      <w:pPr>
        <w:tabs>
          <w:tab w:val="num" w:pos="2484"/>
        </w:tabs>
        <w:ind w:left="2484" w:hanging="360"/>
      </w:pPr>
      <w:rPr>
        <w:rFonts w:ascii="Courier New" w:hAnsi="Courier New" w:hint="default"/>
        <w:sz w:val="20"/>
      </w:rPr>
    </w:lvl>
    <w:lvl w:ilvl="2" w:tentative="1">
      <w:start w:val="1"/>
      <w:numFmt w:val="bullet"/>
      <w:lvlText w:val=""/>
      <w:lvlJc w:val="left"/>
      <w:pPr>
        <w:tabs>
          <w:tab w:val="num" w:pos="3204"/>
        </w:tabs>
        <w:ind w:left="3204" w:hanging="360"/>
      </w:pPr>
      <w:rPr>
        <w:rFonts w:ascii="Wingdings" w:hAnsi="Wingdings" w:hint="default"/>
        <w:sz w:val="20"/>
      </w:rPr>
    </w:lvl>
    <w:lvl w:ilvl="3" w:tentative="1">
      <w:start w:val="1"/>
      <w:numFmt w:val="bullet"/>
      <w:lvlText w:val=""/>
      <w:lvlJc w:val="left"/>
      <w:pPr>
        <w:tabs>
          <w:tab w:val="num" w:pos="3924"/>
        </w:tabs>
        <w:ind w:left="3924" w:hanging="360"/>
      </w:pPr>
      <w:rPr>
        <w:rFonts w:ascii="Wingdings" w:hAnsi="Wingdings" w:hint="default"/>
        <w:sz w:val="20"/>
      </w:rPr>
    </w:lvl>
    <w:lvl w:ilvl="4" w:tentative="1">
      <w:start w:val="1"/>
      <w:numFmt w:val="bullet"/>
      <w:lvlText w:val=""/>
      <w:lvlJc w:val="left"/>
      <w:pPr>
        <w:tabs>
          <w:tab w:val="num" w:pos="4644"/>
        </w:tabs>
        <w:ind w:left="4644" w:hanging="360"/>
      </w:pPr>
      <w:rPr>
        <w:rFonts w:ascii="Wingdings" w:hAnsi="Wingdings" w:hint="default"/>
        <w:sz w:val="20"/>
      </w:rPr>
    </w:lvl>
    <w:lvl w:ilvl="5" w:tentative="1">
      <w:start w:val="1"/>
      <w:numFmt w:val="bullet"/>
      <w:lvlText w:val=""/>
      <w:lvlJc w:val="left"/>
      <w:pPr>
        <w:tabs>
          <w:tab w:val="num" w:pos="5364"/>
        </w:tabs>
        <w:ind w:left="5364" w:hanging="360"/>
      </w:pPr>
      <w:rPr>
        <w:rFonts w:ascii="Wingdings" w:hAnsi="Wingdings" w:hint="default"/>
        <w:sz w:val="20"/>
      </w:rPr>
    </w:lvl>
    <w:lvl w:ilvl="6" w:tentative="1">
      <w:start w:val="1"/>
      <w:numFmt w:val="bullet"/>
      <w:lvlText w:val=""/>
      <w:lvlJc w:val="left"/>
      <w:pPr>
        <w:tabs>
          <w:tab w:val="num" w:pos="6084"/>
        </w:tabs>
        <w:ind w:left="6084" w:hanging="360"/>
      </w:pPr>
      <w:rPr>
        <w:rFonts w:ascii="Wingdings" w:hAnsi="Wingdings" w:hint="default"/>
        <w:sz w:val="20"/>
      </w:rPr>
    </w:lvl>
    <w:lvl w:ilvl="7" w:tentative="1">
      <w:start w:val="1"/>
      <w:numFmt w:val="bullet"/>
      <w:lvlText w:val=""/>
      <w:lvlJc w:val="left"/>
      <w:pPr>
        <w:tabs>
          <w:tab w:val="num" w:pos="6804"/>
        </w:tabs>
        <w:ind w:left="6804" w:hanging="360"/>
      </w:pPr>
      <w:rPr>
        <w:rFonts w:ascii="Wingdings" w:hAnsi="Wingdings" w:hint="default"/>
        <w:sz w:val="20"/>
      </w:rPr>
    </w:lvl>
    <w:lvl w:ilvl="8" w:tentative="1">
      <w:start w:val="1"/>
      <w:numFmt w:val="bullet"/>
      <w:lvlText w:val=""/>
      <w:lvlJc w:val="left"/>
      <w:pPr>
        <w:tabs>
          <w:tab w:val="num" w:pos="7524"/>
        </w:tabs>
        <w:ind w:left="7524" w:hanging="360"/>
      </w:pPr>
      <w:rPr>
        <w:rFonts w:ascii="Wingdings" w:hAnsi="Wingdings" w:hint="default"/>
        <w:sz w:val="20"/>
      </w:rPr>
    </w:lvl>
  </w:abstractNum>
  <w:abstractNum w:abstractNumId="6" w15:restartNumberingAfterBreak="0">
    <w:nsid w:val="18E82112"/>
    <w:multiLevelType w:val="multilevel"/>
    <w:tmpl w:val="BBA4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A32723"/>
    <w:multiLevelType w:val="multilevel"/>
    <w:tmpl w:val="486C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DE7312"/>
    <w:multiLevelType w:val="multilevel"/>
    <w:tmpl w:val="9804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1F1FE5"/>
    <w:multiLevelType w:val="multilevel"/>
    <w:tmpl w:val="A5322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E0F08"/>
    <w:multiLevelType w:val="multilevel"/>
    <w:tmpl w:val="A6FA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F4022"/>
    <w:multiLevelType w:val="multilevel"/>
    <w:tmpl w:val="25E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01ACD"/>
    <w:multiLevelType w:val="multilevel"/>
    <w:tmpl w:val="CE8C7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B7204"/>
    <w:multiLevelType w:val="multilevel"/>
    <w:tmpl w:val="0432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43215F"/>
    <w:multiLevelType w:val="multilevel"/>
    <w:tmpl w:val="CDC2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398F"/>
    <w:multiLevelType w:val="multilevel"/>
    <w:tmpl w:val="B4D00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10316E"/>
    <w:multiLevelType w:val="multilevel"/>
    <w:tmpl w:val="2AE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9432A0"/>
    <w:multiLevelType w:val="multilevel"/>
    <w:tmpl w:val="B706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6C3670"/>
    <w:multiLevelType w:val="multilevel"/>
    <w:tmpl w:val="5CC0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A03026"/>
    <w:multiLevelType w:val="multilevel"/>
    <w:tmpl w:val="D69E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8"/>
  </w:num>
  <w:num w:numId="5">
    <w:abstractNumId w:val="17"/>
  </w:num>
  <w:num w:numId="6">
    <w:abstractNumId w:val="13"/>
  </w:num>
  <w:num w:numId="7">
    <w:abstractNumId w:val="6"/>
  </w:num>
  <w:num w:numId="8">
    <w:abstractNumId w:val="4"/>
  </w:num>
  <w:num w:numId="9">
    <w:abstractNumId w:val="20"/>
  </w:num>
  <w:num w:numId="10">
    <w:abstractNumId w:val="1"/>
  </w:num>
  <w:num w:numId="11">
    <w:abstractNumId w:val="12"/>
  </w:num>
  <w:num w:numId="12">
    <w:abstractNumId w:val="16"/>
  </w:num>
  <w:num w:numId="13">
    <w:abstractNumId w:val="10"/>
  </w:num>
  <w:num w:numId="14">
    <w:abstractNumId w:val="9"/>
  </w:num>
  <w:num w:numId="15">
    <w:abstractNumId w:val="15"/>
  </w:num>
  <w:num w:numId="16">
    <w:abstractNumId w:val="19"/>
  </w:num>
  <w:num w:numId="17">
    <w:abstractNumId w:val="18"/>
  </w:num>
  <w:num w:numId="18">
    <w:abstractNumId w:val="2"/>
  </w:num>
  <w:num w:numId="19">
    <w:abstractNumId w:val="14"/>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CFD"/>
    <w:rsid w:val="00091CFD"/>
    <w:rsid w:val="000A30EA"/>
    <w:rsid w:val="000B1560"/>
    <w:rsid w:val="000C135F"/>
    <w:rsid w:val="00183DAF"/>
    <w:rsid w:val="00197FE9"/>
    <w:rsid w:val="002331EA"/>
    <w:rsid w:val="00247153"/>
    <w:rsid w:val="002F5D28"/>
    <w:rsid w:val="003176DE"/>
    <w:rsid w:val="00381811"/>
    <w:rsid w:val="0039108E"/>
    <w:rsid w:val="0040660B"/>
    <w:rsid w:val="004418DE"/>
    <w:rsid w:val="004C6715"/>
    <w:rsid w:val="005242CF"/>
    <w:rsid w:val="005467C7"/>
    <w:rsid w:val="005E395E"/>
    <w:rsid w:val="005F64B6"/>
    <w:rsid w:val="00656CE1"/>
    <w:rsid w:val="006C4444"/>
    <w:rsid w:val="006F2C9C"/>
    <w:rsid w:val="00744322"/>
    <w:rsid w:val="007B7967"/>
    <w:rsid w:val="007C7DB9"/>
    <w:rsid w:val="0084082E"/>
    <w:rsid w:val="00863E7D"/>
    <w:rsid w:val="00957F98"/>
    <w:rsid w:val="0096250B"/>
    <w:rsid w:val="009761C2"/>
    <w:rsid w:val="009D789E"/>
    <w:rsid w:val="009E40EA"/>
    <w:rsid w:val="009F27FC"/>
    <w:rsid w:val="00A60DD7"/>
    <w:rsid w:val="00AA51E8"/>
    <w:rsid w:val="00B14B54"/>
    <w:rsid w:val="00B322F9"/>
    <w:rsid w:val="00B45865"/>
    <w:rsid w:val="00B761B3"/>
    <w:rsid w:val="00B81E3B"/>
    <w:rsid w:val="00C03398"/>
    <w:rsid w:val="00C64861"/>
    <w:rsid w:val="00C66184"/>
    <w:rsid w:val="00C90C85"/>
    <w:rsid w:val="00E0485F"/>
    <w:rsid w:val="00E1378B"/>
    <w:rsid w:val="00E41F22"/>
    <w:rsid w:val="00E5334D"/>
    <w:rsid w:val="00ED28B9"/>
    <w:rsid w:val="00F03FBB"/>
    <w:rsid w:val="00FA18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B166F6"/>
  <w15:chartTrackingRefBased/>
  <w15:docId w15:val="{5563F176-C402-4047-8CAC-AE398B95C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1E8"/>
    <w:pPr>
      <w:spacing w:before="120" w:after="240" w:line="240" w:lineRule="auto"/>
    </w:pPr>
    <w:rPr>
      <w:rFonts w:ascii="Times New Roman" w:hAnsi="Times New Roman"/>
      <w:sz w:val="24"/>
      <w:lang w:val="en-US"/>
    </w:rPr>
  </w:style>
  <w:style w:type="paragraph" w:styleId="Heading3">
    <w:name w:val="heading 3"/>
    <w:basedOn w:val="Normal"/>
    <w:link w:val="Heading3Char"/>
    <w:uiPriority w:val="9"/>
    <w:qFormat/>
    <w:rsid w:val="002F5D28"/>
    <w:pPr>
      <w:spacing w:before="100" w:beforeAutospacing="1" w:after="100" w:afterAutospacing="1"/>
      <w:outlineLvl w:val="2"/>
    </w:pPr>
    <w:rPr>
      <w:rFonts w:eastAsia="Times New Roman" w:cs="Times New Roman"/>
      <w:b/>
      <w:bCs/>
      <w:sz w:val="27"/>
      <w:szCs w:val="27"/>
      <w:lang w:eastAsia="de-DE"/>
    </w:rPr>
  </w:style>
  <w:style w:type="paragraph" w:styleId="Heading4">
    <w:name w:val="heading 4"/>
    <w:basedOn w:val="Normal"/>
    <w:link w:val="Heading4Char"/>
    <w:uiPriority w:val="9"/>
    <w:qFormat/>
    <w:rsid w:val="002F5D28"/>
    <w:pPr>
      <w:spacing w:before="100" w:beforeAutospacing="1" w:after="100" w:afterAutospacing="1"/>
      <w:outlineLvl w:val="3"/>
    </w:pPr>
    <w:rPr>
      <w:rFonts w:eastAsia="Times New Roman" w:cs="Times New Roman"/>
      <w:b/>
      <w:bCs/>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5D28"/>
    <w:rPr>
      <w:rFonts w:ascii="Times New Roman" w:eastAsia="Times New Roman" w:hAnsi="Times New Roman" w:cs="Times New Roman"/>
      <w:b/>
      <w:bCs/>
      <w:sz w:val="27"/>
      <w:szCs w:val="27"/>
      <w:lang w:eastAsia="de-DE"/>
    </w:rPr>
  </w:style>
  <w:style w:type="character" w:customStyle="1" w:styleId="Heading4Char">
    <w:name w:val="Heading 4 Char"/>
    <w:basedOn w:val="DefaultParagraphFont"/>
    <w:link w:val="Heading4"/>
    <w:uiPriority w:val="9"/>
    <w:rsid w:val="002F5D28"/>
    <w:rPr>
      <w:rFonts w:ascii="Times New Roman" w:eastAsia="Times New Roman" w:hAnsi="Times New Roman" w:cs="Times New Roman"/>
      <w:b/>
      <w:bCs/>
      <w:sz w:val="24"/>
      <w:szCs w:val="24"/>
      <w:lang w:eastAsia="de-DE"/>
    </w:rPr>
  </w:style>
  <w:style w:type="character" w:styleId="Strong">
    <w:name w:val="Strong"/>
    <w:basedOn w:val="DefaultParagraphFont"/>
    <w:uiPriority w:val="22"/>
    <w:qFormat/>
    <w:rsid w:val="002F5D28"/>
    <w:rPr>
      <w:b/>
      <w:bCs/>
    </w:rPr>
  </w:style>
  <w:style w:type="paragraph" w:styleId="NormalWeb">
    <w:name w:val="Normal (Web)"/>
    <w:basedOn w:val="Normal"/>
    <w:uiPriority w:val="99"/>
    <w:semiHidden/>
    <w:unhideWhenUsed/>
    <w:rsid w:val="002F5D28"/>
    <w:pPr>
      <w:spacing w:before="100" w:beforeAutospacing="1" w:after="100" w:afterAutospacing="1"/>
    </w:pPr>
    <w:rPr>
      <w:rFonts w:eastAsia="Times New Roman" w:cs="Times New Roman"/>
      <w:szCs w:val="24"/>
      <w:lang w:eastAsia="de-DE"/>
    </w:rPr>
  </w:style>
  <w:style w:type="character" w:styleId="HTMLCode">
    <w:name w:val="HTML Code"/>
    <w:basedOn w:val="DefaultParagraphFont"/>
    <w:uiPriority w:val="99"/>
    <w:semiHidden/>
    <w:unhideWhenUsed/>
    <w:rsid w:val="005E395E"/>
    <w:rPr>
      <w:rFonts w:ascii="Courier New" w:eastAsia="Times New Roman" w:hAnsi="Courier New" w:cs="Courier New"/>
      <w:sz w:val="20"/>
      <w:szCs w:val="20"/>
    </w:rPr>
  </w:style>
  <w:style w:type="paragraph" w:styleId="ListParagraph">
    <w:name w:val="List Paragraph"/>
    <w:basedOn w:val="Normal"/>
    <w:uiPriority w:val="34"/>
    <w:qFormat/>
    <w:rsid w:val="00B81E3B"/>
    <w:pPr>
      <w:ind w:left="720"/>
      <w:contextualSpacing/>
    </w:pPr>
  </w:style>
  <w:style w:type="character" w:customStyle="1" w:styleId="katex-mathml">
    <w:name w:val="katex-mathml"/>
    <w:basedOn w:val="DefaultParagraphFont"/>
    <w:rsid w:val="00E0485F"/>
  </w:style>
  <w:style w:type="character" w:customStyle="1" w:styleId="mord">
    <w:name w:val="mord"/>
    <w:basedOn w:val="DefaultParagraphFont"/>
    <w:rsid w:val="00E0485F"/>
  </w:style>
  <w:style w:type="character" w:customStyle="1" w:styleId="mrel">
    <w:name w:val="mrel"/>
    <w:basedOn w:val="DefaultParagraphFont"/>
    <w:rsid w:val="00E0485F"/>
  </w:style>
  <w:style w:type="character" w:customStyle="1" w:styleId="mbin">
    <w:name w:val="mbin"/>
    <w:basedOn w:val="DefaultParagraphFont"/>
    <w:rsid w:val="00E0485F"/>
  </w:style>
  <w:style w:type="character" w:customStyle="1" w:styleId="vlist-s">
    <w:name w:val="vlist-s"/>
    <w:basedOn w:val="DefaultParagraphFont"/>
    <w:rsid w:val="00E0485F"/>
  </w:style>
  <w:style w:type="character" w:customStyle="1" w:styleId="mpunct">
    <w:name w:val="mpunct"/>
    <w:basedOn w:val="DefaultParagraphFont"/>
    <w:rsid w:val="00E0485F"/>
  </w:style>
  <w:style w:type="character" w:styleId="PlaceholderText">
    <w:name w:val="Placeholder Text"/>
    <w:basedOn w:val="DefaultParagraphFont"/>
    <w:uiPriority w:val="99"/>
    <w:semiHidden/>
    <w:rsid w:val="007C7DB9"/>
    <w:rPr>
      <w:color w:val="808080"/>
    </w:rPr>
  </w:style>
  <w:style w:type="paragraph" w:styleId="Caption">
    <w:name w:val="caption"/>
    <w:basedOn w:val="Normal"/>
    <w:next w:val="Normal"/>
    <w:uiPriority w:val="35"/>
    <w:unhideWhenUsed/>
    <w:qFormat/>
    <w:rsid w:val="00FA1827"/>
    <w:pPr>
      <w:spacing w:after="200"/>
    </w:pPr>
    <w:rPr>
      <w:i/>
      <w:iCs/>
      <w:color w:val="44546A" w:themeColor="text2"/>
      <w:sz w:val="18"/>
      <w:szCs w:val="18"/>
    </w:rPr>
  </w:style>
  <w:style w:type="paragraph" w:styleId="NoSpacing">
    <w:name w:val="No Spacing"/>
    <w:uiPriority w:val="99"/>
    <w:unhideWhenUsed/>
    <w:qFormat/>
    <w:rsid w:val="00AA51E8"/>
    <w:pPr>
      <w:spacing w:after="0" w:line="240" w:lineRule="auto"/>
    </w:pPr>
    <w:rPr>
      <w:rFonts w:ascii="Times New Roman" w:hAnsi="Times New Roman"/>
      <w:sz w:val="24"/>
      <w:lang w:val="en-US"/>
    </w:rPr>
  </w:style>
  <w:style w:type="paragraph" w:styleId="Header">
    <w:name w:val="header"/>
    <w:basedOn w:val="Normal"/>
    <w:link w:val="HeaderChar"/>
    <w:uiPriority w:val="99"/>
    <w:semiHidden/>
    <w:unhideWhenUsed/>
    <w:rsid w:val="009761C2"/>
    <w:pPr>
      <w:tabs>
        <w:tab w:val="center" w:pos="4536"/>
        <w:tab w:val="right" w:pos="9072"/>
      </w:tabs>
      <w:spacing w:before="0" w:after="0"/>
    </w:pPr>
  </w:style>
  <w:style w:type="character" w:customStyle="1" w:styleId="HeaderChar">
    <w:name w:val="Header Char"/>
    <w:basedOn w:val="DefaultParagraphFont"/>
    <w:link w:val="Header"/>
    <w:uiPriority w:val="99"/>
    <w:semiHidden/>
    <w:rsid w:val="009761C2"/>
    <w:rPr>
      <w:rFonts w:ascii="Times New Roman" w:hAnsi="Times New Roman"/>
      <w:sz w:val="24"/>
      <w:lang w:val="en-US"/>
    </w:rPr>
  </w:style>
  <w:style w:type="paragraph" w:styleId="Footer">
    <w:name w:val="footer"/>
    <w:basedOn w:val="Normal"/>
    <w:link w:val="FooterChar"/>
    <w:uiPriority w:val="99"/>
    <w:semiHidden/>
    <w:unhideWhenUsed/>
    <w:rsid w:val="009761C2"/>
    <w:pPr>
      <w:tabs>
        <w:tab w:val="center" w:pos="4536"/>
        <w:tab w:val="right" w:pos="9072"/>
      </w:tabs>
      <w:spacing w:before="0" w:after="0"/>
    </w:pPr>
  </w:style>
  <w:style w:type="character" w:customStyle="1" w:styleId="FooterChar">
    <w:name w:val="Footer Char"/>
    <w:basedOn w:val="DefaultParagraphFont"/>
    <w:link w:val="Footer"/>
    <w:uiPriority w:val="99"/>
    <w:semiHidden/>
    <w:rsid w:val="009761C2"/>
    <w:rPr>
      <w:rFonts w:ascii="Times New Roman" w:hAnsi="Times New Roman"/>
      <w:sz w:val="24"/>
      <w:lang w:val="en-US"/>
    </w:rPr>
  </w:style>
  <w:style w:type="character" w:styleId="LineNumber">
    <w:name w:val="line number"/>
    <w:basedOn w:val="DefaultParagraphFont"/>
    <w:uiPriority w:val="99"/>
    <w:semiHidden/>
    <w:unhideWhenUsed/>
    <w:rsid w:val="00976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9298">
      <w:bodyDiv w:val="1"/>
      <w:marLeft w:val="0"/>
      <w:marRight w:val="0"/>
      <w:marTop w:val="0"/>
      <w:marBottom w:val="0"/>
      <w:divBdr>
        <w:top w:val="none" w:sz="0" w:space="0" w:color="auto"/>
        <w:left w:val="none" w:sz="0" w:space="0" w:color="auto"/>
        <w:bottom w:val="none" w:sz="0" w:space="0" w:color="auto"/>
        <w:right w:val="none" w:sz="0" w:space="0" w:color="auto"/>
      </w:divBdr>
    </w:div>
    <w:div w:id="698626527">
      <w:bodyDiv w:val="1"/>
      <w:marLeft w:val="0"/>
      <w:marRight w:val="0"/>
      <w:marTop w:val="0"/>
      <w:marBottom w:val="0"/>
      <w:divBdr>
        <w:top w:val="none" w:sz="0" w:space="0" w:color="auto"/>
        <w:left w:val="none" w:sz="0" w:space="0" w:color="auto"/>
        <w:bottom w:val="none" w:sz="0" w:space="0" w:color="auto"/>
        <w:right w:val="none" w:sz="0" w:space="0" w:color="auto"/>
      </w:divBdr>
    </w:div>
    <w:div w:id="1203176812">
      <w:bodyDiv w:val="1"/>
      <w:marLeft w:val="0"/>
      <w:marRight w:val="0"/>
      <w:marTop w:val="0"/>
      <w:marBottom w:val="0"/>
      <w:divBdr>
        <w:top w:val="none" w:sz="0" w:space="0" w:color="auto"/>
        <w:left w:val="none" w:sz="0" w:space="0" w:color="auto"/>
        <w:bottom w:val="none" w:sz="0" w:space="0" w:color="auto"/>
        <w:right w:val="none" w:sz="0" w:space="0" w:color="auto"/>
      </w:divBdr>
    </w:div>
    <w:div w:id="193686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1354</Words>
  <Characters>7999</Characters>
  <Application>Microsoft Office Word</Application>
  <DocSecurity>0</DocSecurity>
  <Lines>174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Annchristin Andres</dc:creator>
  <cp:keywords/>
  <dc:description/>
  <cp:lastModifiedBy>Annchristin Andres</cp:lastModifiedBy>
  <cp:revision>25</cp:revision>
  <dcterms:created xsi:type="dcterms:W3CDTF">2025-03-21T11:14:00Z</dcterms:created>
  <dcterms:modified xsi:type="dcterms:W3CDTF">2025-05-14T12:00:00Z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c0a4e977a830361fd1d1fa248eb08b9662cdb85a2066c092a9e54d7fbd433277</vt:lpwstr>
  </property>
</Properties>
</file>