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58D" w:rsidRDefault="00B4286A" w:rsidP="00A2258D">
      <w:pPr>
        <w:spacing w:after="0" w:line="480" w:lineRule="auto"/>
        <w:rPr>
          <w:rFonts w:ascii="Times New Roman" w:hAnsi="Times New Roman" w:cs="Times New Roman"/>
          <w:b/>
          <w:sz w:val="24"/>
          <w:szCs w:val="24"/>
        </w:rPr>
      </w:pPr>
      <w:r>
        <w:rPr>
          <w:rFonts w:ascii="Times New Roman" w:hAnsi="Times New Roman" w:cs="Times New Roman" w:hint="eastAsia"/>
          <w:b/>
          <w:sz w:val="24"/>
          <w:szCs w:val="24"/>
        </w:rPr>
        <w:t>Supplemental Table 1</w:t>
      </w:r>
      <w:r w:rsidR="00A2258D">
        <w:rPr>
          <w:rFonts w:ascii="Times New Roman" w:hAnsi="Times New Roman" w:cs="Times New Roman"/>
          <w:b/>
          <w:sz w:val="24"/>
          <w:szCs w:val="24"/>
        </w:rPr>
        <w:t>.</w:t>
      </w:r>
      <w:r w:rsidR="00A2258D" w:rsidRPr="004D6250">
        <w:rPr>
          <w:rFonts w:ascii="Times New Roman" w:hAnsi="Times New Roman" w:cs="Times New Roman"/>
          <w:b/>
          <w:sz w:val="24"/>
          <w:szCs w:val="24"/>
        </w:rPr>
        <w:t xml:space="preserve"> Outcomes in participants with high baseline AMI </w:t>
      </w:r>
      <w:r w:rsidR="00A2258D">
        <w:rPr>
          <w:rFonts w:ascii="Times New Roman" w:hAnsi="Times New Roman" w:cs="Times New Roman"/>
          <w:b/>
          <w:sz w:val="24"/>
          <w:szCs w:val="24"/>
        </w:rPr>
        <w:t>scores:</w:t>
      </w:r>
      <w:r w:rsidR="00A2258D" w:rsidRPr="004D6250">
        <w:rPr>
          <w:rFonts w:ascii="Times New Roman" w:hAnsi="Times New Roman" w:cs="Times New Roman"/>
          <w:b/>
          <w:sz w:val="24"/>
          <w:szCs w:val="24"/>
        </w:rPr>
        <w:t xml:space="preserve"> Intra- and inter-group analysis</w:t>
      </w:r>
      <w:r w:rsidR="00A2258D">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1450"/>
        <w:gridCol w:w="1398"/>
        <w:gridCol w:w="1388"/>
        <w:gridCol w:w="1388"/>
        <w:gridCol w:w="1395"/>
        <w:gridCol w:w="1388"/>
        <w:gridCol w:w="1395"/>
        <w:gridCol w:w="1402"/>
        <w:gridCol w:w="1402"/>
        <w:gridCol w:w="1386"/>
      </w:tblGrid>
      <w:tr w:rsidR="00A2258D" w:rsidRPr="008A55E6" w:rsidTr="00865FBE">
        <w:trPr>
          <w:trHeight w:val="232"/>
        </w:trPr>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Group</w:t>
            </w:r>
          </w:p>
        </w:tc>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T0</w:t>
            </w:r>
          </w:p>
        </w:tc>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T1</w:t>
            </w:r>
          </w:p>
        </w:tc>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 xml:space="preserve">P-value </w:t>
            </w:r>
          </w:p>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(intra-group)</w:t>
            </w:r>
          </w:p>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Δ</w:t>
            </w:r>
          </w:p>
        </w:tc>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P-value</w:t>
            </w:r>
          </w:p>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(inter-group)</w:t>
            </w:r>
          </w:p>
        </w:tc>
        <w:tc>
          <w:tcPr>
            <w:tcW w:w="4368" w:type="dxa"/>
            <w:gridSpan w:val="3"/>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Post-hoc analysis</w:t>
            </w:r>
          </w:p>
        </w:tc>
      </w:tr>
      <w:tr w:rsidR="00A2258D" w:rsidRPr="008A55E6" w:rsidTr="00865FBE">
        <w:trPr>
          <w:trHeight w:val="231"/>
        </w:trPr>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 xml:space="preserve">Control </w:t>
            </w:r>
          </w:p>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vs wo-FDM</w:t>
            </w:r>
          </w:p>
        </w:tc>
        <w:tc>
          <w:tcPr>
            <w:tcW w:w="1456" w:type="dxa"/>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 xml:space="preserve">Control </w:t>
            </w:r>
          </w:p>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vs w-FDM</w:t>
            </w:r>
          </w:p>
        </w:tc>
        <w:tc>
          <w:tcPr>
            <w:tcW w:w="1456" w:type="dxa"/>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 xml:space="preserve">wo-FDM </w:t>
            </w:r>
          </w:p>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vs w-FDM</w:t>
            </w:r>
          </w:p>
        </w:tc>
      </w:tr>
      <w:tr w:rsidR="00A2258D" w:rsidRPr="008A55E6" w:rsidTr="00865FBE">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LEMS</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 (n=5)</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30.0 </w:t>
            </w:r>
            <w:r>
              <w:rPr>
                <w:rFonts w:ascii="Times New Roman" w:hAnsi="Times New Roman" w:cs="Times New Roman"/>
                <w:sz w:val="18"/>
                <w:szCs w:val="18"/>
              </w:rPr>
              <w:t>[30.0-30.0]</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3</w:t>
            </w:r>
            <w:r>
              <w:rPr>
                <w:rFonts w:ascii="Times New Roman" w:hAnsi="Times New Roman" w:cs="Times New Roman"/>
                <w:sz w:val="18"/>
                <w:szCs w:val="18"/>
              </w:rPr>
              <w:t>5.0 [</w:t>
            </w:r>
            <w:r w:rsidRPr="008A55E6">
              <w:rPr>
                <w:rFonts w:ascii="Times New Roman" w:hAnsi="Times New Roman" w:cs="Times New Roman"/>
                <w:sz w:val="18"/>
                <w:szCs w:val="18"/>
              </w:rPr>
              <w:t>34.0-37.0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0.100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4.0 [1.0-5.0]</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0.079</w:t>
            </w:r>
          </w:p>
        </w:tc>
        <w:tc>
          <w:tcPr>
            <w:tcW w:w="1456" w:type="dxa"/>
            <w:vMerge w:val="restart"/>
          </w:tcPr>
          <w:p w:rsidR="00A2258D" w:rsidRPr="008A55E6" w:rsidRDefault="00A2258D" w:rsidP="00865FBE">
            <w:pPr>
              <w:rPr>
                <w:rFonts w:ascii="Times New Roman" w:hAnsi="Times New Roman" w:cs="Times New Roman"/>
                <w:sz w:val="18"/>
                <w:szCs w:val="18"/>
              </w:rPr>
            </w:pPr>
          </w:p>
        </w:tc>
        <w:tc>
          <w:tcPr>
            <w:tcW w:w="1456" w:type="dxa"/>
            <w:vMerge w:val="restart"/>
          </w:tcPr>
          <w:p w:rsidR="00A2258D" w:rsidRPr="008A55E6" w:rsidRDefault="00A2258D" w:rsidP="00865FBE">
            <w:pPr>
              <w:rPr>
                <w:rFonts w:ascii="Times New Roman" w:hAnsi="Times New Roman" w:cs="Times New Roman"/>
                <w:color w:val="FF0000"/>
                <w:sz w:val="18"/>
                <w:szCs w:val="18"/>
              </w:rPr>
            </w:pPr>
          </w:p>
        </w:tc>
        <w:tc>
          <w:tcPr>
            <w:tcW w:w="1456" w:type="dxa"/>
            <w:vMerge w:val="restart"/>
          </w:tcPr>
          <w:p w:rsidR="00A2258D" w:rsidRPr="008A55E6" w:rsidRDefault="00A2258D" w:rsidP="00865FBE">
            <w:pPr>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 (n=3)</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30.0 [30.0-32.0]</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36.0 </w:t>
            </w:r>
            <w:r>
              <w:rPr>
                <w:rFonts w:ascii="Times New Roman" w:hAnsi="Times New Roman" w:cs="Times New Roman"/>
                <w:sz w:val="18"/>
                <w:szCs w:val="18"/>
              </w:rPr>
              <w:t>[36.0-38.0]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0.149</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6.0 [6.0-6.0]</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 (n=3)</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40.0 </w:t>
            </w:r>
            <w:r>
              <w:rPr>
                <w:rFonts w:ascii="Times New Roman" w:hAnsi="Times New Roman" w:cs="Times New Roman"/>
                <w:sz w:val="18"/>
                <w:szCs w:val="18"/>
              </w:rPr>
              <w:t>[33.5-40.0]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40.0 [35.0-40.0]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1.000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[0.0-1.5]</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AMI</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20.0 [17.0-20.0]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22.0 [18.0-23.0]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0.416</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1.0 [1.0-2.0]</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0.275</w:t>
            </w:r>
          </w:p>
        </w:tc>
        <w:tc>
          <w:tcPr>
            <w:tcW w:w="1456" w:type="dxa"/>
            <w:vMerge w:val="restart"/>
          </w:tcPr>
          <w:p w:rsidR="00A2258D" w:rsidRPr="008A55E6" w:rsidRDefault="00A2258D" w:rsidP="00865FBE">
            <w:pPr>
              <w:rPr>
                <w:rFonts w:ascii="Times New Roman" w:hAnsi="Times New Roman" w:cs="Times New Roman"/>
                <w:sz w:val="18"/>
                <w:szCs w:val="18"/>
              </w:rPr>
            </w:pPr>
          </w:p>
        </w:tc>
        <w:tc>
          <w:tcPr>
            <w:tcW w:w="1456" w:type="dxa"/>
            <w:vMerge w:val="restart"/>
          </w:tcPr>
          <w:p w:rsidR="00A2258D" w:rsidRPr="008A55E6" w:rsidRDefault="00A2258D" w:rsidP="00865FBE">
            <w:pPr>
              <w:rPr>
                <w:rFonts w:ascii="Times New Roman" w:hAnsi="Times New Roman" w:cs="Times New Roman"/>
                <w:color w:val="FF0000"/>
                <w:sz w:val="18"/>
                <w:szCs w:val="18"/>
              </w:rPr>
            </w:pPr>
          </w:p>
        </w:tc>
        <w:tc>
          <w:tcPr>
            <w:tcW w:w="1456" w:type="dxa"/>
            <w:vMerge w:val="restart"/>
          </w:tcPr>
          <w:p w:rsidR="00A2258D" w:rsidRPr="008A55E6" w:rsidRDefault="00A2258D" w:rsidP="00865FBE">
            <w:pPr>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20.0 [18.5-22.0]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24.0 [22.5-26.0]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0.149</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4.0 [4.0-4.0]</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28.0 [22.0-28.5]</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29.0 [24.5-29.5]</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0.174</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1.0 </w:t>
            </w:r>
            <w:r>
              <w:rPr>
                <w:rFonts w:ascii="Times New Roman" w:hAnsi="Times New Roman" w:cs="Times New Roman"/>
                <w:sz w:val="18"/>
                <w:szCs w:val="18"/>
              </w:rPr>
              <w:t>[1.0-2.5]</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val="restart"/>
          </w:tcPr>
          <w:p w:rsidR="00A2258D" w:rsidRPr="008A55E6" w:rsidRDefault="00A2258D" w:rsidP="00865FBE">
            <w:pPr>
              <w:widowControl/>
              <w:wordWrap/>
              <w:autoSpaceDE/>
              <w:autoSpaceDN/>
              <w:rPr>
                <w:rFonts w:ascii="Times New Roman" w:hAnsi="Times New Roman" w:cs="Times New Roman"/>
                <w:b/>
                <w:sz w:val="18"/>
                <w:szCs w:val="18"/>
              </w:rPr>
            </w:pPr>
            <w:r w:rsidRPr="008A55E6">
              <w:rPr>
                <w:rFonts w:ascii="Times New Roman" w:hAnsi="Times New Roman" w:cs="Times New Roman"/>
                <w:b/>
                <w:sz w:val="18"/>
                <w:szCs w:val="18"/>
              </w:rPr>
              <w:t>Proprioception</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6.0 [6.0-12.0]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12.0 [6.0-12.0]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1.000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[0.0-0.0]</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0.286</w:t>
            </w:r>
          </w:p>
        </w:tc>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6.0 [6.0-9.0]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11.0 [</w:t>
            </w:r>
            <w:r w:rsidRPr="008A55E6">
              <w:rPr>
                <w:rFonts w:ascii="Times New Roman" w:hAnsi="Times New Roman" w:cs="Times New Roman"/>
                <w:sz w:val="18"/>
                <w:szCs w:val="18"/>
              </w:rPr>
              <w:t>10.5-11.5</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0.371</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4.0 [2.0-4.5]</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b/>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12.0 </w:t>
            </w:r>
            <w:r>
              <w:rPr>
                <w:rFonts w:ascii="Times New Roman" w:hAnsi="Times New Roman" w:cs="Times New Roman"/>
                <w:sz w:val="18"/>
                <w:szCs w:val="18"/>
              </w:rPr>
              <w:t>[</w:t>
            </w:r>
            <w:r w:rsidRPr="008A55E6">
              <w:rPr>
                <w:rFonts w:ascii="Times New Roman" w:hAnsi="Times New Roman" w:cs="Times New Roman"/>
                <w:sz w:val="18"/>
                <w:szCs w:val="18"/>
              </w:rPr>
              <w:t>9.0-12.0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1</w:t>
            </w:r>
            <w:r>
              <w:rPr>
                <w:rFonts w:ascii="Times New Roman" w:hAnsi="Times New Roman" w:cs="Times New Roman"/>
                <w:sz w:val="18"/>
                <w:szCs w:val="18"/>
              </w:rPr>
              <w:t>2.0 [9.0-12.0]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N/A</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[0.0-0.0]</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val="restart"/>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BBS</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4.0 [4.0-4.0]</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13.0 </w:t>
            </w:r>
            <w:r>
              <w:rPr>
                <w:rFonts w:ascii="Times New Roman" w:hAnsi="Times New Roman" w:cs="Times New Roman"/>
                <w:sz w:val="18"/>
                <w:szCs w:val="18"/>
              </w:rPr>
              <w:t>[9.0-15.0]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0.058</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5.0 [</w:t>
            </w:r>
            <w:r w:rsidRPr="008A55E6">
              <w:rPr>
                <w:rFonts w:ascii="Times New Roman" w:hAnsi="Times New Roman" w:cs="Times New Roman"/>
                <w:sz w:val="18"/>
                <w:szCs w:val="18"/>
              </w:rPr>
              <w:t>4.0-13.0</w:t>
            </w:r>
            <w:r>
              <w:rPr>
                <w:rFonts w:ascii="Times New Roman" w:hAnsi="Times New Roman" w:cs="Times New Roman"/>
                <w:sz w:val="18"/>
                <w:szCs w:val="18"/>
              </w:rPr>
              <w:t>]</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0.776</w:t>
            </w:r>
          </w:p>
        </w:tc>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7.0 [</w:t>
            </w:r>
            <w:r w:rsidRPr="008A55E6">
              <w:rPr>
                <w:rFonts w:ascii="Times New Roman" w:hAnsi="Times New Roman" w:cs="Times New Roman"/>
                <w:sz w:val="18"/>
                <w:szCs w:val="18"/>
              </w:rPr>
              <w:t>5.0-22.0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2</w:t>
            </w:r>
            <w:r>
              <w:rPr>
                <w:rFonts w:ascii="Times New Roman" w:hAnsi="Times New Roman" w:cs="Times New Roman"/>
                <w:sz w:val="18"/>
                <w:szCs w:val="18"/>
              </w:rPr>
              <w:t>6.0 [</w:t>
            </w:r>
            <w:r w:rsidRPr="008A55E6">
              <w:rPr>
                <w:rFonts w:ascii="Times New Roman" w:hAnsi="Times New Roman" w:cs="Times New Roman"/>
                <w:sz w:val="18"/>
                <w:szCs w:val="18"/>
              </w:rPr>
              <w:t>17.5-41.0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 xml:space="preserve">19.0 </w:t>
            </w:r>
            <w:r>
              <w:rPr>
                <w:rFonts w:ascii="Times New Roman" w:hAnsi="Times New Roman" w:cs="Times New Roman"/>
                <w:color w:val="000000" w:themeColor="text1"/>
                <w:sz w:val="18"/>
                <w:szCs w:val="18"/>
              </w:rPr>
              <w:t>[</w:t>
            </w:r>
            <w:r w:rsidRPr="008A55E6">
              <w:rPr>
                <w:rFonts w:ascii="Times New Roman" w:hAnsi="Times New Roman" w:cs="Times New Roman"/>
                <w:color w:val="000000" w:themeColor="text1"/>
                <w:sz w:val="18"/>
                <w:szCs w:val="18"/>
              </w:rPr>
              <w:t>10.5-21.0</w:t>
            </w:r>
            <w:r>
              <w:rPr>
                <w:rFonts w:ascii="Times New Roman" w:hAnsi="Times New Roman" w:cs="Times New Roman"/>
                <w:color w:val="000000" w:themeColor="text1"/>
                <w:sz w:val="18"/>
                <w:szCs w:val="18"/>
              </w:rPr>
              <w:t>]</w:t>
            </w:r>
          </w:p>
        </w:tc>
        <w:tc>
          <w:tcPr>
            <w:tcW w:w="1456" w:type="dxa"/>
            <w:vMerge/>
          </w:tcPr>
          <w:p w:rsidR="00A2258D" w:rsidRPr="008A55E6" w:rsidRDefault="00A2258D" w:rsidP="00865FBE">
            <w:pPr>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4.0 [4.0-8.0]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25.0 [15.0-32.5]</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 [7.0-24.5]</w:t>
            </w: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val="restart"/>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WISCI-II</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1.0 [0.0-2.0]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2.0 [1.0-4.0]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0.371</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 [0.0-1.0]</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0.069</w:t>
            </w:r>
          </w:p>
        </w:tc>
        <w:tc>
          <w:tcPr>
            <w:tcW w:w="1456" w:type="dxa"/>
            <w:vMerge w:val="restart"/>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val="restart"/>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[0.0-3.0]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6.0 [</w:t>
            </w:r>
            <w:r w:rsidRPr="008A55E6">
              <w:rPr>
                <w:rFonts w:ascii="Times New Roman" w:hAnsi="Times New Roman" w:cs="Times New Roman"/>
                <w:sz w:val="18"/>
                <w:szCs w:val="18"/>
              </w:rPr>
              <w:t>4.0-13.0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 [</w:t>
            </w:r>
            <w:r w:rsidRPr="008A55E6">
              <w:rPr>
                <w:rFonts w:ascii="Times New Roman" w:hAnsi="Times New Roman" w:cs="Times New Roman"/>
                <w:color w:val="000000" w:themeColor="text1"/>
                <w:sz w:val="18"/>
                <w:szCs w:val="18"/>
              </w:rPr>
              <w:t>4.0-10.0</w:t>
            </w:r>
            <w:r>
              <w:rPr>
                <w:rFonts w:ascii="Times New Roman" w:hAnsi="Times New Roman" w:cs="Times New Roman"/>
                <w:color w:val="000000" w:themeColor="text1"/>
                <w:sz w:val="18"/>
                <w:szCs w:val="18"/>
              </w:rPr>
              <w:t>]</w:t>
            </w: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[0.0-0.5]</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8.0 [4.5-13.0]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 [4.5-12.5]</w:t>
            </w: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val="restart"/>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SCIM-III</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16.0 </w:t>
            </w:r>
            <w:r>
              <w:rPr>
                <w:rFonts w:ascii="Times New Roman" w:hAnsi="Times New Roman" w:cs="Times New Roman"/>
                <w:sz w:val="18"/>
                <w:szCs w:val="18"/>
              </w:rPr>
              <w:t>[</w:t>
            </w:r>
            <w:r w:rsidRPr="008A55E6">
              <w:rPr>
                <w:rFonts w:ascii="Times New Roman" w:hAnsi="Times New Roman" w:cs="Times New Roman"/>
                <w:sz w:val="18"/>
                <w:szCs w:val="18"/>
              </w:rPr>
              <w:t>12.0-25.0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27.0 </w:t>
            </w:r>
            <w:r>
              <w:rPr>
                <w:rFonts w:ascii="Times New Roman" w:hAnsi="Times New Roman" w:cs="Times New Roman"/>
                <w:sz w:val="18"/>
                <w:szCs w:val="18"/>
              </w:rPr>
              <w:t>[</w:t>
            </w:r>
            <w:r w:rsidRPr="008A55E6">
              <w:rPr>
                <w:rFonts w:ascii="Times New Roman" w:hAnsi="Times New Roman" w:cs="Times New Roman"/>
                <w:sz w:val="18"/>
                <w:szCs w:val="18"/>
              </w:rPr>
              <w:t>25.0-33.0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0.136</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 [1.0-11.0]</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0.039*</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0.035*</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0.287</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1.000</w:t>
            </w: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33.0 [22.0-45.5]</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66.0 </w:t>
            </w:r>
            <w:r>
              <w:rPr>
                <w:rFonts w:ascii="Times New Roman" w:hAnsi="Times New Roman" w:cs="Times New Roman"/>
                <w:sz w:val="18"/>
                <w:szCs w:val="18"/>
              </w:rPr>
              <w:t>[49.5-76.0]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 xml:space="preserve">28.0 </w:t>
            </w:r>
            <w:r>
              <w:rPr>
                <w:rFonts w:ascii="Times New Roman" w:hAnsi="Times New Roman" w:cs="Times New Roman"/>
                <w:color w:val="000000" w:themeColor="text1"/>
                <w:sz w:val="18"/>
                <w:szCs w:val="18"/>
              </w:rPr>
              <w:t>[</w:t>
            </w:r>
            <w:r w:rsidRPr="008A55E6">
              <w:rPr>
                <w:rFonts w:ascii="Times New Roman" w:hAnsi="Times New Roman" w:cs="Times New Roman"/>
                <w:color w:val="000000" w:themeColor="text1"/>
                <w:sz w:val="18"/>
                <w:szCs w:val="18"/>
              </w:rPr>
              <w:t>25.0-30.5</w:t>
            </w:r>
            <w:r>
              <w:rPr>
                <w:rFonts w:ascii="Times New Roman" w:hAnsi="Times New Roman" w:cs="Times New Roman"/>
                <w:color w:val="000000" w:themeColor="text1"/>
                <w:sz w:val="18"/>
                <w:szCs w:val="18"/>
              </w:rPr>
              <w:t>]</w:t>
            </w: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15.0 [13.5-31.0]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34.0 [25.0-46.0]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11.0 [7.5-15.0]</w:t>
            </w: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color w:val="000000" w:themeColor="text1"/>
                <w:sz w:val="18"/>
                <w:szCs w:val="18"/>
              </w:rPr>
            </w:pPr>
          </w:p>
        </w:tc>
      </w:tr>
      <w:tr w:rsidR="00A2258D" w:rsidRPr="008A55E6" w:rsidTr="00865FBE">
        <w:tc>
          <w:tcPr>
            <w:tcW w:w="1456" w:type="dxa"/>
            <w:vMerge w:val="restart"/>
          </w:tcPr>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SCIM-III</w:t>
            </w:r>
          </w:p>
          <w:p w:rsidR="00A2258D" w:rsidRPr="008A55E6" w:rsidRDefault="00A2258D" w:rsidP="00865FBE">
            <w:pPr>
              <w:rPr>
                <w:rFonts w:ascii="Times New Roman" w:hAnsi="Times New Roman" w:cs="Times New Roman"/>
                <w:b/>
                <w:sz w:val="18"/>
                <w:szCs w:val="18"/>
              </w:rPr>
            </w:pPr>
            <w:r w:rsidRPr="008A55E6">
              <w:rPr>
                <w:rFonts w:ascii="Times New Roman" w:hAnsi="Times New Roman" w:cs="Times New Roman"/>
                <w:b/>
                <w:sz w:val="18"/>
                <w:szCs w:val="18"/>
              </w:rPr>
              <w:t>(mobility)</w:t>
            </w: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Control</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[0.0-2.0]</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5.0</w:t>
            </w:r>
            <w:r>
              <w:rPr>
                <w:rFonts w:ascii="Times New Roman" w:hAnsi="Times New Roman" w:cs="Times New Roman"/>
                <w:sz w:val="18"/>
                <w:szCs w:val="18"/>
              </w:rPr>
              <w:t xml:space="preserve"> [4.0-6.0]</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0.201</w:t>
            </w:r>
          </w:p>
        </w:tc>
        <w:tc>
          <w:tcPr>
            <w:tcW w:w="1456" w:type="dxa"/>
          </w:tcPr>
          <w:p w:rsidR="00A2258D" w:rsidRPr="008A55E6" w:rsidRDefault="00A2258D" w:rsidP="00865FB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 [0.0-4.0]</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0.033*</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0.027*</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0.369</w:t>
            </w:r>
          </w:p>
        </w:tc>
        <w:tc>
          <w:tcPr>
            <w:tcW w:w="1456" w:type="dxa"/>
            <w:vMerge w:val="restart"/>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1.000</w:t>
            </w: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wo-FDM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0.0 [0.0-7.5]</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15.0 </w:t>
            </w:r>
            <w:r>
              <w:rPr>
                <w:rFonts w:ascii="Times New Roman" w:hAnsi="Times New Roman" w:cs="Times New Roman"/>
                <w:sz w:val="18"/>
                <w:szCs w:val="18"/>
              </w:rPr>
              <w:t>[</w:t>
            </w:r>
            <w:r w:rsidRPr="008A55E6">
              <w:rPr>
                <w:rFonts w:ascii="Times New Roman" w:hAnsi="Times New Roman" w:cs="Times New Roman"/>
                <w:sz w:val="18"/>
                <w:szCs w:val="18"/>
              </w:rPr>
              <w:t>14.0-21.0</w:t>
            </w:r>
            <w:r>
              <w:rPr>
                <w:rFonts w:ascii="Times New Roman" w:hAnsi="Times New Roman" w:cs="Times New Roman"/>
                <w:sz w:val="18"/>
                <w:szCs w:val="18"/>
              </w:rPr>
              <w:t>]</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sz w:val="18"/>
                <w:szCs w:val="18"/>
              </w:rPr>
            </w:pPr>
            <w:r w:rsidRPr="008A55E6">
              <w:rPr>
                <w:rFonts w:ascii="Times New Roman" w:hAnsi="Times New Roman" w:cs="Times New Roman"/>
                <w:sz w:val="18"/>
                <w:szCs w:val="18"/>
              </w:rPr>
              <w:t xml:space="preserve">13.0 </w:t>
            </w:r>
            <w:r>
              <w:rPr>
                <w:rFonts w:ascii="Times New Roman" w:hAnsi="Times New Roman" w:cs="Times New Roman"/>
                <w:sz w:val="18"/>
                <w:szCs w:val="18"/>
              </w:rPr>
              <w:t>[</w:t>
            </w:r>
            <w:r w:rsidRPr="008A55E6">
              <w:rPr>
                <w:rFonts w:ascii="Times New Roman" w:hAnsi="Times New Roman" w:cs="Times New Roman"/>
                <w:sz w:val="18"/>
                <w:szCs w:val="18"/>
              </w:rPr>
              <w:t>12.5-14.0</w:t>
            </w:r>
            <w:r>
              <w:rPr>
                <w:rFonts w:ascii="Times New Roman" w:hAnsi="Times New Roman" w:cs="Times New Roman"/>
                <w:sz w:val="18"/>
                <w:szCs w:val="18"/>
              </w:rPr>
              <w:t>]</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r w:rsidR="00A2258D" w:rsidRPr="008A55E6" w:rsidTr="00865FBE">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tcPr>
          <w:p w:rsidR="00A2258D" w:rsidRPr="008A55E6" w:rsidRDefault="00A2258D" w:rsidP="00865FBE">
            <w:pPr>
              <w:widowControl/>
              <w:wordWrap/>
              <w:autoSpaceDE/>
              <w:autoSpaceDN/>
              <w:rPr>
                <w:rFonts w:ascii="Times New Roman" w:hAnsi="Times New Roman" w:cs="Times New Roman"/>
                <w:sz w:val="18"/>
                <w:szCs w:val="18"/>
              </w:rPr>
            </w:pPr>
            <w:r w:rsidRPr="008A55E6">
              <w:rPr>
                <w:rFonts w:ascii="Times New Roman" w:hAnsi="Times New Roman" w:cs="Times New Roman"/>
                <w:sz w:val="18"/>
                <w:szCs w:val="18"/>
              </w:rPr>
              <w:t>w-FDM</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1.0 [0.5-3.0]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11.0 [6.5-11.5]</w:t>
            </w:r>
          </w:p>
        </w:tc>
        <w:tc>
          <w:tcPr>
            <w:tcW w:w="1456" w:type="dxa"/>
          </w:tcPr>
          <w:p w:rsidR="00A2258D" w:rsidRPr="008A55E6" w:rsidRDefault="00A2258D" w:rsidP="00865FBE">
            <w:pPr>
              <w:rPr>
                <w:rFonts w:ascii="Times New Roman" w:hAnsi="Times New Roman" w:cs="Times New Roman"/>
                <w:color w:val="000000" w:themeColor="text1"/>
                <w:sz w:val="18"/>
                <w:szCs w:val="18"/>
              </w:rPr>
            </w:pPr>
            <w:r w:rsidRPr="008A55E6">
              <w:rPr>
                <w:rFonts w:ascii="Times New Roman" w:hAnsi="Times New Roman" w:cs="Times New Roman"/>
                <w:color w:val="000000" w:themeColor="text1"/>
                <w:sz w:val="18"/>
                <w:szCs w:val="18"/>
              </w:rPr>
              <w:t>0.250</w:t>
            </w:r>
          </w:p>
        </w:tc>
        <w:tc>
          <w:tcPr>
            <w:tcW w:w="1456" w:type="dxa"/>
          </w:tcPr>
          <w:p w:rsidR="00A2258D" w:rsidRPr="008A55E6" w:rsidRDefault="00A2258D" w:rsidP="00865FBE">
            <w:pPr>
              <w:rPr>
                <w:rFonts w:ascii="Times New Roman" w:hAnsi="Times New Roman" w:cs="Times New Roman"/>
                <w:sz w:val="18"/>
                <w:szCs w:val="18"/>
              </w:rPr>
            </w:pPr>
            <w:r>
              <w:rPr>
                <w:rFonts w:ascii="Times New Roman" w:hAnsi="Times New Roman" w:cs="Times New Roman"/>
                <w:sz w:val="18"/>
                <w:szCs w:val="18"/>
              </w:rPr>
              <w:t>6.0 [4.0-8.5]</w:t>
            </w: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c>
          <w:tcPr>
            <w:tcW w:w="1456" w:type="dxa"/>
            <w:vMerge/>
          </w:tcPr>
          <w:p w:rsidR="00A2258D" w:rsidRPr="008A55E6" w:rsidRDefault="00A2258D" w:rsidP="00865FBE">
            <w:pPr>
              <w:widowControl/>
              <w:wordWrap/>
              <w:autoSpaceDE/>
              <w:autoSpaceDN/>
              <w:rPr>
                <w:rFonts w:ascii="Times New Roman" w:hAnsi="Times New Roman" w:cs="Times New Roman"/>
                <w:sz w:val="18"/>
                <w:szCs w:val="18"/>
              </w:rPr>
            </w:pPr>
          </w:p>
        </w:tc>
      </w:tr>
    </w:tbl>
    <w:p w:rsidR="00A2258D" w:rsidRDefault="00A2258D" w:rsidP="00A2258D">
      <w:pPr>
        <w:widowControl/>
        <w:wordWrap/>
        <w:autoSpaceDE/>
        <w:autoSpaceDN/>
        <w:spacing w:after="0"/>
        <w:rPr>
          <w:rFonts w:ascii="Times New Roman" w:hAnsi="Times New Roman" w:cs="Times New Roman"/>
          <w:sz w:val="18"/>
          <w:szCs w:val="18"/>
        </w:rPr>
      </w:pPr>
      <w:r w:rsidRPr="002C4A1A">
        <w:rPr>
          <w:rFonts w:ascii="Times New Roman" w:hAnsi="Times New Roman" w:cs="Times New Roman"/>
          <w:sz w:val="18"/>
          <w:szCs w:val="18"/>
        </w:rPr>
        <w:t>* indicate</w:t>
      </w:r>
      <w:r>
        <w:rPr>
          <w:rFonts w:ascii="Times New Roman" w:hAnsi="Times New Roman" w:cs="Times New Roman"/>
          <w:sz w:val="18"/>
          <w:szCs w:val="18"/>
        </w:rPr>
        <w:t>s</w:t>
      </w:r>
      <w:r w:rsidRPr="002C4A1A">
        <w:rPr>
          <w:rFonts w:ascii="Times New Roman" w:hAnsi="Times New Roman" w:cs="Times New Roman"/>
          <w:sz w:val="18"/>
          <w:szCs w:val="18"/>
        </w:rPr>
        <w:t xml:space="preserve"> statistically significant differences in intra-group analysis (p &lt; 0.05).</w:t>
      </w:r>
    </w:p>
    <w:p w:rsidR="00A2258D" w:rsidRPr="0031645B" w:rsidRDefault="00A2258D" w:rsidP="00A2258D">
      <w:pPr>
        <w:widowControl/>
        <w:wordWrap/>
        <w:autoSpaceDE/>
        <w:autoSpaceDN/>
        <w:spacing w:after="0"/>
        <w:rPr>
          <w:rFonts w:ascii="Times New Roman" w:hAnsi="Times New Roman" w:cs="Times New Roman"/>
          <w:sz w:val="18"/>
          <w:szCs w:val="18"/>
        </w:rPr>
      </w:pPr>
      <w:r w:rsidRPr="0031645B">
        <w:rPr>
          <w:rFonts w:ascii="Times New Roman" w:hAnsi="Times New Roman" w:cs="Times New Roman"/>
          <w:sz w:val="18"/>
          <w:szCs w:val="18"/>
        </w:rPr>
        <w:t>Since there is no established cutoff value for whether AMI score is low or high, we referred to previous literature and set the criterion based on the average AMI value of 52% for ambulatory SCI individuals. Therefore, we established the criterion as 52% of the total 30, which equals 15.6.</w:t>
      </w:r>
    </w:p>
    <w:p w:rsidR="00A2258D" w:rsidRDefault="00A2258D" w:rsidP="00EA3CF2">
      <w:pPr>
        <w:widowControl/>
        <w:wordWrap/>
        <w:autoSpaceDE/>
        <w:autoSpaceDN/>
        <w:spacing w:after="0"/>
        <w:sectPr w:rsidR="00A2258D" w:rsidSect="001378E6">
          <w:footerReference w:type="default" r:id="rId6"/>
          <w:pgSz w:w="16838" w:h="11906" w:orient="landscape"/>
          <w:pgMar w:top="1418" w:right="1418" w:bottom="1418" w:left="1418" w:header="851" w:footer="992" w:gutter="0"/>
          <w:lnNumType w:countBy="1" w:restart="continuous"/>
          <w:cols w:space="425"/>
          <w:docGrid w:linePitch="360"/>
        </w:sectPr>
      </w:pPr>
      <w:r w:rsidRPr="002C4A1A">
        <w:rPr>
          <w:rFonts w:ascii="Times New Roman" w:hAnsi="Times New Roman" w:cs="Times New Roman"/>
          <w:sz w:val="18"/>
          <w:szCs w:val="18"/>
        </w:rPr>
        <w:t xml:space="preserve">Abbreviations: </w:t>
      </w:r>
      <w:r>
        <w:rPr>
          <w:rFonts w:ascii="Times New Roman" w:hAnsi="Times New Roman" w:cs="Times New Roman"/>
          <w:sz w:val="18"/>
          <w:szCs w:val="18"/>
        </w:rPr>
        <w:t xml:space="preserve">FDM, FreeD module; </w:t>
      </w:r>
      <w:r w:rsidRPr="002C4A1A">
        <w:rPr>
          <w:rFonts w:ascii="Times New Roman" w:hAnsi="Times New Roman" w:cs="Times New Roman"/>
          <w:sz w:val="18"/>
          <w:szCs w:val="18"/>
        </w:rPr>
        <w:t>NLI, neurological level of injury; AIS, American Spinal Injury Association Impairment Scale; LEMS, Lower Extremity Motor Score; AMI, Ambulatory Motor Index; BBS, Berg Balance Scale; WISCI-II, Walking Index for Spinal Cord Injury II; SCIM-III, Spinal Cord Independence Measure III.</w:t>
      </w:r>
      <w:r>
        <w:br w:type="page"/>
      </w:r>
    </w:p>
    <w:p w:rsidR="00A2258D" w:rsidRDefault="00B4286A" w:rsidP="00A2258D">
      <w:pPr>
        <w:widowControl/>
        <w:wordWrap/>
        <w:autoSpaceDE/>
        <w:autoSpaceDN/>
        <w:spacing w:line="480" w:lineRule="auto"/>
      </w:pPr>
      <w:r>
        <w:rPr>
          <w:rFonts w:ascii="Times New Roman" w:hAnsi="Times New Roman" w:cs="Times New Roman"/>
          <w:b/>
          <w:sz w:val="24"/>
          <w:szCs w:val="24"/>
        </w:rPr>
        <w:lastRenderedPageBreak/>
        <w:t>Supplemental Figure 1.</w:t>
      </w:r>
      <w:bookmarkStart w:id="0" w:name="_GoBack"/>
      <w:bookmarkEnd w:id="0"/>
      <w:r w:rsidR="00A2258D" w:rsidRPr="004D6250">
        <w:rPr>
          <w:rFonts w:ascii="Times New Roman" w:hAnsi="Times New Roman" w:cs="Times New Roman"/>
          <w:b/>
          <w:sz w:val="24"/>
          <w:szCs w:val="24"/>
        </w:rPr>
        <w:t xml:space="preserve"> Changes in motor, sensory and functional outcomes with high baseline AMI scores</w:t>
      </w:r>
      <w:r w:rsidR="00A2258D">
        <w:rPr>
          <w:rFonts w:ascii="Times New Roman" w:hAnsi="Times New Roman" w:cs="Times New Roman"/>
          <w:b/>
          <w:sz w:val="24"/>
          <w:szCs w:val="24"/>
        </w:rPr>
        <w:t xml:space="preserve">. </w:t>
      </w:r>
      <w:r w:rsidR="00A2258D" w:rsidRPr="00EC6E85">
        <w:rPr>
          <w:rFonts w:ascii="Times New Roman" w:hAnsi="Times New Roman" w:cs="Times New Roman"/>
          <w:sz w:val="24"/>
          <w:szCs w:val="24"/>
        </w:rPr>
        <w:t xml:space="preserve">This figure shows subgroup analysis results for participants with AMI scores </w:t>
      </w:r>
      <w:r w:rsidR="00A2258D">
        <w:rPr>
          <w:rFonts w:ascii="Times New Roman" w:hAnsi="Times New Roman" w:cs="Times New Roman"/>
          <w:sz w:val="24"/>
          <w:szCs w:val="24"/>
        </w:rPr>
        <w:t>above</w:t>
      </w:r>
      <w:r w:rsidR="00A2258D" w:rsidRPr="00EC6E85">
        <w:rPr>
          <w:rFonts w:ascii="Times New Roman" w:hAnsi="Times New Roman" w:cs="Times New Roman"/>
          <w:sz w:val="24"/>
          <w:szCs w:val="24"/>
        </w:rPr>
        <w:t xml:space="preserve"> 15.6 at baseline, across (A) LEMS, (B) AMI, (C) proprioception, (D) BBS, (E) WISCI-II, (F) SCIM-III, and (G) SCIM-III mobility subscale. </w:t>
      </w:r>
      <w:r w:rsidR="00A2258D" w:rsidRPr="00F66508">
        <w:rPr>
          <w:rFonts w:ascii="Times New Roman" w:hAnsi="Times New Roman" w:cs="Times New Roman"/>
          <w:sz w:val="24"/>
          <w:szCs w:val="24"/>
        </w:rPr>
        <w:t>†</w:t>
      </w:r>
      <w:r w:rsidR="00A2258D">
        <w:rPr>
          <w:rFonts w:ascii="Times New Roman" w:hAnsi="Times New Roman" w:cs="Times New Roman"/>
          <w:sz w:val="24"/>
          <w:szCs w:val="24"/>
        </w:rPr>
        <w:t xml:space="preserve"> </w:t>
      </w:r>
      <w:r w:rsidR="00A2258D" w:rsidRPr="00EC6E85">
        <w:rPr>
          <w:rFonts w:ascii="Times New Roman" w:hAnsi="Times New Roman" w:cs="Times New Roman"/>
          <w:sz w:val="24"/>
          <w:szCs w:val="24"/>
        </w:rPr>
        <w:t>indicates significant between-group difference (p &lt; 0.05).</w:t>
      </w:r>
    </w:p>
    <w:p w:rsidR="00337ECF" w:rsidRPr="00A2258D" w:rsidRDefault="00A2258D">
      <w:r w:rsidRPr="00A2258D">
        <w:rPr>
          <w:noProof/>
        </w:rPr>
        <w:drawing>
          <wp:inline distT="0" distB="0" distL="0" distR="0" wp14:anchorId="44129685" wp14:editId="69D5F4A1">
            <wp:extent cx="5129794" cy="3429007"/>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29794" cy="3429007"/>
                    </a:xfrm>
                    <a:prstGeom prst="rect">
                      <a:avLst/>
                    </a:prstGeom>
                  </pic:spPr>
                </pic:pic>
              </a:graphicData>
            </a:graphic>
          </wp:inline>
        </w:drawing>
      </w:r>
    </w:p>
    <w:sectPr w:rsidR="00337ECF" w:rsidRPr="00A2258D" w:rsidSect="00A2258D">
      <w:pgSz w:w="11906" w:h="16838"/>
      <w:pgMar w:top="1418" w:right="1418" w:bottom="1418" w:left="1418"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51" w:rsidRDefault="000B2F51">
      <w:pPr>
        <w:spacing w:after="0" w:line="240" w:lineRule="auto"/>
      </w:pPr>
      <w:r>
        <w:separator/>
      </w:r>
    </w:p>
  </w:endnote>
  <w:endnote w:type="continuationSeparator" w:id="0">
    <w:p w:rsidR="000B2F51" w:rsidRDefault="000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998288"/>
      <w:docPartObj>
        <w:docPartGallery w:val="Page Numbers (Bottom of Page)"/>
        <w:docPartUnique/>
      </w:docPartObj>
    </w:sdtPr>
    <w:sdtEndPr/>
    <w:sdtContent>
      <w:p w:rsidR="001378E6" w:rsidRDefault="00EA3CF2">
        <w:pPr>
          <w:pStyle w:val="a3"/>
          <w:jc w:val="right"/>
        </w:pPr>
        <w:r>
          <w:fldChar w:fldCharType="begin"/>
        </w:r>
        <w:r>
          <w:instrText>PAGE   \* MERGEFORMAT</w:instrText>
        </w:r>
        <w:r>
          <w:fldChar w:fldCharType="separate"/>
        </w:r>
        <w:r w:rsidR="00B4286A" w:rsidRPr="00B4286A">
          <w:rPr>
            <w:noProof/>
            <w:lang w:val="ko-KR"/>
          </w:rPr>
          <w:t>1</w:t>
        </w:r>
        <w:r>
          <w:fldChar w:fldCharType="end"/>
        </w:r>
      </w:p>
    </w:sdtContent>
  </w:sdt>
  <w:p w:rsidR="001378E6" w:rsidRDefault="000B2F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51" w:rsidRDefault="000B2F51">
      <w:pPr>
        <w:spacing w:after="0" w:line="240" w:lineRule="auto"/>
      </w:pPr>
      <w:r>
        <w:separator/>
      </w:r>
    </w:p>
  </w:footnote>
  <w:footnote w:type="continuationSeparator" w:id="0">
    <w:p w:rsidR="000B2F51" w:rsidRDefault="000B2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8D"/>
    <w:rsid w:val="000B2F51"/>
    <w:rsid w:val="00337ECF"/>
    <w:rsid w:val="00A2258D"/>
    <w:rsid w:val="00B4286A"/>
    <w:rsid w:val="00EA3C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F53B"/>
  <w15:chartTrackingRefBased/>
  <w15:docId w15:val="{FF1EABAE-C7BF-43DE-B68C-67B74731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58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2258D"/>
    <w:pPr>
      <w:tabs>
        <w:tab w:val="center" w:pos="4513"/>
        <w:tab w:val="right" w:pos="9026"/>
      </w:tabs>
      <w:snapToGrid w:val="0"/>
    </w:pPr>
  </w:style>
  <w:style w:type="character" w:customStyle="1" w:styleId="Char">
    <w:name w:val="바닥글 Char"/>
    <w:basedOn w:val="a0"/>
    <w:link w:val="a3"/>
    <w:uiPriority w:val="99"/>
    <w:rsid w:val="00A2258D"/>
  </w:style>
  <w:style w:type="table" w:styleId="a4">
    <w:name w:val="Table Grid"/>
    <w:basedOn w:val="a1"/>
    <w:uiPriority w:val="39"/>
    <w:rsid w:val="00A22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A2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이수지(재활의학과)</dc:creator>
  <cp:keywords/>
  <dc:description/>
  <cp:lastModifiedBy>이수지(재활의학과)</cp:lastModifiedBy>
  <cp:revision>3</cp:revision>
  <dcterms:created xsi:type="dcterms:W3CDTF">2025-04-25T07:48:00Z</dcterms:created>
  <dcterms:modified xsi:type="dcterms:W3CDTF">2025-04-25T08:22:00Z</dcterms:modified>
</cp:coreProperties>
</file>