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2B7" w:rsidRDefault="008912B7" w:rsidP="008912B7">
      <w:pPr>
        <w:spacing w:line="240" w:lineRule="auto"/>
        <w:contextualSpacing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Supplemental Table 3. </w:t>
      </w:r>
      <w:r>
        <w:rPr>
          <w:rFonts w:ascii="Arial" w:hAnsi="Arial" w:cs="Arial"/>
        </w:rPr>
        <w:t xml:space="preserve">Comparison of dyspepsia severity between </w:t>
      </w:r>
      <w:r>
        <w:rPr>
          <w:rFonts w:ascii="Arial" w:hAnsi="Arial" w:cs="Arial"/>
          <w:i/>
        </w:rPr>
        <w:t>Helicobacter pylori</w:t>
      </w:r>
      <w:r>
        <w:rPr>
          <w:rFonts w:ascii="Arial" w:hAnsi="Arial" w:cs="Arial"/>
        </w:rPr>
        <w:t>-positive and –negative participants.</w:t>
      </w:r>
    </w:p>
    <w:tbl>
      <w:tblPr>
        <w:tblStyle w:val="TableGrid"/>
        <w:tblpPr w:leftFromText="180" w:rightFromText="180" w:vertAnchor="page" w:horzAnchor="margin" w:tblpY="2191"/>
        <w:tblW w:w="0" w:type="auto"/>
        <w:tblLook w:val="04A0" w:firstRow="1" w:lastRow="0" w:firstColumn="1" w:lastColumn="0" w:noHBand="0" w:noVBand="1"/>
      </w:tblPr>
      <w:tblGrid>
        <w:gridCol w:w="3325"/>
        <w:gridCol w:w="1349"/>
        <w:gridCol w:w="2338"/>
        <w:gridCol w:w="2338"/>
      </w:tblGrid>
      <w:tr w:rsidR="008912B7" w:rsidTr="008912B7">
        <w:tc>
          <w:tcPr>
            <w:tcW w:w="3325" w:type="dxa"/>
          </w:tcPr>
          <w:p w:rsidR="008912B7" w:rsidRPr="0091581E" w:rsidRDefault="008912B7" w:rsidP="008912B7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Characteristic</w:t>
            </w:r>
          </w:p>
        </w:tc>
        <w:tc>
          <w:tcPr>
            <w:tcW w:w="1349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H. pylori</w:t>
            </w:r>
            <w:r>
              <w:rPr>
                <w:rFonts w:ascii="Arial" w:hAnsi="Arial" w:cs="Arial"/>
                <w:b/>
                <w:sz w:val="18"/>
                <w:szCs w:val="18"/>
              </w:rPr>
              <w:t>-positive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(n = 181)</w:t>
            </w:r>
          </w:p>
        </w:tc>
        <w:tc>
          <w:tcPr>
            <w:tcW w:w="2338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H. pylori</w:t>
            </w:r>
            <w:r>
              <w:rPr>
                <w:rFonts w:ascii="Arial" w:hAnsi="Arial" w:cs="Arial"/>
                <w:b/>
                <w:sz w:val="18"/>
                <w:szCs w:val="18"/>
              </w:rPr>
              <w:t>-negative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(n = 195)</w:t>
            </w:r>
          </w:p>
        </w:tc>
        <w:tc>
          <w:tcPr>
            <w:tcW w:w="2338" w:type="dxa"/>
          </w:tcPr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P </w:t>
            </w:r>
            <w:r>
              <w:rPr>
                <w:rFonts w:ascii="Arial" w:hAnsi="Arial" w:cs="Arial"/>
                <w:b/>
                <w:sz w:val="18"/>
                <w:szCs w:val="18"/>
              </w:rPr>
              <w:t>value</w:t>
            </w:r>
          </w:p>
        </w:tc>
      </w:tr>
      <w:tr w:rsidR="008912B7" w:rsidTr="008912B7">
        <w:tc>
          <w:tcPr>
            <w:tcW w:w="3325" w:type="dxa"/>
          </w:tcPr>
          <w:p w:rsidR="008912B7" w:rsidRPr="0091581E" w:rsidRDefault="008912B7" w:rsidP="008912B7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Dyspepsia score, median (IQR)</w:t>
            </w:r>
          </w:p>
        </w:tc>
        <w:tc>
          <w:tcPr>
            <w:tcW w:w="1349" w:type="dxa"/>
          </w:tcPr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 (10)</w:t>
            </w:r>
          </w:p>
        </w:tc>
        <w:tc>
          <w:tcPr>
            <w:tcW w:w="2338" w:type="dxa"/>
          </w:tcPr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(9)</w:t>
            </w:r>
          </w:p>
        </w:tc>
        <w:tc>
          <w:tcPr>
            <w:tcW w:w="2338" w:type="dxa"/>
          </w:tcPr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0.1858</w:t>
            </w:r>
          </w:p>
        </w:tc>
      </w:tr>
      <w:tr w:rsidR="008912B7" w:rsidTr="008912B7">
        <w:tc>
          <w:tcPr>
            <w:tcW w:w="3325" w:type="dxa"/>
          </w:tcPr>
          <w:p w:rsidR="008912B7" w:rsidRDefault="008912B7" w:rsidP="008912B7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Dyspepsia, n (%)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6"/>
                <w:szCs w:val="16"/>
              </w:rPr>
              <w:t>None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Mild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Moderate</w:t>
            </w:r>
          </w:p>
          <w:p w:rsidR="008912B7" w:rsidRPr="0091581E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Severe</w:t>
            </w:r>
          </w:p>
        </w:tc>
        <w:tc>
          <w:tcPr>
            <w:tcW w:w="1349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 (12.7)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 (42)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 (26.5)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 (18.8)</w:t>
            </w:r>
          </w:p>
        </w:tc>
        <w:tc>
          <w:tcPr>
            <w:tcW w:w="2338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27 (13.8)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89 (45.6)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45 (23.1)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34 (17.4)</w:t>
            </w:r>
          </w:p>
        </w:tc>
        <w:tc>
          <w:tcPr>
            <w:tcW w:w="2338" w:type="dxa"/>
          </w:tcPr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0.8204</w:t>
            </w:r>
          </w:p>
        </w:tc>
      </w:tr>
      <w:tr w:rsidR="008912B7" w:rsidTr="008912B7">
        <w:tc>
          <w:tcPr>
            <w:tcW w:w="3325" w:type="dxa"/>
          </w:tcPr>
          <w:p w:rsidR="008912B7" w:rsidRDefault="008912B7" w:rsidP="008912B7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Indigestion, n (%)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6"/>
                <w:szCs w:val="16"/>
              </w:rPr>
              <w:t>Not at all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Less than once a month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Between once a month and once a week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Between once a week and once a day</w:t>
            </w:r>
          </w:p>
          <w:p w:rsidR="008912B7" w:rsidRPr="0091581E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Once a day or more</w:t>
            </w:r>
          </w:p>
        </w:tc>
        <w:tc>
          <w:tcPr>
            <w:tcW w:w="1349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50 (27.6)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11 (6.1)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46 (25.4)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39 (21.5)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35 (19.3)</w:t>
            </w:r>
          </w:p>
        </w:tc>
        <w:tc>
          <w:tcPr>
            <w:tcW w:w="2338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72 (36.9)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13 (6.7)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37 (19)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36 (18.5)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37 (19)</w:t>
            </w:r>
          </w:p>
        </w:tc>
        <w:tc>
          <w:tcPr>
            <w:tcW w:w="2338" w:type="dxa"/>
          </w:tcPr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0.3098</w:t>
            </w:r>
          </w:p>
        </w:tc>
      </w:tr>
      <w:tr w:rsidR="008912B7" w:rsidTr="008912B7">
        <w:tc>
          <w:tcPr>
            <w:tcW w:w="3325" w:type="dxa"/>
          </w:tcPr>
          <w:p w:rsidR="008912B7" w:rsidRDefault="008912B7" w:rsidP="008912B7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Heartburn, n (%)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6"/>
                <w:szCs w:val="16"/>
              </w:rPr>
              <w:t>Not at all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Less than once a month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Between once a month and once a week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Between once a week and once a day</w:t>
            </w:r>
          </w:p>
          <w:p w:rsidR="008912B7" w:rsidRPr="0091581E" w:rsidRDefault="008912B7" w:rsidP="008912B7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Once a day or more</w:t>
            </w:r>
          </w:p>
        </w:tc>
        <w:tc>
          <w:tcPr>
            <w:tcW w:w="1349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53 (29.3)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17 (9.4)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44 (24.3)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40 (22.1)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27 (14.9)</w:t>
            </w:r>
          </w:p>
        </w:tc>
        <w:tc>
          <w:tcPr>
            <w:tcW w:w="2338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71 (36.4)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16 (8.2)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38 (19.5)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40 (20.5)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30 (15.4)</w:t>
            </w:r>
          </w:p>
        </w:tc>
        <w:tc>
          <w:tcPr>
            <w:tcW w:w="2338" w:type="dxa"/>
          </w:tcPr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0.6043</w:t>
            </w:r>
          </w:p>
        </w:tc>
      </w:tr>
      <w:tr w:rsidR="008912B7" w:rsidTr="008912B7">
        <w:tc>
          <w:tcPr>
            <w:tcW w:w="3325" w:type="dxa"/>
          </w:tcPr>
          <w:p w:rsidR="008912B7" w:rsidRDefault="008912B7" w:rsidP="008912B7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Regurgitation, n (%)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6"/>
                <w:szCs w:val="16"/>
              </w:rPr>
              <w:t>Not at all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Less than once a month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Between once a month and once a week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Between once a week and once a day</w:t>
            </w:r>
          </w:p>
          <w:p w:rsidR="008912B7" w:rsidRPr="0091581E" w:rsidRDefault="008912B7" w:rsidP="008912B7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Once a day or more</w:t>
            </w:r>
          </w:p>
        </w:tc>
        <w:tc>
          <w:tcPr>
            <w:tcW w:w="1349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86 (47.5)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25 (13.8)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31 (17.1)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27 (14.9)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12 (6.6)</w:t>
            </w:r>
          </w:p>
        </w:tc>
        <w:tc>
          <w:tcPr>
            <w:tcW w:w="2338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104 (53.3)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19 (9.7)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23 (11.8)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31 (15.9)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18 (9.2)</w:t>
            </w:r>
          </w:p>
        </w:tc>
        <w:tc>
          <w:tcPr>
            <w:tcW w:w="2338" w:type="dxa"/>
          </w:tcPr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0.3217</w:t>
            </w:r>
          </w:p>
        </w:tc>
      </w:tr>
      <w:tr w:rsidR="008912B7" w:rsidTr="008912B7">
        <w:tc>
          <w:tcPr>
            <w:tcW w:w="3325" w:type="dxa"/>
          </w:tcPr>
          <w:p w:rsidR="008912B7" w:rsidRDefault="008912B7" w:rsidP="008912B7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Nausea, n (%)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6"/>
                <w:szCs w:val="16"/>
              </w:rPr>
              <w:t>Not at all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Less than once a month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Between once a month and once a week</w:t>
            </w:r>
          </w:p>
          <w:p w:rsidR="008912B7" w:rsidRDefault="008912B7" w:rsidP="008912B7">
            <w:pPr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Between once a week and once a day</w:t>
            </w:r>
          </w:p>
          <w:p w:rsidR="008912B7" w:rsidRPr="0091581E" w:rsidRDefault="008912B7" w:rsidP="008912B7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Once a day or more</w:t>
            </w:r>
          </w:p>
        </w:tc>
        <w:tc>
          <w:tcPr>
            <w:tcW w:w="1349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91 (50.3)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18 (9.9)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35 (19.3)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30 (16.6)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81E">
              <w:rPr>
                <w:rFonts w:ascii="Arial" w:hAnsi="Arial" w:cs="Arial"/>
                <w:sz w:val="16"/>
                <w:szCs w:val="16"/>
              </w:rPr>
              <w:t>7 (3.9)</w:t>
            </w:r>
          </w:p>
        </w:tc>
        <w:tc>
          <w:tcPr>
            <w:tcW w:w="2338" w:type="dxa"/>
          </w:tcPr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111 (56.9)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18 (9.2)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30 (15.4)</w:t>
            </w:r>
          </w:p>
          <w:p w:rsidR="008912B7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25 (12.8)</w:t>
            </w:r>
          </w:p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2D41">
              <w:rPr>
                <w:rFonts w:ascii="Arial" w:hAnsi="Arial" w:cs="Arial"/>
                <w:sz w:val="16"/>
                <w:szCs w:val="16"/>
              </w:rPr>
              <w:t>11 (5.6)</w:t>
            </w:r>
          </w:p>
        </w:tc>
        <w:tc>
          <w:tcPr>
            <w:tcW w:w="2338" w:type="dxa"/>
          </w:tcPr>
          <w:p w:rsidR="008912B7" w:rsidRPr="0091581E" w:rsidRDefault="008912B7" w:rsidP="008912B7">
            <w:pPr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0.5252</w:t>
            </w:r>
          </w:p>
        </w:tc>
      </w:tr>
    </w:tbl>
    <w:p w:rsidR="008912B7" w:rsidRDefault="008912B7" w:rsidP="008912B7">
      <w:pPr>
        <w:spacing w:line="240" w:lineRule="auto"/>
        <w:contextualSpacing/>
        <w:rPr>
          <w:rFonts w:ascii="Arial" w:hAnsi="Arial" w:cs="Arial"/>
        </w:rPr>
      </w:pPr>
    </w:p>
    <w:p w:rsidR="008912B7" w:rsidRPr="008912B7" w:rsidRDefault="008912B7" w:rsidP="008912B7">
      <w:pPr>
        <w:spacing w:line="240" w:lineRule="auto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H. pylori</w:t>
      </w:r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i/>
          <w:sz w:val="20"/>
          <w:szCs w:val="20"/>
        </w:rPr>
        <w:t>Helicobacter pylori</w:t>
      </w:r>
      <w:r>
        <w:rPr>
          <w:rFonts w:ascii="Arial" w:hAnsi="Arial" w:cs="Arial"/>
          <w:sz w:val="20"/>
          <w:szCs w:val="20"/>
        </w:rPr>
        <w:t>.</w:t>
      </w:r>
      <w:bookmarkStart w:id="0" w:name="_GoBack"/>
      <w:bookmarkEnd w:id="0"/>
    </w:p>
    <w:sectPr w:rsidR="008912B7" w:rsidRPr="008912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2B7"/>
    <w:rsid w:val="008912B7"/>
    <w:rsid w:val="008C2711"/>
    <w:rsid w:val="00BD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41B827-E5A9-4A39-9595-52D0D1F34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2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12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Saenz, Jose</dc:creator>
  <cp:keywords/>
  <dc:description/>
  <cp:lastModifiedBy>Saenz, Jose</cp:lastModifiedBy>
  <cp:revision>1</cp:revision>
  <dcterms:created xsi:type="dcterms:W3CDTF">2020-08-16T12:14:00Z</dcterms:created>
  <dcterms:modified xsi:type="dcterms:W3CDTF">2020-08-16T12:18:00Z</dcterms:modified>
</cp:coreProperties>
</file>