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EEFD6" w14:textId="77777777" w:rsidR="00B85C6D" w:rsidRPr="00B85C6D" w:rsidRDefault="00B85C6D" w:rsidP="00521163">
      <w:pPr>
        <w:pStyle w:val="Heading1"/>
        <w:spacing w:before="0"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85C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Enhancing Regeneration in White Yam (</w:t>
      </w:r>
      <w:r w:rsidRPr="00B85C6D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Dioscorea </w:t>
      </w:r>
      <w:proofErr w:type="spellStart"/>
      <w:r w:rsidRPr="00B85C6D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rotundata</w:t>
      </w:r>
      <w:proofErr w:type="spellEnd"/>
      <w:r w:rsidRPr="00B85C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 Through Friable Embryogenic Callus</w:t>
      </w:r>
    </w:p>
    <w:p w14:paraId="37439C0A" w14:textId="77777777" w:rsidR="00B85C6D" w:rsidRPr="00B85C6D" w:rsidRDefault="00B85C6D" w:rsidP="00521163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B85C6D">
        <w:rPr>
          <w:rFonts w:ascii="Times New Roman" w:hAnsi="Times New Roman" w:cs="Times New Roman"/>
          <w:color w:val="000000" w:themeColor="text1"/>
        </w:rPr>
        <w:t>Easter D. Syombua</w:t>
      </w:r>
      <w:r w:rsidRPr="00B85C6D">
        <w:rPr>
          <w:rFonts w:ascii="Times New Roman" w:hAnsi="Times New Roman" w:cs="Times New Roman"/>
          <w:color w:val="000000" w:themeColor="text1"/>
          <w:vertAlign w:val="superscript"/>
        </w:rPr>
        <w:t>1¶</w:t>
      </w:r>
      <w:r w:rsidRPr="00B85C6D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B85C6D">
        <w:rPr>
          <w:rFonts w:ascii="Times New Roman" w:hAnsi="Times New Roman" w:cs="Times New Roman"/>
          <w:color w:val="000000" w:themeColor="text1"/>
        </w:rPr>
        <w:t>Jaindra</w:t>
      </w:r>
      <w:proofErr w:type="spellEnd"/>
      <w:r w:rsidRPr="00B85C6D">
        <w:rPr>
          <w:rFonts w:ascii="Times New Roman" w:hAnsi="Times New Roman" w:cs="Times New Roman"/>
          <w:color w:val="000000" w:themeColor="text1"/>
        </w:rPr>
        <w:t xml:space="preserve"> N. Tripathi</w:t>
      </w:r>
      <w:r w:rsidRPr="00B85C6D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85C6D">
        <w:rPr>
          <w:rFonts w:ascii="Times New Roman" w:hAnsi="Times New Roman" w:cs="Times New Roman"/>
          <w:color w:val="000000" w:themeColor="text1"/>
        </w:rPr>
        <w:t xml:space="preserve"> and Leena Tripathi</w:t>
      </w:r>
      <w:r w:rsidRPr="00B85C6D">
        <w:rPr>
          <w:rFonts w:ascii="Times New Roman" w:hAnsi="Times New Roman" w:cs="Times New Roman"/>
          <w:color w:val="000000" w:themeColor="text1"/>
          <w:vertAlign w:val="superscript"/>
        </w:rPr>
        <w:t>1*</w:t>
      </w:r>
    </w:p>
    <w:p w14:paraId="37C6076C" w14:textId="77777777" w:rsidR="00B85C6D" w:rsidRPr="00B85C6D" w:rsidRDefault="00B85C6D" w:rsidP="00521163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B85C6D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B85C6D">
        <w:rPr>
          <w:rFonts w:ascii="Times New Roman" w:hAnsi="Times New Roman" w:cs="Times New Roman"/>
          <w:color w:val="000000" w:themeColor="text1"/>
        </w:rPr>
        <w:t xml:space="preserve">International Institute of Tropical Agriculture (IITA), Nairobi 30709-00100, Kenya </w:t>
      </w:r>
    </w:p>
    <w:p w14:paraId="3E6D2285" w14:textId="77777777" w:rsidR="00B85C6D" w:rsidRDefault="00B85C6D" w:rsidP="0052116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ArialMT" w:hAnsi="Times New Roman" w:cs="Times New Roman"/>
          <w:b/>
          <w:bCs/>
        </w:rPr>
      </w:pPr>
    </w:p>
    <w:p w14:paraId="4F315795" w14:textId="5777A8B8" w:rsidR="00182D80" w:rsidRDefault="00182D80" w:rsidP="00521163">
      <w:pPr>
        <w:spacing w:after="0" w:line="480" w:lineRule="auto"/>
        <w:jc w:val="both"/>
        <w:rPr>
          <w:rFonts w:ascii="Times New Roman" w:eastAsia="Calibri" w:hAnsi="Times New Roman" w:cs="Times New Roman"/>
          <w:color w:val="1F1F1F"/>
          <w:kern w:val="0"/>
        </w:rPr>
      </w:pPr>
      <w:r w:rsidRPr="00F752FE">
        <w:rPr>
          <w:rFonts w:ascii="Times New Roman" w:eastAsia="Calibri" w:hAnsi="Times New Roman" w:cs="Times New Roman"/>
          <w:b/>
          <w:bCs/>
          <w:color w:val="1F1F1F"/>
          <w:kern w:val="0"/>
        </w:rPr>
        <w:t>Fig. S1.</w:t>
      </w:r>
      <w:r w:rsidRPr="00F752FE">
        <w:rPr>
          <w:rFonts w:ascii="Times New Roman" w:eastAsia="Calibri" w:hAnsi="Times New Roman" w:cs="Times New Roman"/>
          <w:color w:val="1F1F1F"/>
          <w:kern w:val="0"/>
        </w:rPr>
        <w:t xml:space="preserve"> Schematic presentation of the direct embryogenesis protocol previously used in our lab </w:t>
      </w:r>
      <w:r w:rsidR="006D2DC6">
        <w:rPr>
          <w:rFonts w:ascii="Times New Roman" w:eastAsia="Calibri" w:hAnsi="Times New Roman" w:cs="Times New Roman"/>
          <w:color w:val="1F1F1F"/>
          <w:kern w:val="0"/>
        </w:rPr>
        <w:t xml:space="preserve">at IITA </w:t>
      </w:r>
      <w:r w:rsidRPr="00F752FE">
        <w:rPr>
          <w:rFonts w:ascii="Times New Roman" w:eastAsia="Calibri" w:hAnsi="Times New Roman" w:cs="Times New Roman"/>
          <w:color w:val="1F1F1F"/>
          <w:kern w:val="0"/>
        </w:rPr>
        <w:t xml:space="preserve">and the timelines for each culture stage. Takes 4 months from explant to </w:t>
      </w:r>
      <w:r w:rsidRPr="00F752FE">
        <w:rPr>
          <w:rFonts w:ascii="Times New Roman" w:eastAsia="Calibri" w:hAnsi="Times New Roman" w:cs="Times New Roman"/>
          <w:i/>
          <w:iCs/>
          <w:color w:val="1F1F1F"/>
          <w:kern w:val="0"/>
        </w:rPr>
        <w:t>in vitro</w:t>
      </w:r>
      <w:r w:rsidRPr="00F752FE">
        <w:rPr>
          <w:rFonts w:ascii="Times New Roman" w:eastAsia="Calibri" w:hAnsi="Times New Roman" w:cs="Times New Roman"/>
          <w:color w:val="1F1F1F"/>
          <w:kern w:val="0"/>
        </w:rPr>
        <w:t xml:space="preserve"> plantlet (Manoharan et al., 2016) and acclimatized plantlets generate healthy tubers within 3-4 months. </w:t>
      </w:r>
      <w:bookmarkStart w:id="0" w:name="_Toc88138731"/>
    </w:p>
    <w:p w14:paraId="1F4BD6EF" w14:textId="77777777" w:rsidR="00F01DE6" w:rsidRPr="00F752FE" w:rsidRDefault="00F01DE6" w:rsidP="00521163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kern w:val="0"/>
        </w:rPr>
      </w:pPr>
    </w:p>
    <w:p w14:paraId="32F9BDBB" w14:textId="3275A530" w:rsidR="00182D80" w:rsidRPr="00F752FE" w:rsidRDefault="00874E94" w:rsidP="0052116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752FE">
        <w:rPr>
          <w:rFonts w:ascii="Times New Roman" w:eastAsia="Calibri" w:hAnsi="Times New Roman" w:cs="Times New Roman"/>
          <w:b/>
          <w:bCs/>
          <w:kern w:val="0"/>
        </w:rPr>
        <w:t xml:space="preserve">Table </w:t>
      </w:r>
      <w:r w:rsidR="00182D80" w:rsidRPr="00F752FE">
        <w:rPr>
          <w:rFonts w:ascii="Times New Roman" w:eastAsia="Calibri" w:hAnsi="Times New Roman" w:cs="Times New Roman"/>
          <w:b/>
          <w:bCs/>
          <w:kern w:val="0"/>
        </w:rPr>
        <w:t>S1:</w:t>
      </w:r>
      <w:r w:rsidR="00182D80" w:rsidRPr="00F752FE">
        <w:rPr>
          <w:rFonts w:ascii="Times New Roman" w:eastAsia="Calibri" w:hAnsi="Times New Roman" w:cs="Times New Roman"/>
          <w:kern w:val="0"/>
        </w:rPr>
        <w:t xml:space="preserve"> </w:t>
      </w:r>
      <w:bookmarkEnd w:id="0"/>
      <w:r w:rsidR="00182D80" w:rsidRPr="00F752FE">
        <w:rPr>
          <w:rFonts w:ascii="Times New Roman" w:eastAsia="Times New Roman" w:hAnsi="Times New Roman" w:cs="Times New Roman"/>
          <w:kern w:val="0"/>
          <w14:ligatures w14:val="none"/>
        </w:rPr>
        <w:t>Media formulations used for FEC development and regeneration in yam</w:t>
      </w:r>
      <w:r w:rsidR="006D2DC6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4"/>
        <w:gridCol w:w="5114"/>
        <w:gridCol w:w="2382"/>
      </w:tblGrid>
      <w:tr w:rsidR="00182D80" w:rsidRPr="00F752FE" w14:paraId="36DEF7F8" w14:textId="77777777" w:rsidTr="0010307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1F0772A" w14:textId="77777777" w:rsidR="00182D80" w:rsidRPr="00F752FE" w:rsidRDefault="00182D80" w:rsidP="005211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Media Type</w:t>
            </w:r>
          </w:p>
        </w:tc>
        <w:tc>
          <w:tcPr>
            <w:tcW w:w="0" w:type="auto"/>
            <w:vAlign w:val="center"/>
            <w:hideMark/>
          </w:tcPr>
          <w:p w14:paraId="711863FE" w14:textId="77777777" w:rsidR="00182D80" w:rsidRPr="00F752FE" w:rsidRDefault="00182D80" w:rsidP="005211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Components</w:t>
            </w:r>
          </w:p>
        </w:tc>
        <w:tc>
          <w:tcPr>
            <w:tcW w:w="0" w:type="auto"/>
            <w:vAlign w:val="center"/>
            <w:hideMark/>
          </w:tcPr>
          <w:p w14:paraId="4FC0EA07" w14:textId="77777777" w:rsidR="00182D80" w:rsidRPr="00F752FE" w:rsidRDefault="00182D80" w:rsidP="005211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Purpose</w:t>
            </w:r>
          </w:p>
        </w:tc>
      </w:tr>
      <w:tr w:rsidR="00182D80" w:rsidRPr="00F752FE" w14:paraId="6BBE7174" w14:textId="77777777" w:rsidTr="001030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DBAE60" w14:textId="65953141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Yam Basic Medium</w:t>
            </w:r>
            <w:r w:rsidR="006D2DC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(YBM)</w:t>
            </w:r>
          </w:p>
        </w:tc>
        <w:tc>
          <w:tcPr>
            <w:tcW w:w="0" w:type="auto"/>
            <w:vAlign w:val="center"/>
            <w:hideMark/>
          </w:tcPr>
          <w:p w14:paraId="60BD6513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Murashige and Skoog (MS) salts, 30 g/L sucrose, 2 mg/L glycine, 100 mg/L myo-inositol, 0.5 mg/L nicotinic acid, 0.5 mg/L </w:t>
            </w:r>
            <w:proofErr w:type="spellStart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pyridoxine·HCl</w:t>
            </w:r>
            <w:proofErr w:type="spellEnd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0.1 mg/L thiamine, 2.4 g/L </w:t>
            </w:r>
            <w:proofErr w:type="spellStart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Gelrite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DB7FB0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Maintenance of </w:t>
            </w:r>
            <w:r w:rsidRPr="00F752FE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in vitro</w:t>
            </w: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yam plantlets</w:t>
            </w:r>
          </w:p>
        </w:tc>
      </w:tr>
      <w:tr w:rsidR="00182D80" w:rsidRPr="00F752FE" w14:paraId="546723F0" w14:textId="77777777" w:rsidTr="001030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136C46" w14:textId="59BFE9B5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Shoot Bud Induction Medium</w:t>
            </w:r>
            <w:r w:rsidR="006D2DC6"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</w:t>
            </w:r>
            <w:r w:rsidR="006D2DC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(</w:t>
            </w:r>
            <w:r w:rsidR="006D2DC6"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SBM</w:t>
            </w: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782D7A17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MS salts, 2 </w:t>
            </w:r>
            <w:proofErr w:type="spellStart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μM</w:t>
            </w:r>
            <w:proofErr w:type="spellEnd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CuSO4, 1 mg/L 6-benzylaminopurine (BAP), 2% sucrose, 3 g/L </w:t>
            </w:r>
            <w:proofErr w:type="spellStart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Gelrite</w:t>
            </w:r>
            <w:proofErr w:type="spellEnd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2 mg/L glycine, 100 mg/L myo-inositol, 0.5 mg/L nicotinic acid, 0.5 mg/L </w:t>
            </w:r>
            <w:proofErr w:type="spellStart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pyridoxine·HCl</w:t>
            </w:r>
            <w:proofErr w:type="spellEnd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, 0.1 mg/L thiamine</w:t>
            </w:r>
          </w:p>
        </w:tc>
        <w:tc>
          <w:tcPr>
            <w:tcW w:w="0" w:type="auto"/>
            <w:vAlign w:val="center"/>
            <w:hideMark/>
          </w:tcPr>
          <w:p w14:paraId="03B1BB32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Inducing axillary bud growth in nodal explants</w:t>
            </w:r>
          </w:p>
        </w:tc>
      </w:tr>
      <w:tr w:rsidR="00182D80" w:rsidRPr="00F752FE" w14:paraId="70CCF4D2" w14:textId="77777777" w:rsidTr="001030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DA7F90" w14:textId="55D12D8F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lastRenderedPageBreak/>
              <w:t>Callus Induction Medium</w:t>
            </w:r>
            <w:r w:rsidR="006D2DC6"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</w:t>
            </w:r>
            <w:r w:rsidR="006D2DC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(</w:t>
            </w:r>
            <w:r w:rsidR="006D2DC6"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CIM</w:t>
            </w: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05C74D4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MS salts, 0.5 mg/L picloram, 2% sucrose, 3 g/L </w:t>
            </w:r>
            <w:proofErr w:type="spellStart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Gelrite</w:t>
            </w:r>
            <w:proofErr w:type="spellEnd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2 mg/L glycine, 100 mg/L myo-inositol, 0.5 mg/L nicotinic acid, 0.5 mg/L </w:t>
            </w:r>
            <w:proofErr w:type="spellStart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pyridoxine·HCl</w:t>
            </w:r>
            <w:proofErr w:type="spellEnd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, 0.1 mg/L thiamine</w:t>
            </w:r>
          </w:p>
        </w:tc>
        <w:tc>
          <w:tcPr>
            <w:tcW w:w="0" w:type="auto"/>
            <w:vAlign w:val="center"/>
            <w:hideMark/>
          </w:tcPr>
          <w:p w14:paraId="35FAC7BA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Inducing somatic embryogenesis from axillary buds</w:t>
            </w:r>
          </w:p>
        </w:tc>
      </w:tr>
      <w:tr w:rsidR="00182D80" w:rsidRPr="00F752FE" w14:paraId="47F91573" w14:textId="77777777" w:rsidTr="001030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D91CB8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CIM + Proline and Casein Hydrolysate</w:t>
            </w:r>
          </w:p>
        </w:tc>
        <w:tc>
          <w:tcPr>
            <w:tcW w:w="0" w:type="auto"/>
            <w:vAlign w:val="center"/>
            <w:hideMark/>
          </w:tcPr>
          <w:p w14:paraId="012F7F36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CIM with added proline (1 g/L) and casein hydrolysate (600 mg/L)</w:t>
            </w:r>
          </w:p>
        </w:tc>
        <w:tc>
          <w:tcPr>
            <w:tcW w:w="0" w:type="auto"/>
            <w:vAlign w:val="center"/>
            <w:hideMark/>
          </w:tcPr>
          <w:p w14:paraId="162FEF39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Enhanced callus proliferation and embryogenesis</w:t>
            </w:r>
          </w:p>
        </w:tc>
      </w:tr>
      <w:tr w:rsidR="00182D80" w:rsidRPr="00F752FE" w14:paraId="50DF6E13" w14:textId="77777777" w:rsidTr="0010307B">
        <w:trPr>
          <w:tblCellSpacing w:w="15" w:type="dxa"/>
        </w:trPr>
        <w:tc>
          <w:tcPr>
            <w:tcW w:w="0" w:type="auto"/>
            <w:vAlign w:val="center"/>
          </w:tcPr>
          <w:p w14:paraId="39B8A8E3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Liquid CIM with Ascorbic Acid</w:t>
            </w:r>
          </w:p>
        </w:tc>
        <w:tc>
          <w:tcPr>
            <w:tcW w:w="0" w:type="auto"/>
            <w:vAlign w:val="center"/>
          </w:tcPr>
          <w:p w14:paraId="7C33DCC9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CIM with 5-20 mg/L ascorbic acid</w:t>
            </w:r>
          </w:p>
        </w:tc>
        <w:tc>
          <w:tcPr>
            <w:tcW w:w="0" w:type="auto"/>
            <w:vAlign w:val="center"/>
          </w:tcPr>
          <w:p w14:paraId="6CAA006E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Washing meshed callus to reduce browning</w:t>
            </w:r>
          </w:p>
        </w:tc>
      </w:tr>
      <w:tr w:rsidR="00182D80" w:rsidRPr="00F752FE" w14:paraId="412BB9D2" w14:textId="77777777" w:rsidTr="001030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8EC152" w14:textId="73CCBF32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FEC Induction Medium</w:t>
            </w:r>
            <w:r w:rsidR="006D2DC6"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</w:t>
            </w:r>
            <w:r w:rsidR="006D2DC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(</w:t>
            </w:r>
            <w:r w:rsidR="006D2DC6"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FIM</w:t>
            </w: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D9B2847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Modified MS salts with reduced nitrogen, phosphate, and potassium levels, 10 mg/L thiamine</w:t>
            </w:r>
          </w:p>
        </w:tc>
        <w:tc>
          <w:tcPr>
            <w:tcW w:w="0" w:type="auto"/>
            <w:vAlign w:val="center"/>
            <w:hideMark/>
          </w:tcPr>
          <w:p w14:paraId="5464FC31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Inducing FEC formation</w:t>
            </w:r>
          </w:p>
        </w:tc>
      </w:tr>
      <w:tr w:rsidR="00182D80" w:rsidRPr="00F752FE" w14:paraId="02CC35C6" w14:textId="77777777" w:rsidTr="0010307B">
        <w:trPr>
          <w:tblCellSpacing w:w="15" w:type="dxa"/>
        </w:trPr>
        <w:tc>
          <w:tcPr>
            <w:tcW w:w="0" w:type="auto"/>
            <w:vAlign w:val="center"/>
          </w:tcPr>
          <w:p w14:paraId="458474D8" w14:textId="7105770F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proofErr w:type="spellStart"/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Gresshoff</w:t>
            </w:r>
            <w:proofErr w:type="spellEnd"/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and Doy </w:t>
            </w:r>
            <w:r w:rsidR="006D2DC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(</w:t>
            </w:r>
            <w:r w:rsidR="006D2DC6"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GD)</w:t>
            </w:r>
            <w:r w:rsidR="006D2DC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</w:t>
            </w: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Medium</w:t>
            </w:r>
            <w:r w:rsidR="006D2DC6"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05836E38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Gresshoff</w:t>
            </w:r>
            <w:proofErr w:type="spellEnd"/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and Doy basal salts and vitamins, 0.5 mg/L picloram</w:t>
            </w:r>
          </w:p>
        </w:tc>
        <w:tc>
          <w:tcPr>
            <w:tcW w:w="0" w:type="auto"/>
            <w:vAlign w:val="center"/>
          </w:tcPr>
          <w:p w14:paraId="1E281577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Alternative medium for FEC formation</w:t>
            </w:r>
          </w:p>
        </w:tc>
      </w:tr>
      <w:tr w:rsidR="00182D80" w:rsidRPr="00F752FE" w14:paraId="4586F90B" w14:textId="77777777" w:rsidTr="001030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37A19A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Activated Charcoal Medium</w:t>
            </w:r>
          </w:p>
        </w:tc>
        <w:tc>
          <w:tcPr>
            <w:tcW w:w="0" w:type="auto"/>
            <w:vAlign w:val="center"/>
            <w:hideMark/>
          </w:tcPr>
          <w:p w14:paraId="443F8563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Hormone-free MS medium with 1% activated charcoal</w:t>
            </w:r>
          </w:p>
        </w:tc>
        <w:tc>
          <w:tcPr>
            <w:tcW w:w="0" w:type="auto"/>
            <w:vAlign w:val="center"/>
            <w:hideMark/>
          </w:tcPr>
          <w:p w14:paraId="53ECFBDC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Maturation of FECs into embryos</w:t>
            </w:r>
          </w:p>
        </w:tc>
      </w:tr>
      <w:tr w:rsidR="00182D80" w:rsidRPr="00F752FE" w14:paraId="240151E3" w14:textId="77777777" w:rsidTr="001030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4BF22B" w14:textId="46E18800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Maturation Medium </w:t>
            </w:r>
          </w:p>
        </w:tc>
        <w:tc>
          <w:tcPr>
            <w:tcW w:w="0" w:type="auto"/>
            <w:vAlign w:val="center"/>
            <w:hideMark/>
          </w:tcPr>
          <w:p w14:paraId="6A963B61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MS medium with 0.4 mg/L BAP, 10 mg/L ascorbic acid</w:t>
            </w:r>
          </w:p>
        </w:tc>
        <w:tc>
          <w:tcPr>
            <w:tcW w:w="0" w:type="auto"/>
            <w:vAlign w:val="center"/>
            <w:hideMark/>
          </w:tcPr>
          <w:p w14:paraId="2070D753" w14:textId="77777777" w:rsidR="00182D80" w:rsidRPr="00F752FE" w:rsidRDefault="00182D80" w:rsidP="00521163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752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Inducing cotyledonary embryo formation and green cotyledons</w:t>
            </w:r>
          </w:p>
        </w:tc>
      </w:tr>
    </w:tbl>
    <w:p w14:paraId="59E6B1B8" w14:textId="47BC72DC" w:rsidR="00182D80" w:rsidRPr="00F752FE" w:rsidRDefault="00182D80" w:rsidP="0052116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ArialMT" w:hAnsi="Times New Roman" w:cs="Times New Roman"/>
          <w:b/>
          <w:bCs/>
          <w:kern w:val="0"/>
        </w:rPr>
      </w:pPr>
      <w:r w:rsidRPr="00F752FE">
        <w:rPr>
          <w:rFonts w:ascii="Times New Roman" w:eastAsia="Calibri" w:hAnsi="Times New Roman" w:cs="Times New Roman"/>
          <w:b/>
          <w:bCs/>
          <w:kern w:val="0"/>
        </w:rPr>
        <w:lastRenderedPageBreak/>
        <w:t>Table S2:</w:t>
      </w:r>
      <w:r w:rsidRPr="00F752FE">
        <w:rPr>
          <w:rFonts w:ascii="Times New Roman" w:eastAsia="Calibri" w:hAnsi="Times New Roman" w:cs="Times New Roman"/>
          <w:kern w:val="0"/>
        </w:rPr>
        <w:t xml:space="preserve"> Medium components used to optimize FEC regeneration</w:t>
      </w:r>
    </w:p>
    <w:p w14:paraId="66057C18" w14:textId="4377816F" w:rsidR="00A77D9C" w:rsidRPr="00F752FE" w:rsidRDefault="00182D80" w:rsidP="0052116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ArialMT" w:hAnsi="Times New Roman" w:cs="Times New Roman"/>
          <w:b/>
          <w:bCs/>
          <w:kern w:val="0"/>
        </w:rPr>
      </w:pPr>
      <w:r w:rsidRPr="00F752FE">
        <w:rPr>
          <w:rFonts w:ascii="Times New Roman" w:eastAsia="ArialMT" w:hAnsi="Times New Roman" w:cs="Times New Roman"/>
          <w:b/>
          <w:bCs/>
          <w:noProof/>
          <w:kern w:val="0"/>
        </w:rPr>
        <w:drawing>
          <wp:inline distT="0" distB="0" distL="0" distR="0" wp14:anchorId="70845054" wp14:editId="1F0A93C3">
            <wp:extent cx="5487035" cy="6096635"/>
            <wp:effectExtent l="0" t="0" r="0" b="0"/>
            <wp:docPr id="56366048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6096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77D9C" w:rsidRPr="00F752FE" w:rsidSect="009E0B66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MT">
    <w:altName w:val="MS Mincho"/>
    <w:panose1 w:val="020B0604020202020204"/>
    <w:charset w:val="80"/>
    <w:family w:val="auto"/>
    <w:notTrueType/>
    <w:pitch w:val="default"/>
    <w:sig w:usb0="00000000" w:usb1="08070000" w:usb2="00000010" w:usb3="00000000" w:csb0="0002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D80"/>
    <w:rsid w:val="00055A8E"/>
    <w:rsid w:val="00055B80"/>
    <w:rsid w:val="00182D80"/>
    <w:rsid w:val="00271E60"/>
    <w:rsid w:val="004D3F09"/>
    <w:rsid w:val="004E429A"/>
    <w:rsid w:val="0050273D"/>
    <w:rsid w:val="00521163"/>
    <w:rsid w:val="005F23AB"/>
    <w:rsid w:val="006D2DC6"/>
    <w:rsid w:val="00874E94"/>
    <w:rsid w:val="009E0B66"/>
    <w:rsid w:val="00A25EB1"/>
    <w:rsid w:val="00A64E9B"/>
    <w:rsid w:val="00A77D9C"/>
    <w:rsid w:val="00AA7CF4"/>
    <w:rsid w:val="00B34F51"/>
    <w:rsid w:val="00B85C6D"/>
    <w:rsid w:val="00CF378A"/>
    <w:rsid w:val="00F01DE6"/>
    <w:rsid w:val="00F7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3FBEE"/>
  <w15:chartTrackingRefBased/>
  <w15:docId w15:val="{3D2F9432-E7A4-439B-A536-B684A29DA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2D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D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D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D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D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D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D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D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D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D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D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D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D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D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D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D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D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D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D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D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D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D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2D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D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D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D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D80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E0B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322</Words>
  <Characters>1905</Characters>
  <Application>Microsoft Office Word</Application>
  <DocSecurity>0</DocSecurity>
  <Lines>34</Lines>
  <Paragraphs>10</Paragraphs>
  <ScaleCrop>false</ScaleCrop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DAVID, Easter Syombua (CIMMYT)</dc:creator>
  <cp:keywords/>
  <dc:description/>
  <cp:lastModifiedBy>Tripathi, Leena (IITA)</cp:lastModifiedBy>
  <cp:revision>7</cp:revision>
  <dcterms:created xsi:type="dcterms:W3CDTF">2025-04-27T08:38:00Z</dcterms:created>
  <dcterms:modified xsi:type="dcterms:W3CDTF">2025-04-27T08:44:00Z</dcterms:modified>
</cp:coreProperties>
</file>