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CFF452" w14:textId="77777777" w:rsidR="00261E47" w:rsidRPr="00020118" w:rsidRDefault="00261E47" w:rsidP="00261E47">
      <w:pPr>
        <w:pStyle w:val="ListParagraph"/>
        <w:spacing w:line="276" w:lineRule="auto"/>
        <w:ind w:left="360"/>
        <w:rPr>
          <w:rFonts w:ascii="Arial" w:hAnsi="Arial" w:cs="Arial"/>
          <w:lang w:val="en-GB"/>
        </w:rPr>
      </w:pPr>
      <w:r w:rsidRPr="00E87875">
        <w:rPr>
          <w:rFonts w:ascii="Arial" w:hAnsi="Arial" w:cs="Arial"/>
          <w:lang w:val="en-GB"/>
        </w:rPr>
        <w:t>Graph 1. Univariate logistic regression analysis</w:t>
      </w:r>
      <w:r>
        <w:rPr>
          <w:rFonts w:ascii="Arial" w:hAnsi="Arial" w:cs="Arial"/>
          <w:lang w:val="en-GB"/>
        </w:rPr>
        <w:t xml:space="preserve"> of maternal and pregnancy factors</w:t>
      </w:r>
      <w:r w:rsidRPr="00581B71">
        <w:rPr>
          <w:noProof/>
        </w:rPr>
        <w:drawing>
          <wp:anchor distT="0" distB="0" distL="114300" distR="114300" simplePos="0" relativeHeight="251659264" behindDoc="0" locked="0" layoutInCell="1" allowOverlap="1" wp14:anchorId="5A59442D" wp14:editId="2D994EA9">
            <wp:simplePos x="0" y="0"/>
            <wp:positionH relativeFrom="margin">
              <wp:posOffset>-344170</wp:posOffset>
            </wp:positionH>
            <wp:positionV relativeFrom="margin">
              <wp:posOffset>581343</wp:posOffset>
            </wp:positionV>
            <wp:extent cx="6479540" cy="5660390"/>
            <wp:effectExtent l="0" t="0" r="16510" b="16510"/>
            <wp:wrapSquare wrapText="bothSides"/>
            <wp:docPr id="755684860" name="Wykres 1">
              <a:extLst xmlns:a="http://schemas.openxmlformats.org/drawingml/2006/main">
                <a:ext uri="{FF2B5EF4-FFF2-40B4-BE49-F238E27FC236}">
                  <a16:creationId xmlns:a16="http://schemas.microsoft.com/office/drawing/2014/main" id="{CF5AE755-B604-4F99-DED7-A6D708E3D7BB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  <wp14:sizeRelH relativeFrom="margin">
              <wp14:pctWidth>0</wp14:pctWidth>
            </wp14:sizeRelH>
          </wp:anchor>
        </w:drawing>
      </w:r>
    </w:p>
    <w:p w14:paraId="40DCAA38" w14:textId="77777777" w:rsidR="00261E47" w:rsidRPr="00E87875" w:rsidRDefault="00261E47" w:rsidP="00261E47">
      <w:pPr>
        <w:pStyle w:val="ListParagraph"/>
        <w:ind w:left="360"/>
        <w:jc w:val="center"/>
        <w:rPr>
          <w:rFonts w:ascii="Arial" w:hAnsi="Arial" w:cs="Arial"/>
          <w:lang w:val="en-GB"/>
        </w:rPr>
      </w:pPr>
    </w:p>
    <w:p w14:paraId="6C7AFFEB" w14:textId="77777777" w:rsidR="00261E47" w:rsidRPr="00E87875" w:rsidRDefault="00261E47" w:rsidP="00261E47">
      <w:pPr>
        <w:pStyle w:val="ListParagraph"/>
        <w:spacing w:line="276" w:lineRule="auto"/>
        <w:ind w:left="360"/>
        <w:rPr>
          <w:rFonts w:ascii="Arial" w:hAnsi="Arial" w:cs="Arial"/>
          <w:lang w:val="en-GB"/>
        </w:rPr>
      </w:pPr>
      <w:r w:rsidRPr="00E87875">
        <w:rPr>
          <w:rFonts w:ascii="Arial" w:hAnsi="Arial" w:cs="Arial"/>
          <w:lang w:val="en-GB"/>
        </w:rPr>
        <w:br w:type="page"/>
      </w:r>
      <w:r w:rsidRPr="00E87875">
        <w:rPr>
          <w:rFonts w:ascii="Arial" w:hAnsi="Arial" w:cs="Arial"/>
          <w:lang w:val="en-GB"/>
        </w:rPr>
        <w:lastRenderedPageBreak/>
        <w:br/>
      </w:r>
      <w:r w:rsidRPr="00581B71">
        <w:rPr>
          <w:noProof/>
        </w:rPr>
        <w:drawing>
          <wp:anchor distT="0" distB="0" distL="114300" distR="114300" simplePos="0" relativeHeight="251660288" behindDoc="1" locked="0" layoutInCell="1" allowOverlap="1" wp14:anchorId="6D6B7AD7" wp14:editId="4F5474F4">
            <wp:simplePos x="0" y="0"/>
            <wp:positionH relativeFrom="margin">
              <wp:align>center</wp:align>
            </wp:positionH>
            <wp:positionV relativeFrom="margin">
              <wp:posOffset>523240</wp:posOffset>
            </wp:positionV>
            <wp:extent cx="6480000" cy="5774055"/>
            <wp:effectExtent l="0" t="0" r="16510" b="17145"/>
            <wp:wrapSquare wrapText="bothSides"/>
            <wp:docPr id="600062768" name="Wykres 1">
              <a:extLst xmlns:a="http://schemas.openxmlformats.org/drawingml/2006/main">
                <a:ext uri="{FF2B5EF4-FFF2-40B4-BE49-F238E27FC236}">
                  <a16:creationId xmlns:a16="http://schemas.microsoft.com/office/drawing/2014/main" id="{8C038A5C-70F8-4FCE-8819-11650CF85FAE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  <wp14:sizeRelH relativeFrom="margin">
              <wp14:pctWidth>0</wp14:pctWidth>
            </wp14:sizeRelH>
          </wp:anchor>
        </w:drawing>
      </w:r>
      <w:r w:rsidRPr="00E87875">
        <w:rPr>
          <w:rFonts w:ascii="Arial" w:hAnsi="Arial" w:cs="Arial"/>
          <w:lang w:val="en-GB"/>
        </w:rPr>
        <w:t>Graph 2. Multivariate logistic regression analysis</w:t>
      </w:r>
      <w:r>
        <w:rPr>
          <w:rFonts w:ascii="Arial" w:hAnsi="Arial" w:cs="Arial"/>
          <w:lang w:val="en-GB"/>
        </w:rPr>
        <w:t xml:space="preserve"> of maternal and pregnancy factors.</w:t>
      </w:r>
    </w:p>
    <w:p w14:paraId="45B8CD29" w14:textId="77777777" w:rsidR="00261E47" w:rsidRPr="00C2098F" w:rsidRDefault="00261E47" w:rsidP="00261E47">
      <w:pPr>
        <w:pStyle w:val="ListParagraph"/>
        <w:spacing w:line="276" w:lineRule="auto"/>
        <w:ind w:left="360"/>
        <w:rPr>
          <w:rFonts w:ascii="Arial" w:hAnsi="Arial" w:cs="Arial"/>
          <w:lang w:val="en-GB"/>
        </w:rPr>
      </w:pPr>
    </w:p>
    <w:p w14:paraId="5DA38239" w14:textId="77777777" w:rsidR="00261E47" w:rsidRPr="00186B6B" w:rsidRDefault="00261E47" w:rsidP="00261E47">
      <w:pPr>
        <w:shd w:val="clear" w:color="auto" w:fill="FFFFFF"/>
        <w:rPr>
          <w:rFonts w:ascii="Arial" w:hAnsi="Arial" w:cs="Arial"/>
          <w:lang w:val="en-GB"/>
        </w:rPr>
      </w:pPr>
    </w:p>
    <w:p w14:paraId="64C7A6DC" w14:textId="77777777" w:rsidR="00261E47" w:rsidRDefault="00261E47" w:rsidP="00261E47">
      <w:pPr>
        <w:spacing w:line="276" w:lineRule="auto"/>
        <w:jc w:val="both"/>
        <w:rPr>
          <w:rFonts w:ascii="Arial" w:hAnsi="Arial" w:cs="Arial"/>
          <w:b/>
          <w:bCs/>
          <w:lang w:val="en-GB"/>
        </w:rPr>
      </w:pPr>
    </w:p>
    <w:p w14:paraId="2E91BFB3" w14:textId="77777777" w:rsidR="0038214D" w:rsidRPr="00261E47" w:rsidRDefault="0038214D">
      <w:pPr>
        <w:rPr>
          <w:lang w:val="en-GB"/>
        </w:rPr>
      </w:pPr>
    </w:p>
    <w:sectPr w:rsidR="0038214D" w:rsidRPr="00261E4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1E47"/>
    <w:rsid w:val="00235F39"/>
    <w:rsid w:val="00261E47"/>
    <w:rsid w:val="0038214D"/>
    <w:rsid w:val="00530909"/>
    <w:rsid w:val="00AA3AC3"/>
    <w:rsid w:val="00AD7A41"/>
    <w:rsid w:val="00AE732B"/>
    <w:rsid w:val="00BF745F"/>
    <w:rsid w:val="00CF3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1497E3"/>
  <w15:chartTrackingRefBased/>
  <w15:docId w15:val="{86A75BE4-B383-45A9-8E80-BBF5B071FA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1E47"/>
    <w:pPr>
      <w:spacing w:after="0" w:line="240" w:lineRule="auto"/>
    </w:pPr>
    <w:rPr>
      <w:rFonts w:ascii="Times New Roman" w:eastAsia="Times New Roman" w:hAnsi="Times New Roman" w:cs="Times New Roman"/>
      <w:kern w:val="0"/>
      <w:lang w:val="pl-PL" w:eastAsia="pl-PL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61E4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61E4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61E47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61E47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61E4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61E47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61E47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61E47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61E47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61E4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61E4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61E4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61E4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61E4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61E4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61E4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61E4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61E4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61E4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61E4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61E47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61E4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61E47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61E4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61E47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61E4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61E4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61E4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61E4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hart" Target="charts/chart2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kamil\Desktop\ginekologia\regresja%20jednoczynnikowa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kamil\Desktop\ginekologia\regresja%20jednoczynnikowa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8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pl-PL" sz="1800" b="0" i="0" u="none" strike="noStrike" baseline="0">
                <a:effectLst/>
              </a:rPr>
              <a:t>Univariate Logistic Regression</a:t>
            </a:r>
            <a:endParaRPr lang="pl-PL" sz="1800" b="0"/>
          </a:p>
        </c:rich>
      </c:tx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23986930134801565"/>
          <c:y val="7.0924167454891981E-2"/>
          <c:w val="0.47574236382405927"/>
          <c:h val="0.88117160847049358"/>
        </c:manualLayout>
      </c:layout>
      <c:barChart>
        <c:barDir val="bar"/>
        <c:grouping val="clustered"/>
        <c:varyColors val="0"/>
        <c:ser>
          <c:idx val="0"/>
          <c:order val="0"/>
          <c:spPr>
            <a:noFill/>
            <a:ln>
              <a:noFill/>
            </a:ln>
            <a:effectLst/>
          </c:spPr>
          <c:invertIfNegative val="0"/>
          <c:errBars>
            <c:errBarType val="both"/>
            <c:errValType val="cust"/>
            <c:noEndCap val="1"/>
            <c:plus>
              <c:numRef>
                <c:f>'Tab1'!$F$2:$F$17</c:f>
                <c:numCache>
                  <c:formatCode>General</c:formatCode>
                  <c:ptCount val="16"/>
                  <c:pt idx="1">
                    <c:v>2.6306881952000039E-2</c:v>
                  </c:pt>
                  <c:pt idx="2">
                    <c:v>2.5805175449434214</c:v>
                  </c:pt>
                  <c:pt idx="3">
                    <c:v>1.1200000000000001</c:v>
                  </c:pt>
                  <c:pt idx="4">
                    <c:v>0.22845667010996651</c:v>
                  </c:pt>
                  <c:pt idx="5">
                    <c:v>2.6476291209653002E-2</c:v>
                  </c:pt>
                  <c:pt idx="6">
                    <c:v>1.7540167471106936</c:v>
                  </c:pt>
                  <c:pt idx="7">
                    <c:v>1.0357328566405588E-2</c:v>
                  </c:pt>
                  <c:pt idx="8">
                    <c:v>2.9658570756470048E-2</c:v>
                  </c:pt>
                  <c:pt idx="9">
                    <c:v>0.37160411431096141</c:v>
                  </c:pt>
                  <c:pt idx="10">
                    <c:v>3.6430352698335966</c:v>
                  </c:pt>
                  <c:pt idx="11">
                    <c:v>1.5146851260729188</c:v>
                  </c:pt>
                  <c:pt idx="12">
                    <c:v>2.6746950026606719</c:v>
                  </c:pt>
                  <c:pt idx="13">
                    <c:v>0.43373285560158403</c:v>
                  </c:pt>
                  <c:pt idx="14">
                    <c:v>25.432552677383448</c:v>
                  </c:pt>
                  <c:pt idx="15">
                    <c:v>0.18213553266193749</c:v>
                  </c:pt>
                </c:numCache>
              </c:numRef>
            </c:plus>
            <c:minus>
              <c:numRef>
                <c:f>'Tab1'!$E$2:$E$17</c:f>
                <c:numCache>
                  <c:formatCode>General</c:formatCode>
                  <c:ptCount val="16"/>
                  <c:pt idx="1">
                    <c:v>2.5526788947999979E-2</c:v>
                  </c:pt>
                  <c:pt idx="2">
                    <c:v>1.6841923359490258</c:v>
                  </c:pt>
                  <c:pt idx="3">
                    <c:v>0.84400000000000031</c:v>
                  </c:pt>
                  <c:pt idx="4">
                    <c:v>0.16929641390367434</c:v>
                  </c:pt>
                  <c:pt idx="5">
                    <c:v>2.5770432890211636E-2</c:v>
                  </c:pt>
                  <c:pt idx="6">
                    <c:v>0.18411719247958083</c:v>
                  </c:pt>
                  <c:pt idx="7">
                    <c:v>1.0252357055932082E-2</c:v>
                  </c:pt>
                  <c:pt idx="8">
                    <c:v>2.8837471957367189E-2</c:v>
                  </c:pt>
                  <c:pt idx="9">
                    <c:v>0.24219816801230404</c:v>
                  </c:pt>
                  <c:pt idx="10">
                    <c:v>1.0532003927897773</c:v>
                  </c:pt>
                  <c:pt idx="11">
                    <c:v>0.63737104685665069</c:v>
                  </c:pt>
                  <c:pt idx="12">
                    <c:v>1.5145418101227763</c:v>
                  </c:pt>
                  <c:pt idx="13">
                    <c:v>0.32780403740439823</c:v>
                  </c:pt>
                  <c:pt idx="14">
                    <c:v>10.923209305038469</c:v>
                  </c:pt>
                  <c:pt idx="15">
                    <c:v>0.13623364915514197</c:v>
                  </c:pt>
                </c:numCache>
              </c:numRef>
            </c:minus>
            <c:spPr>
              <a:noFill/>
              <a:ln w="12700" cap="flat" cmpd="sng" algn="ctr">
                <a:solidFill>
                  <a:schemeClr val="tx1"/>
                </a:solidFill>
                <a:round/>
                <a:headEnd type="oval"/>
              </a:ln>
              <a:effectLst/>
            </c:spPr>
          </c:errBars>
          <c:cat>
            <c:strRef>
              <c:f>'Tab1'!$A$2:$A$17</c:f>
              <c:strCache>
                <c:ptCount val="16"/>
                <c:pt idx="1">
                  <c:v>Cervical length (mm)</c:v>
                </c:pt>
                <c:pt idx="2">
                  <c:v>Cx&lt;30mm</c:v>
                </c:pt>
                <c:pt idx="3">
                  <c:v>Cx&lt;35mm</c:v>
                </c:pt>
                <c:pt idx="4">
                  <c:v>PAPP-A MoM</c:v>
                </c:pt>
                <c:pt idx="5">
                  <c:v>Age</c:v>
                </c:pt>
                <c:pt idx="6">
                  <c:v>Height</c:v>
                </c:pt>
                <c:pt idx="7">
                  <c:v>Weight</c:v>
                </c:pt>
                <c:pt idx="8">
                  <c:v>BMI</c:v>
                </c:pt>
                <c:pt idx="9">
                  <c:v>Conception (IVF)</c:v>
                </c:pt>
                <c:pt idx="10">
                  <c:v>Cigarette smoker</c:v>
                </c:pt>
                <c:pt idx="11">
                  <c:v>Chronic hypertension</c:v>
                </c:pt>
                <c:pt idx="12">
                  <c:v>Diabetes mellitus type 1 or 2</c:v>
                </c:pt>
                <c:pt idx="13">
                  <c:v>Nulliparous</c:v>
                </c:pt>
                <c:pt idx="14">
                  <c:v>Multip-PTB</c:v>
                </c:pt>
                <c:pt idx="15">
                  <c:v>Multip-no PTB</c:v>
                </c:pt>
              </c:strCache>
            </c:strRef>
          </c:cat>
          <c:val>
            <c:numRef>
              <c:f>'Tab1'!$B$2:$B$17</c:f>
              <c:numCache>
                <c:formatCode>0.000</c:formatCode>
                <c:ptCount val="16"/>
                <c:pt idx="1">
                  <c:v>0.86083343154799996</c:v>
                </c:pt>
                <c:pt idx="2">
                  <c:v>4.8487846022446135</c:v>
                </c:pt>
                <c:pt idx="3">
                  <c:v>3.4180000000000001</c:v>
                </c:pt>
                <c:pt idx="4">
                  <c:v>0.6537648323753964</c:v>
                </c:pt>
                <c:pt idx="5">
                  <c:v>0.96663234959112532</c:v>
                </c:pt>
                <c:pt idx="6">
                  <c:v>0.20571038324555216</c:v>
                </c:pt>
                <c:pt idx="7">
                  <c:v>1.0115795240956169</c:v>
                </c:pt>
                <c:pt idx="8">
                  <c:v>1.0416264198901111</c:v>
                </c:pt>
                <c:pt idx="9">
                  <c:v>0.69550000047318905</c:v>
                </c:pt>
                <c:pt idx="10">
                  <c:v>1.4815022421488682</c:v>
                </c:pt>
                <c:pt idx="11">
                  <c:v>1.1004228329787327</c:v>
                </c:pt>
                <c:pt idx="12">
                  <c:v>3.491726296933598</c:v>
                </c:pt>
                <c:pt idx="13">
                  <c:v>1.3422162508834192</c:v>
                </c:pt>
                <c:pt idx="14" formatCode="0.00">
                  <c:v>19.146634615180211</c:v>
                </c:pt>
                <c:pt idx="15">
                  <c:v>0.54056579729844567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A2A-49A4-9253-F134D8DCBA16}"/>
            </c:ext>
          </c:extLst>
        </c:ser>
        <c:ser>
          <c:idx val="1"/>
          <c:order val="1"/>
          <c:tx>
            <c:v>Prawe</c:v>
          </c:tx>
          <c:spPr>
            <a:noFill/>
            <a:ln>
              <a:noFill/>
            </a:ln>
            <a:effectLst/>
          </c:spPr>
          <c:invertIfNegative val="0"/>
          <c:dLbls>
            <c:dLbl>
              <c:idx val="0"/>
              <c:tx>
                <c:rich>
                  <a:bodyPr rot="0" spcFirstLastPara="1" vertOverflow="ellipsis" vert="horz" wrap="none" lIns="38100" tIns="19050" rIns="38100" bIns="19050" anchor="ctr" anchorCtr="1">
                    <a:spAutoFit/>
                  </a:bodyPr>
                  <a:lstStyle/>
                  <a:p>
                    <a:pPr>
                      <a:defRPr sz="1000" b="1" i="0" u="none" strike="noStrike" kern="1200" baseline="0">
                        <a:solidFill>
                          <a:schemeClr val="tx1">
                            <a:lumMod val="75000"/>
                            <a:lumOff val="25000"/>
                          </a:schemeClr>
                        </a:solidFill>
                        <a:latin typeface="+mj-lt"/>
                        <a:ea typeface="+mn-ea"/>
                        <a:cs typeface="+mn-cs"/>
                      </a:defRPr>
                    </a:pPr>
                    <a:fld id="{BFC4D4C3-F353-4BEE-A9FB-DCEAEEF9079B}" type="CELLRANGE">
                      <a:rPr lang="en-US"/>
                      <a:pPr>
                        <a:defRPr sz="1000" b="1" i="0" u="none" strike="noStrike" kern="1200" baseline="0"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  <a:latin typeface="+mj-lt"/>
                          <a:ea typeface="+mn-ea"/>
                          <a:cs typeface="+mn-cs"/>
                        </a:defRPr>
                      </a:pPr>
                      <a:t>[CELLRANGE]</a:t>
                    </a:fld>
                    <a:endParaRPr lang="en-US"/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outEnd"/>
              <c:showLegendKey val="0"/>
              <c:showVal val="0"/>
              <c:showCatName val="0"/>
              <c:showSerName val="0"/>
              <c:showPercent val="0"/>
              <c:showBubbleSize val="0"/>
              <c:separator> </c:separator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rect">
                      <a:avLst/>
                    </a:prstGeom>
                  </c15:spPr>
                  <c15:dlblFieldTable/>
                  <c15:showDataLabelsRange val="1"/>
                </c:ext>
                <c:ext xmlns:c16="http://schemas.microsoft.com/office/drawing/2014/chart" uri="{C3380CC4-5D6E-409C-BE32-E72D297353CC}">
                  <c16:uniqueId val="{00000001-CA2A-49A4-9253-F134D8DCBA16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fld id="{3889F429-9DF2-4E69-9D5F-C80E2BC2D4F5}" type="CELLRANGE">
                      <a:rPr lang="en-US"/>
                      <a:pPr/>
                      <a:t>[CELLRANGE]</a:t>
                    </a:fld>
                    <a:endParaRPr lang="en-US"/>
                  </a:p>
                </c:rich>
              </c:tx>
              <c:dLblPos val="outEnd"/>
              <c:showLegendKey val="0"/>
              <c:showVal val="0"/>
              <c:showCatName val="0"/>
              <c:showSerName val="0"/>
              <c:showPercent val="0"/>
              <c:showBubbleSize val="0"/>
              <c:separator> </c:separator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02-CA2A-49A4-9253-F134D8DCBA16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fld id="{D9A084CC-7F98-4FED-AA01-C4C4400E77ED}" type="CELLRANGE">
                      <a:rPr lang="en-US"/>
                      <a:pPr/>
                      <a:t>[CELLRANGE]</a:t>
                    </a:fld>
                    <a:endParaRPr lang="en-US"/>
                  </a:p>
                </c:rich>
              </c:tx>
              <c:dLblPos val="outEnd"/>
              <c:showLegendKey val="0"/>
              <c:showVal val="0"/>
              <c:showCatName val="0"/>
              <c:showSerName val="0"/>
              <c:showPercent val="0"/>
              <c:showBubbleSize val="0"/>
              <c:separator> </c:separator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03-CA2A-49A4-9253-F134D8DCBA16}"/>
                </c:ext>
              </c:extLst>
            </c:dLbl>
            <c:dLbl>
              <c:idx val="3"/>
              <c:tx>
                <c:rich>
                  <a:bodyPr/>
                  <a:lstStyle/>
                  <a:p>
                    <a:fld id="{B4DC25DC-54FD-4DFA-816C-1F4A4692ED20}" type="CELLRANGE">
                      <a:rPr lang="en-US"/>
                      <a:pPr/>
                      <a:t>[CELLRANGE]</a:t>
                    </a:fld>
                    <a:endParaRPr lang="en-US"/>
                  </a:p>
                </c:rich>
              </c:tx>
              <c:dLblPos val="outEnd"/>
              <c:showLegendKey val="0"/>
              <c:showVal val="0"/>
              <c:showCatName val="0"/>
              <c:showSerName val="0"/>
              <c:showPercent val="0"/>
              <c:showBubbleSize val="0"/>
              <c:separator> </c:separator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04-CA2A-49A4-9253-F134D8DCBA16}"/>
                </c:ext>
              </c:extLst>
            </c:dLbl>
            <c:dLbl>
              <c:idx val="4"/>
              <c:tx>
                <c:rich>
                  <a:bodyPr/>
                  <a:lstStyle/>
                  <a:p>
                    <a:fld id="{B5973939-6E2C-47D6-AF69-00F16C8C4832}" type="CELLRANGE">
                      <a:rPr lang="en-US"/>
                      <a:pPr/>
                      <a:t>[CELLRANGE]</a:t>
                    </a:fld>
                    <a:endParaRPr lang="en-US"/>
                  </a:p>
                </c:rich>
              </c:tx>
              <c:dLblPos val="outEnd"/>
              <c:showLegendKey val="0"/>
              <c:showVal val="0"/>
              <c:showCatName val="0"/>
              <c:showSerName val="0"/>
              <c:showPercent val="0"/>
              <c:showBubbleSize val="0"/>
              <c:separator> </c:separator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05-CA2A-49A4-9253-F134D8DCBA16}"/>
                </c:ext>
              </c:extLst>
            </c:dLbl>
            <c:dLbl>
              <c:idx val="5"/>
              <c:tx>
                <c:rich>
                  <a:bodyPr/>
                  <a:lstStyle/>
                  <a:p>
                    <a:fld id="{97A19CF4-0868-42CB-B3E3-081FE6B8046F}" type="CELLRANGE">
                      <a:rPr lang="en-US"/>
                      <a:pPr/>
                      <a:t>[CELLRANGE]</a:t>
                    </a:fld>
                    <a:endParaRPr lang="en-US"/>
                  </a:p>
                </c:rich>
              </c:tx>
              <c:dLblPos val="outEnd"/>
              <c:showLegendKey val="0"/>
              <c:showVal val="0"/>
              <c:showCatName val="0"/>
              <c:showSerName val="0"/>
              <c:showPercent val="0"/>
              <c:showBubbleSize val="0"/>
              <c:separator> </c:separator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06-CA2A-49A4-9253-F134D8DCBA16}"/>
                </c:ext>
              </c:extLst>
            </c:dLbl>
            <c:dLbl>
              <c:idx val="6"/>
              <c:tx>
                <c:rich>
                  <a:bodyPr/>
                  <a:lstStyle/>
                  <a:p>
                    <a:fld id="{41B34C0D-6F65-430E-9CD5-AE1DFBC1FF16}" type="CELLRANGE">
                      <a:rPr lang="en-US"/>
                      <a:pPr/>
                      <a:t>[CELLRANGE]</a:t>
                    </a:fld>
                    <a:endParaRPr lang="en-US"/>
                  </a:p>
                </c:rich>
              </c:tx>
              <c:dLblPos val="outEnd"/>
              <c:showLegendKey val="0"/>
              <c:showVal val="0"/>
              <c:showCatName val="0"/>
              <c:showSerName val="0"/>
              <c:showPercent val="0"/>
              <c:showBubbleSize val="0"/>
              <c:separator> </c:separator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07-CA2A-49A4-9253-F134D8DCBA16}"/>
                </c:ext>
              </c:extLst>
            </c:dLbl>
            <c:dLbl>
              <c:idx val="7"/>
              <c:tx>
                <c:rich>
                  <a:bodyPr/>
                  <a:lstStyle/>
                  <a:p>
                    <a:fld id="{D6AF8EE7-695C-4AD0-B2D1-F5593A682936}" type="CELLRANGE">
                      <a:rPr lang="en-US"/>
                      <a:pPr/>
                      <a:t>[CELLRANGE]</a:t>
                    </a:fld>
                    <a:endParaRPr lang="en-US"/>
                  </a:p>
                </c:rich>
              </c:tx>
              <c:dLblPos val="outEnd"/>
              <c:showLegendKey val="0"/>
              <c:showVal val="0"/>
              <c:showCatName val="0"/>
              <c:showSerName val="0"/>
              <c:showPercent val="0"/>
              <c:showBubbleSize val="0"/>
              <c:separator> </c:separator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08-CA2A-49A4-9253-F134D8DCBA16}"/>
                </c:ext>
              </c:extLst>
            </c:dLbl>
            <c:dLbl>
              <c:idx val="8"/>
              <c:tx>
                <c:rich>
                  <a:bodyPr/>
                  <a:lstStyle/>
                  <a:p>
                    <a:fld id="{670C3C3B-5421-4070-89CD-53E9FD58EC8F}" type="CELLRANGE">
                      <a:rPr lang="en-US"/>
                      <a:pPr/>
                      <a:t>[CELLRANGE]</a:t>
                    </a:fld>
                    <a:endParaRPr lang="en-US"/>
                  </a:p>
                </c:rich>
              </c:tx>
              <c:dLblPos val="outEnd"/>
              <c:showLegendKey val="0"/>
              <c:showVal val="0"/>
              <c:showCatName val="0"/>
              <c:showSerName val="0"/>
              <c:showPercent val="0"/>
              <c:showBubbleSize val="0"/>
              <c:separator> </c:separator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09-CA2A-49A4-9253-F134D8DCBA16}"/>
                </c:ext>
              </c:extLst>
            </c:dLbl>
            <c:dLbl>
              <c:idx val="9"/>
              <c:tx>
                <c:rich>
                  <a:bodyPr/>
                  <a:lstStyle/>
                  <a:p>
                    <a:fld id="{3153C913-24A6-4F85-916B-D2524F6ECF52}" type="CELLRANGE">
                      <a:rPr lang="en-US"/>
                      <a:pPr/>
                      <a:t>[CELLRANGE]</a:t>
                    </a:fld>
                    <a:endParaRPr lang="en-US"/>
                  </a:p>
                </c:rich>
              </c:tx>
              <c:dLblPos val="outEnd"/>
              <c:showLegendKey val="0"/>
              <c:showVal val="0"/>
              <c:showCatName val="0"/>
              <c:showSerName val="0"/>
              <c:showPercent val="0"/>
              <c:showBubbleSize val="0"/>
              <c:separator> </c:separator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0A-CA2A-49A4-9253-F134D8DCBA16}"/>
                </c:ext>
              </c:extLst>
            </c:dLbl>
            <c:dLbl>
              <c:idx val="10"/>
              <c:tx>
                <c:rich>
                  <a:bodyPr/>
                  <a:lstStyle/>
                  <a:p>
                    <a:fld id="{276C39AF-8ADE-412F-9C43-EFE3D158EECA}" type="CELLRANGE">
                      <a:rPr lang="en-US"/>
                      <a:pPr/>
                      <a:t>[CELLRANGE]</a:t>
                    </a:fld>
                    <a:endParaRPr lang="en-US"/>
                  </a:p>
                </c:rich>
              </c:tx>
              <c:dLblPos val="outEnd"/>
              <c:showLegendKey val="0"/>
              <c:showVal val="0"/>
              <c:showCatName val="0"/>
              <c:showSerName val="0"/>
              <c:showPercent val="0"/>
              <c:showBubbleSize val="0"/>
              <c:separator> </c:separator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0B-CA2A-49A4-9253-F134D8DCBA16}"/>
                </c:ext>
              </c:extLst>
            </c:dLbl>
            <c:dLbl>
              <c:idx val="11"/>
              <c:tx>
                <c:rich>
                  <a:bodyPr/>
                  <a:lstStyle/>
                  <a:p>
                    <a:fld id="{08CC384D-265B-4D9D-93CC-24DEAD28EFC1}" type="CELLRANGE">
                      <a:rPr lang="en-US"/>
                      <a:pPr/>
                      <a:t>[CELLRANGE]</a:t>
                    </a:fld>
                    <a:endParaRPr lang="en-US"/>
                  </a:p>
                </c:rich>
              </c:tx>
              <c:dLblPos val="outEnd"/>
              <c:showLegendKey val="0"/>
              <c:showVal val="0"/>
              <c:showCatName val="0"/>
              <c:showSerName val="0"/>
              <c:showPercent val="0"/>
              <c:showBubbleSize val="0"/>
              <c:separator> </c:separator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0C-CA2A-49A4-9253-F134D8DCBA16}"/>
                </c:ext>
              </c:extLst>
            </c:dLbl>
            <c:dLbl>
              <c:idx val="12"/>
              <c:tx>
                <c:rich>
                  <a:bodyPr/>
                  <a:lstStyle/>
                  <a:p>
                    <a:fld id="{457E9D89-8A20-48A6-BBB7-222F3D9FDD83}" type="CELLRANGE">
                      <a:rPr lang="en-US"/>
                      <a:pPr/>
                      <a:t>[CELLRANGE]</a:t>
                    </a:fld>
                    <a:endParaRPr lang="en-US"/>
                  </a:p>
                </c:rich>
              </c:tx>
              <c:dLblPos val="outEnd"/>
              <c:showLegendKey val="0"/>
              <c:showVal val="0"/>
              <c:showCatName val="0"/>
              <c:showSerName val="0"/>
              <c:showPercent val="0"/>
              <c:showBubbleSize val="0"/>
              <c:separator> </c:separator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0D-CA2A-49A4-9253-F134D8DCBA16}"/>
                </c:ext>
              </c:extLst>
            </c:dLbl>
            <c:dLbl>
              <c:idx val="13"/>
              <c:tx>
                <c:rich>
                  <a:bodyPr/>
                  <a:lstStyle/>
                  <a:p>
                    <a:fld id="{1492AEF2-D45D-40A5-8A51-E12C5409D78F}" type="CELLRANGE">
                      <a:rPr lang="en-US"/>
                      <a:pPr/>
                      <a:t>[CELLRANGE]</a:t>
                    </a:fld>
                    <a:endParaRPr lang="en-US"/>
                  </a:p>
                </c:rich>
              </c:tx>
              <c:dLblPos val="outEnd"/>
              <c:showLegendKey val="0"/>
              <c:showVal val="0"/>
              <c:showCatName val="0"/>
              <c:showSerName val="0"/>
              <c:showPercent val="0"/>
              <c:showBubbleSize val="0"/>
              <c:separator> </c:separator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0E-CA2A-49A4-9253-F134D8DCBA16}"/>
                </c:ext>
              </c:extLst>
            </c:dLbl>
            <c:dLbl>
              <c:idx val="14"/>
              <c:tx>
                <c:rich>
                  <a:bodyPr/>
                  <a:lstStyle/>
                  <a:p>
                    <a:fld id="{AEAC3EC5-A0D9-40BA-8BE1-3791B433A375}" type="CELLRANGE">
                      <a:rPr lang="en-US"/>
                      <a:pPr/>
                      <a:t>[CELLRANGE]</a:t>
                    </a:fld>
                    <a:endParaRPr lang="en-US"/>
                  </a:p>
                </c:rich>
              </c:tx>
              <c:dLblPos val="outEnd"/>
              <c:showLegendKey val="0"/>
              <c:showVal val="0"/>
              <c:showCatName val="0"/>
              <c:showSerName val="0"/>
              <c:showPercent val="0"/>
              <c:showBubbleSize val="0"/>
              <c:separator> </c:separator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0F-CA2A-49A4-9253-F134D8DCBA16}"/>
                </c:ext>
              </c:extLst>
            </c:dLbl>
            <c:dLbl>
              <c:idx val="15"/>
              <c:tx>
                <c:rich>
                  <a:bodyPr/>
                  <a:lstStyle/>
                  <a:p>
                    <a:fld id="{9A5EC25E-0C85-43AE-8C05-FC090B8CBB4D}" type="CELLRANGE">
                      <a:rPr lang="en-US"/>
                      <a:pPr/>
                      <a:t>[CELLRANGE]</a:t>
                    </a:fld>
                    <a:endParaRPr lang="en-US"/>
                  </a:p>
                </c:rich>
              </c:tx>
              <c:dLblPos val="outEnd"/>
              <c:showLegendKey val="0"/>
              <c:showVal val="0"/>
              <c:showCatName val="0"/>
              <c:showSerName val="0"/>
              <c:showPercent val="0"/>
              <c:showBubbleSize val="0"/>
              <c:separator> </c:separator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10-CA2A-49A4-9253-F134D8DCBA16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none" lIns="38100" tIns="19050" rIns="38100" bIns="19050" anchor="ctr" anchorCtr="1">
                <a:spAutoFit/>
              </a:bodyPr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j-lt"/>
                    <a:ea typeface="+mn-ea"/>
                    <a:cs typeface="+mn-cs"/>
                  </a:defRPr>
                </a:pPr>
                <a:endParaRPr lang="pl-PL"/>
              </a:p>
            </c:txPr>
            <c:dLblPos val="outEnd"/>
            <c:showLegendKey val="0"/>
            <c:showVal val="0"/>
            <c:showCatName val="0"/>
            <c:showSerName val="0"/>
            <c:showPercent val="0"/>
            <c:showBubbleSize val="0"/>
            <c:separator> </c:separator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DataLabelsRange val="1"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val>
            <c:numRef>
              <c:f>'Tab1'!$G$2:$G$17</c:f>
              <c:numCache>
                <c:formatCode>General</c:formatCode>
                <c:ptCount val="16"/>
                <c:pt idx="0">
                  <c:v>100</c:v>
                </c:pt>
                <c:pt idx="1">
                  <c:v>100</c:v>
                </c:pt>
                <c:pt idx="2">
                  <c:v>100</c:v>
                </c:pt>
                <c:pt idx="3">
                  <c:v>100</c:v>
                </c:pt>
                <c:pt idx="4">
                  <c:v>100</c:v>
                </c:pt>
                <c:pt idx="5">
                  <c:v>100</c:v>
                </c:pt>
                <c:pt idx="6">
                  <c:v>100</c:v>
                </c:pt>
                <c:pt idx="7">
                  <c:v>100</c:v>
                </c:pt>
                <c:pt idx="8">
                  <c:v>100</c:v>
                </c:pt>
                <c:pt idx="9">
                  <c:v>100</c:v>
                </c:pt>
                <c:pt idx="10">
                  <c:v>100</c:v>
                </c:pt>
                <c:pt idx="11">
                  <c:v>100</c:v>
                </c:pt>
                <c:pt idx="12">
                  <c:v>100</c:v>
                </c:pt>
                <c:pt idx="13">
                  <c:v>100</c:v>
                </c:pt>
                <c:pt idx="14">
                  <c:v>100</c:v>
                </c:pt>
                <c:pt idx="15">
                  <c:v>100</c:v>
                </c:pt>
              </c:numCache>
            </c:numRef>
          </c:val>
          <c:extLst>
            <c:ext xmlns:c15="http://schemas.microsoft.com/office/drawing/2012/chart" uri="{02D57815-91ED-43cb-92C2-25804820EDAC}">
              <c15:datalabelsRange>
                <c15:f>'Tab1'!$I$2:$I$17</c15:f>
                <c15:dlblRangeCache>
                  <c:ptCount val="16"/>
                  <c:pt idx="0">
                    <c:v>    OR (95%CI)         p-value</c:v>
                  </c:pt>
                  <c:pt idx="1">
                    <c:v>0.86 (0.84-0.89);   p=0.000</c:v>
                  </c:pt>
                  <c:pt idx="2">
                    <c:v>4.85 (3.16-7.43);   p=0.000</c:v>
                  </c:pt>
                  <c:pt idx="3">
                    <c:v>3.42 (2.57-4.54);   p=0.000</c:v>
                  </c:pt>
                  <c:pt idx="4">
                    <c:v>0.65 (0.48-0.88);   p=0.005</c:v>
                  </c:pt>
                  <c:pt idx="5">
                    <c:v>0.97 (0.94-0.99);   p=0.014</c:v>
                  </c:pt>
                  <c:pt idx="6">
                    <c:v>0.21 (0.02-1.96);   p=0.169</c:v>
                  </c:pt>
                  <c:pt idx="7">
                    <c:v>1.01 (1.00-1.02);   p=0.027</c:v>
                  </c:pt>
                  <c:pt idx="8">
                    <c:v>1.04 (1.01-1.07);   p=0.004</c:v>
                  </c:pt>
                  <c:pt idx="9">
                    <c:v>0.70 (0.45-1.07);   p=0.096</c:v>
                  </c:pt>
                  <c:pt idx="10">
                    <c:v>1.48 (0.43-5.12);   p=0.535</c:v>
                  </c:pt>
                  <c:pt idx="11">
                    <c:v>1.10 (0.46-2.62);   p=0.828</c:v>
                  </c:pt>
                  <c:pt idx="12">
                    <c:v>3.49 (1.98-6.17);   p=0.000</c:v>
                  </c:pt>
                  <c:pt idx="13">
                    <c:v>1.34 (1.01-1.78);   p=0.039</c:v>
                  </c:pt>
                  <c:pt idx="14">
                    <c:v>19.15 (8.22-44.58); p=0.000</c:v>
                  </c:pt>
                  <c:pt idx="15">
                    <c:v>0.54 (0.40-0.72);   p=0.000</c:v>
                  </c:pt>
                </c15:dlblRangeCache>
              </c15:datalabelsRange>
            </c:ext>
            <c:ext xmlns:c16="http://schemas.microsoft.com/office/drawing/2014/chart" uri="{C3380CC4-5D6E-409C-BE32-E72D297353CC}">
              <c16:uniqueId val="{00000011-CA2A-49A4-9253-F134D8DCBA1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500"/>
        <c:overlap val="100"/>
        <c:axId val="396332968"/>
        <c:axId val="396327928"/>
      </c:barChart>
      <c:catAx>
        <c:axId val="396332968"/>
        <c:scaling>
          <c:orientation val="maxMin"/>
        </c:scaling>
        <c:delete val="0"/>
        <c:axPos val="l"/>
        <c:numFmt formatCode="General" sourceLinked="1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j-lt"/>
                <a:ea typeface="+mn-ea"/>
                <a:cs typeface="+mn-cs"/>
              </a:defRPr>
            </a:pPr>
            <a:endParaRPr lang="pl-PL"/>
          </a:p>
        </c:txPr>
        <c:crossAx val="396327928"/>
        <c:crossesAt val="1"/>
        <c:auto val="1"/>
        <c:lblAlgn val="ctr"/>
        <c:lblOffset val="100"/>
        <c:noMultiLvlLbl val="0"/>
      </c:catAx>
      <c:valAx>
        <c:axId val="396327928"/>
        <c:scaling>
          <c:logBase val="10"/>
          <c:orientation val="minMax"/>
          <c:max val="100"/>
          <c:min val="0.1"/>
        </c:scaling>
        <c:delete val="0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General" sourceLinked="0"/>
        <c:majorTickMark val="out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j-lt"/>
                <a:ea typeface="+mn-ea"/>
                <a:cs typeface="+mn-cs"/>
              </a:defRPr>
            </a:pPr>
            <a:endParaRPr lang="pl-PL"/>
          </a:p>
        </c:txPr>
        <c:crossAx val="396332968"/>
        <c:crosses val="max"/>
        <c:crossBetween val="between"/>
        <c:majorUnit val="1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pl-PL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8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pl-PL" sz="1800" b="0" i="0" u="none" strike="noStrike" baseline="0">
                <a:effectLst/>
              </a:rPr>
              <a:t>Multivariate Logistic Regression</a:t>
            </a:r>
            <a:endParaRPr lang="pl-PL" sz="1800" b="0"/>
          </a:p>
        </c:rich>
      </c:tx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23986930134801565"/>
          <c:y val="7.0924167454891981E-2"/>
          <c:w val="0.47956907434787038"/>
          <c:h val="0.88117160847049358"/>
        </c:manualLayout>
      </c:layout>
      <c:barChart>
        <c:barDir val="bar"/>
        <c:grouping val="clustered"/>
        <c:varyColors val="0"/>
        <c:ser>
          <c:idx val="0"/>
          <c:order val="0"/>
          <c:spPr>
            <a:noFill/>
            <a:ln>
              <a:noFill/>
            </a:ln>
            <a:effectLst/>
          </c:spPr>
          <c:invertIfNegative val="0"/>
          <c:errBars>
            <c:errBarType val="both"/>
            <c:errValType val="cust"/>
            <c:noEndCap val="1"/>
            <c:plus>
              <c:numRef>
                <c:f>'Tab2'!$F$2:$F$17</c:f>
                <c:numCache>
                  <c:formatCode>General</c:formatCode>
                  <c:ptCount val="16"/>
                  <c:pt idx="1">
                    <c:v>5.6159122559916064E-2</c:v>
                  </c:pt>
                  <c:pt idx="2">
                    <c:v>0.98555728582705426</c:v>
                  </c:pt>
                  <c:pt idx="3">
                    <c:v>0.74162685301298703</c:v>
                  </c:pt>
                  <c:pt idx="4">
                    <c:v>0.27705906276146153</c:v>
                  </c:pt>
                  <c:pt idx="5">
                    <c:v>3.2295712438317636E-2</c:v>
                  </c:pt>
                  <c:pt idx="6">
                    <c:v>108936.38051383666</c:v>
                  </c:pt>
                  <c:pt idx="7">
                    <c:v>0.1595195436878436</c:v>
                  </c:pt>
                  <c:pt idx="8">
                    <c:v>0.51515731696775235</c:v>
                  </c:pt>
                  <c:pt idx="9">
                    <c:v>0.425872207618884</c:v>
                  </c:pt>
                  <c:pt idx="10">
                    <c:v>3.3738315667168446</c:v>
                  </c:pt>
                  <c:pt idx="11">
                    <c:v>1.4970384102532441</c:v>
                  </c:pt>
                  <c:pt idx="12">
                    <c:v>2.3328676429557467</c:v>
                  </c:pt>
                  <c:pt idx="13">
                    <c:v>0.65772844223432791</c:v>
                  </c:pt>
                  <c:pt idx="14">
                    <c:v>45.044196378494007</c:v>
                  </c:pt>
                  <c:pt idx="15">
                    <c:v>0</c:v>
                  </c:pt>
                </c:numCache>
              </c:numRef>
            </c:plus>
            <c:minus>
              <c:numRef>
                <c:f>'Tab2'!$E$2:$E$17</c:f>
                <c:numCache>
                  <c:formatCode>General</c:formatCode>
                  <c:ptCount val="16"/>
                  <c:pt idx="1">
                    <c:v>5.2784314727637782E-2</c:v>
                  </c:pt>
                  <c:pt idx="2">
                    <c:v>0.54769326773168592</c:v>
                  </c:pt>
                  <c:pt idx="3">
                    <c:v>0.44272943641243756</c:v>
                  </c:pt>
                  <c:pt idx="4">
                    <c:v>0.2024782446131137</c:v>
                  </c:pt>
                  <c:pt idx="5">
                    <c:v>3.1262461686251686E-2</c:v>
                  </c:pt>
                  <c:pt idx="6">
                    <c:v>0.22983315151474121</c:v>
                  </c:pt>
                  <c:pt idx="7">
                    <c:v>0.13758153355185121</c:v>
                  </c:pt>
                  <c:pt idx="8">
                    <c:v>0.34461879977524057</c:v>
                  </c:pt>
                  <c:pt idx="9">
                    <c:v>0.26571289562870243</c:v>
                  </c:pt>
                  <c:pt idx="10">
                    <c:v>0.88973882913674651</c:v>
                  </c:pt>
                  <c:pt idx="11">
                    <c:v>0.54666375775605003</c:v>
                  </c:pt>
                  <c:pt idx="12">
                    <c:v>1.2438697923471493</c:v>
                  </c:pt>
                  <c:pt idx="13">
                    <c:v>0.47015774868604909</c:v>
                  </c:pt>
                  <c:pt idx="14">
                    <c:v>17.81642547944422</c:v>
                  </c:pt>
                  <c:pt idx="15">
                    <c:v>0</c:v>
                  </c:pt>
                </c:numCache>
              </c:numRef>
            </c:minus>
            <c:spPr>
              <a:noFill/>
              <a:ln w="12700" cap="flat" cmpd="sng" algn="ctr">
                <a:solidFill>
                  <a:schemeClr val="tx1"/>
                </a:solidFill>
                <a:round/>
                <a:headEnd type="oval"/>
              </a:ln>
              <a:effectLst/>
            </c:spPr>
          </c:errBars>
          <c:cat>
            <c:strRef>
              <c:f>'Tab1'!$A$2:$A$17</c:f>
              <c:strCache>
                <c:ptCount val="16"/>
                <c:pt idx="1">
                  <c:v>Cervical length (mm)</c:v>
                </c:pt>
                <c:pt idx="2">
                  <c:v>Cx&lt;30mm</c:v>
                </c:pt>
                <c:pt idx="3">
                  <c:v>Cx&lt;35mm</c:v>
                </c:pt>
                <c:pt idx="4">
                  <c:v>PAPP-A MoM</c:v>
                </c:pt>
                <c:pt idx="5">
                  <c:v>Age</c:v>
                </c:pt>
                <c:pt idx="6">
                  <c:v>Height</c:v>
                </c:pt>
                <c:pt idx="7">
                  <c:v>Weight</c:v>
                </c:pt>
                <c:pt idx="8">
                  <c:v>BMI</c:v>
                </c:pt>
                <c:pt idx="9">
                  <c:v>Conception (IVF)</c:v>
                </c:pt>
                <c:pt idx="10">
                  <c:v>Cigarette smoker</c:v>
                </c:pt>
                <c:pt idx="11">
                  <c:v>Chronic hypertension</c:v>
                </c:pt>
                <c:pt idx="12">
                  <c:v>Diabetes mellitus type 1 or 2</c:v>
                </c:pt>
                <c:pt idx="13">
                  <c:v>Nulliparous</c:v>
                </c:pt>
                <c:pt idx="14">
                  <c:v>Multip-PTB</c:v>
                </c:pt>
                <c:pt idx="15">
                  <c:v>Multip-no PTB</c:v>
                </c:pt>
              </c:strCache>
            </c:strRef>
          </c:cat>
          <c:val>
            <c:numRef>
              <c:f>'Tab2'!$B$2:$B$17</c:f>
              <c:numCache>
                <c:formatCode>0.00</c:formatCode>
                <c:ptCount val="16"/>
                <c:pt idx="1">
                  <c:v>0.87836728707280376</c:v>
                </c:pt>
                <c:pt idx="2">
                  <c:v>1.2327642101293279</c:v>
                </c:pt>
                <c:pt idx="3">
                  <c:v>1.0985041035050742</c:v>
                </c:pt>
                <c:pt idx="4">
                  <c:v>0.75218312261619902</c:v>
                </c:pt>
                <c:pt idx="5">
                  <c:v>0.97715241988893808</c:v>
                </c:pt>
                <c:pt idx="6">
                  <c:v>0.22983363641600865</c:v>
                </c:pt>
                <c:pt idx="7">
                  <c:v>1.000407207217854</c:v>
                </c:pt>
                <c:pt idx="8">
                  <c:v>1.041013485935572</c:v>
                </c:pt>
                <c:pt idx="9">
                  <c:v>0.70654485242256027</c:v>
                </c:pt>
                <c:pt idx="10">
                  <c:v>1.2084206448747561</c:v>
                </c:pt>
                <c:pt idx="11">
                  <c:v>0.86110950108341389</c:v>
                </c:pt>
                <c:pt idx="12">
                  <c:v>2.6646366556142045</c:v>
                </c:pt>
                <c:pt idx="13">
                  <c:v>1.648637736513352</c:v>
                </c:pt>
                <c:pt idx="14">
                  <c:v>29.474560037777341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77D4-42B1-A45F-98B0A4BA0BDA}"/>
            </c:ext>
          </c:extLst>
        </c:ser>
        <c:ser>
          <c:idx val="1"/>
          <c:order val="1"/>
          <c:tx>
            <c:v>Prawe</c:v>
          </c:tx>
          <c:spPr>
            <a:noFill/>
            <a:ln>
              <a:noFill/>
            </a:ln>
            <a:effectLst/>
          </c:spPr>
          <c:invertIfNegative val="0"/>
          <c:dLbls>
            <c:dLbl>
              <c:idx val="0"/>
              <c:tx>
                <c:rich>
                  <a:bodyPr rot="0" spcFirstLastPara="1" vertOverflow="ellipsis" vert="horz" wrap="none" lIns="38100" tIns="19050" rIns="38100" bIns="19050" anchor="ctr" anchorCtr="1">
                    <a:spAutoFit/>
                  </a:bodyPr>
                  <a:lstStyle/>
                  <a:p>
                    <a:pPr>
                      <a:defRPr sz="1000" b="1" i="0" u="none" strike="noStrike" kern="1200" baseline="0">
                        <a:solidFill>
                          <a:schemeClr val="tx1">
                            <a:lumMod val="75000"/>
                            <a:lumOff val="25000"/>
                          </a:schemeClr>
                        </a:solidFill>
                        <a:latin typeface="+mj-lt"/>
                        <a:ea typeface="+mn-ea"/>
                        <a:cs typeface="+mn-cs"/>
                      </a:defRPr>
                    </a:pPr>
                    <a:fld id="{EE6DF701-E4C1-44D3-A76B-C652AC962F05}" type="CELLRANGE">
                      <a:rPr lang="en-US"/>
                      <a:pPr>
                        <a:defRPr sz="1000" b="1" i="0" u="none" strike="noStrike" kern="1200" baseline="0"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  <a:latin typeface="+mj-lt"/>
                          <a:ea typeface="+mn-ea"/>
                          <a:cs typeface="+mn-cs"/>
                        </a:defRPr>
                      </a:pPr>
                      <a:t>[CELLRANGE]</a:t>
                    </a:fld>
                    <a:endParaRPr lang="en-US"/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outEnd"/>
              <c:showLegendKey val="0"/>
              <c:showVal val="0"/>
              <c:showCatName val="0"/>
              <c:showSerName val="0"/>
              <c:showPercent val="0"/>
              <c:showBubbleSize val="0"/>
              <c:separator> </c:separator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rect">
                      <a:avLst/>
                    </a:prstGeom>
                  </c15:spPr>
                  <c15:dlblFieldTable/>
                  <c15:showDataLabelsRange val="1"/>
                </c:ext>
                <c:ext xmlns:c16="http://schemas.microsoft.com/office/drawing/2014/chart" uri="{C3380CC4-5D6E-409C-BE32-E72D297353CC}">
                  <c16:uniqueId val="{00000001-77D4-42B1-A45F-98B0A4BA0BDA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fld id="{60C59B49-223D-4EDB-9CD0-15DCA3EF8002}" type="CELLRANGE">
                      <a:rPr lang="en-US"/>
                      <a:pPr/>
                      <a:t>[CELLRANGE]</a:t>
                    </a:fld>
                    <a:endParaRPr lang="en-US"/>
                  </a:p>
                </c:rich>
              </c:tx>
              <c:dLblPos val="outEnd"/>
              <c:showLegendKey val="0"/>
              <c:showVal val="0"/>
              <c:showCatName val="0"/>
              <c:showSerName val="0"/>
              <c:showPercent val="0"/>
              <c:showBubbleSize val="0"/>
              <c:separator> </c:separator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02-77D4-42B1-A45F-98B0A4BA0BDA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fld id="{A1612341-E48B-4A57-BE44-CB5A8F5C775C}" type="CELLRANGE">
                      <a:rPr lang="en-US"/>
                      <a:pPr/>
                      <a:t>[CELLRANGE]</a:t>
                    </a:fld>
                    <a:endParaRPr lang="en-US"/>
                  </a:p>
                </c:rich>
              </c:tx>
              <c:dLblPos val="outEnd"/>
              <c:showLegendKey val="0"/>
              <c:showVal val="0"/>
              <c:showCatName val="0"/>
              <c:showSerName val="0"/>
              <c:showPercent val="0"/>
              <c:showBubbleSize val="0"/>
              <c:separator> </c:separator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03-77D4-42B1-A45F-98B0A4BA0BDA}"/>
                </c:ext>
              </c:extLst>
            </c:dLbl>
            <c:dLbl>
              <c:idx val="3"/>
              <c:tx>
                <c:rich>
                  <a:bodyPr/>
                  <a:lstStyle/>
                  <a:p>
                    <a:fld id="{60E40FCF-0FCE-45CA-B53E-517F777485A0}" type="CELLRANGE">
                      <a:rPr lang="en-US"/>
                      <a:pPr/>
                      <a:t>[CELLRANGE]</a:t>
                    </a:fld>
                    <a:endParaRPr lang="en-US"/>
                  </a:p>
                </c:rich>
              </c:tx>
              <c:dLblPos val="outEnd"/>
              <c:showLegendKey val="0"/>
              <c:showVal val="0"/>
              <c:showCatName val="0"/>
              <c:showSerName val="0"/>
              <c:showPercent val="0"/>
              <c:showBubbleSize val="0"/>
              <c:separator> </c:separator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04-77D4-42B1-A45F-98B0A4BA0BDA}"/>
                </c:ext>
              </c:extLst>
            </c:dLbl>
            <c:dLbl>
              <c:idx val="4"/>
              <c:tx>
                <c:rich>
                  <a:bodyPr/>
                  <a:lstStyle/>
                  <a:p>
                    <a:fld id="{105EECA1-8E2B-4949-800B-4537AFF491D2}" type="CELLRANGE">
                      <a:rPr lang="en-US"/>
                      <a:pPr/>
                      <a:t>[CELLRANGE]</a:t>
                    </a:fld>
                    <a:endParaRPr lang="en-US"/>
                  </a:p>
                </c:rich>
              </c:tx>
              <c:dLblPos val="outEnd"/>
              <c:showLegendKey val="0"/>
              <c:showVal val="0"/>
              <c:showCatName val="0"/>
              <c:showSerName val="0"/>
              <c:showPercent val="0"/>
              <c:showBubbleSize val="0"/>
              <c:separator> </c:separator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05-77D4-42B1-A45F-98B0A4BA0BDA}"/>
                </c:ext>
              </c:extLst>
            </c:dLbl>
            <c:dLbl>
              <c:idx val="5"/>
              <c:tx>
                <c:rich>
                  <a:bodyPr/>
                  <a:lstStyle/>
                  <a:p>
                    <a:fld id="{1539158F-58D8-4460-80BF-4F6847F95746}" type="CELLRANGE">
                      <a:rPr lang="en-US"/>
                      <a:pPr/>
                      <a:t>[CELLRANGE]</a:t>
                    </a:fld>
                    <a:endParaRPr lang="en-US"/>
                  </a:p>
                </c:rich>
              </c:tx>
              <c:dLblPos val="outEnd"/>
              <c:showLegendKey val="0"/>
              <c:showVal val="0"/>
              <c:showCatName val="0"/>
              <c:showSerName val="0"/>
              <c:showPercent val="0"/>
              <c:showBubbleSize val="0"/>
              <c:separator> </c:separator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06-77D4-42B1-A45F-98B0A4BA0BDA}"/>
                </c:ext>
              </c:extLst>
            </c:dLbl>
            <c:dLbl>
              <c:idx val="6"/>
              <c:tx>
                <c:rich>
                  <a:bodyPr/>
                  <a:lstStyle/>
                  <a:p>
                    <a:fld id="{B5078526-6866-433F-8BFA-D0142D41EB42}" type="CELLRANGE">
                      <a:rPr lang="en-US"/>
                      <a:pPr/>
                      <a:t>[CELLRANGE]</a:t>
                    </a:fld>
                    <a:endParaRPr lang="en-US"/>
                  </a:p>
                </c:rich>
              </c:tx>
              <c:dLblPos val="outEnd"/>
              <c:showLegendKey val="0"/>
              <c:showVal val="0"/>
              <c:showCatName val="0"/>
              <c:showSerName val="0"/>
              <c:showPercent val="0"/>
              <c:showBubbleSize val="0"/>
              <c:separator> </c:separator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07-77D4-42B1-A45F-98B0A4BA0BDA}"/>
                </c:ext>
              </c:extLst>
            </c:dLbl>
            <c:dLbl>
              <c:idx val="7"/>
              <c:tx>
                <c:rich>
                  <a:bodyPr/>
                  <a:lstStyle/>
                  <a:p>
                    <a:fld id="{0C6D1F9D-B066-4C4D-BCAF-13F3583BDE05}" type="CELLRANGE">
                      <a:rPr lang="en-US"/>
                      <a:pPr/>
                      <a:t>[CELLRANGE]</a:t>
                    </a:fld>
                    <a:endParaRPr lang="en-US"/>
                  </a:p>
                </c:rich>
              </c:tx>
              <c:dLblPos val="outEnd"/>
              <c:showLegendKey val="0"/>
              <c:showVal val="0"/>
              <c:showCatName val="0"/>
              <c:showSerName val="0"/>
              <c:showPercent val="0"/>
              <c:showBubbleSize val="0"/>
              <c:separator> </c:separator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08-77D4-42B1-A45F-98B0A4BA0BDA}"/>
                </c:ext>
              </c:extLst>
            </c:dLbl>
            <c:dLbl>
              <c:idx val="8"/>
              <c:tx>
                <c:rich>
                  <a:bodyPr/>
                  <a:lstStyle/>
                  <a:p>
                    <a:fld id="{02F4B3EE-C667-4664-8E27-E88252B49A39}" type="CELLRANGE">
                      <a:rPr lang="en-US"/>
                      <a:pPr/>
                      <a:t>[CELLRANGE]</a:t>
                    </a:fld>
                    <a:endParaRPr lang="en-US"/>
                  </a:p>
                </c:rich>
              </c:tx>
              <c:dLblPos val="outEnd"/>
              <c:showLegendKey val="0"/>
              <c:showVal val="0"/>
              <c:showCatName val="0"/>
              <c:showSerName val="0"/>
              <c:showPercent val="0"/>
              <c:showBubbleSize val="0"/>
              <c:separator> </c:separator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09-77D4-42B1-A45F-98B0A4BA0BDA}"/>
                </c:ext>
              </c:extLst>
            </c:dLbl>
            <c:dLbl>
              <c:idx val="9"/>
              <c:tx>
                <c:rich>
                  <a:bodyPr/>
                  <a:lstStyle/>
                  <a:p>
                    <a:fld id="{CC525C67-62DD-4E66-A2C8-26FAC52F326D}" type="CELLRANGE">
                      <a:rPr lang="en-US"/>
                      <a:pPr/>
                      <a:t>[CELLRANGE]</a:t>
                    </a:fld>
                    <a:endParaRPr lang="en-US"/>
                  </a:p>
                </c:rich>
              </c:tx>
              <c:dLblPos val="outEnd"/>
              <c:showLegendKey val="0"/>
              <c:showVal val="0"/>
              <c:showCatName val="0"/>
              <c:showSerName val="0"/>
              <c:showPercent val="0"/>
              <c:showBubbleSize val="0"/>
              <c:separator> </c:separator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0A-77D4-42B1-A45F-98B0A4BA0BDA}"/>
                </c:ext>
              </c:extLst>
            </c:dLbl>
            <c:dLbl>
              <c:idx val="10"/>
              <c:tx>
                <c:rich>
                  <a:bodyPr/>
                  <a:lstStyle/>
                  <a:p>
                    <a:fld id="{CF40D4D9-4A95-46B2-B331-21F05386242E}" type="CELLRANGE">
                      <a:rPr lang="en-US"/>
                      <a:pPr/>
                      <a:t>[CELLRANGE]</a:t>
                    </a:fld>
                    <a:endParaRPr lang="en-US"/>
                  </a:p>
                </c:rich>
              </c:tx>
              <c:dLblPos val="outEnd"/>
              <c:showLegendKey val="0"/>
              <c:showVal val="0"/>
              <c:showCatName val="0"/>
              <c:showSerName val="0"/>
              <c:showPercent val="0"/>
              <c:showBubbleSize val="0"/>
              <c:separator> </c:separator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0B-77D4-42B1-A45F-98B0A4BA0BDA}"/>
                </c:ext>
              </c:extLst>
            </c:dLbl>
            <c:dLbl>
              <c:idx val="11"/>
              <c:tx>
                <c:rich>
                  <a:bodyPr/>
                  <a:lstStyle/>
                  <a:p>
                    <a:fld id="{4764B52B-900D-490C-BE8A-503B60FFE4B6}" type="CELLRANGE">
                      <a:rPr lang="en-US"/>
                      <a:pPr/>
                      <a:t>[CELLRANGE]</a:t>
                    </a:fld>
                    <a:endParaRPr lang="en-US"/>
                  </a:p>
                </c:rich>
              </c:tx>
              <c:dLblPos val="outEnd"/>
              <c:showLegendKey val="0"/>
              <c:showVal val="0"/>
              <c:showCatName val="0"/>
              <c:showSerName val="0"/>
              <c:showPercent val="0"/>
              <c:showBubbleSize val="0"/>
              <c:separator> </c:separator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0C-77D4-42B1-A45F-98B0A4BA0BDA}"/>
                </c:ext>
              </c:extLst>
            </c:dLbl>
            <c:dLbl>
              <c:idx val="12"/>
              <c:tx>
                <c:rich>
                  <a:bodyPr/>
                  <a:lstStyle/>
                  <a:p>
                    <a:fld id="{B75C99D6-DF71-4E47-9EEF-29E38BD40E02}" type="CELLRANGE">
                      <a:rPr lang="en-US"/>
                      <a:pPr/>
                      <a:t>[CELLRANGE]</a:t>
                    </a:fld>
                    <a:endParaRPr lang="en-US"/>
                  </a:p>
                </c:rich>
              </c:tx>
              <c:dLblPos val="outEnd"/>
              <c:showLegendKey val="0"/>
              <c:showVal val="0"/>
              <c:showCatName val="0"/>
              <c:showSerName val="0"/>
              <c:showPercent val="0"/>
              <c:showBubbleSize val="0"/>
              <c:separator> </c:separator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0D-77D4-42B1-A45F-98B0A4BA0BDA}"/>
                </c:ext>
              </c:extLst>
            </c:dLbl>
            <c:dLbl>
              <c:idx val="13"/>
              <c:tx>
                <c:rich>
                  <a:bodyPr/>
                  <a:lstStyle/>
                  <a:p>
                    <a:fld id="{FEDA7DBB-6700-4576-BA69-4420C5B93D98}" type="CELLRANGE">
                      <a:rPr lang="en-US"/>
                      <a:pPr/>
                      <a:t>[CELLRANGE]</a:t>
                    </a:fld>
                    <a:endParaRPr lang="en-US"/>
                  </a:p>
                </c:rich>
              </c:tx>
              <c:dLblPos val="outEnd"/>
              <c:showLegendKey val="0"/>
              <c:showVal val="0"/>
              <c:showCatName val="0"/>
              <c:showSerName val="0"/>
              <c:showPercent val="0"/>
              <c:showBubbleSize val="0"/>
              <c:separator> </c:separator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0E-77D4-42B1-A45F-98B0A4BA0BDA}"/>
                </c:ext>
              </c:extLst>
            </c:dLbl>
            <c:dLbl>
              <c:idx val="14"/>
              <c:tx>
                <c:rich>
                  <a:bodyPr/>
                  <a:lstStyle/>
                  <a:p>
                    <a:fld id="{6D180FFD-0DC6-4691-B062-A79E8D46E1E6}" type="CELLRANGE">
                      <a:rPr lang="en-US"/>
                      <a:pPr/>
                      <a:t>[CELLRANGE]</a:t>
                    </a:fld>
                    <a:endParaRPr lang="en-US"/>
                  </a:p>
                </c:rich>
              </c:tx>
              <c:dLblPos val="outEnd"/>
              <c:showLegendKey val="0"/>
              <c:showVal val="0"/>
              <c:showCatName val="0"/>
              <c:showSerName val="0"/>
              <c:showPercent val="0"/>
              <c:showBubbleSize val="0"/>
              <c:separator> </c:separator>
              <c:extLst>
                <c:ext xmlns:c15="http://schemas.microsoft.com/office/drawing/2012/chart" uri="{CE6537A1-D6FC-4f65-9D91-7224C49458BB}">
                  <c15:dlblFieldTable/>
                  <c15:xForSave val="1"/>
                  <c15:showDataLabelsRange val="1"/>
                </c:ext>
                <c:ext xmlns:c16="http://schemas.microsoft.com/office/drawing/2014/chart" uri="{C3380CC4-5D6E-409C-BE32-E72D297353CC}">
                  <c16:uniqueId val="{0000000F-77D4-42B1-A45F-98B0A4BA0BDA}"/>
                </c:ext>
              </c:extLst>
            </c:dLbl>
            <c:dLbl>
              <c:idx val="15"/>
              <c:tx>
                <c:rich>
                  <a:bodyPr/>
                  <a:lstStyle/>
                  <a:p>
                    <a:fld id="{BB9E29E9-7A7C-4ED3-B73F-E4B126446055}" type="CELLRANGE">
                      <a:rPr lang="en-US"/>
                      <a:pPr/>
                      <a:t>[CELLRANGE]</a:t>
                    </a:fld>
                    <a:endParaRPr lang="en-US"/>
                  </a:p>
                </c:rich>
              </c:tx>
              <c:dLblPos val="outEnd"/>
              <c:showLegendKey val="0"/>
              <c:showVal val="0"/>
              <c:showCatName val="0"/>
              <c:showSerName val="0"/>
              <c:showPercent val="0"/>
              <c:showBubbleSize val="0"/>
              <c:separator> </c:separator>
              <c:extLst>
                <c:ext xmlns:c15="http://schemas.microsoft.com/office/drawing/2012/chart" uri="{CE6537A1-D6FC-4f65-9D91-7224C49458BB}">
                  <c15:dlblFieldTable/>
                  <c15:showDataLabelsRange val="1"/>
                </c:ext>
                <c:ext xmlns:c16="http://schemas.microsoft.com/office/drawing/2014/chart" uri="{C3380CC4-5D6E-409C-BE32-E72D297353CC}">
                  <c16:uniqueId val="{00000010-77D4-42B1-A45F-98B0A4BA0BDA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none" lIns="38100" tIns="19050" rIns="38100" bIns="19050" anchor="ctr" anchorCtr="1">
                <a:spAutoFit/>
              </a:bodyPr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j-lt"/>
                    <a:ea typeface="+mn-ea"/>
                    <a:cs typeface="+mn-cs"/>
                  </a:defRPr>
                </a:pPr>
                <a:endParaRPr lang="pl-PL"/>
              </a:p>
            </c:txPr>
            <c:dLblPos val="outEnd"/>
            <c:showLegendKey val="0"/>
            <c:showVal val="0"/>
            <c:showCatName val="0"/>
            <c:showSerName val="0"/>
            <c:showPercent val="0"/>
            <c:showBubbleSize val="0"/>
            <c:separator> </c:separator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DataLabelsRange val="1"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val>
            <c:numRef>
              <c:f>'Tab2'!$G$2:$G$17</c:f>
              <c:numCache>
                <c:formatCode>General</c:formatCode>
                <c:ptCount val="16"/>
                <c:pt idx="0">
                  <c:v>100</c:v>
                </c:pt>
                <c:pt idx="1">
                  <c:v>100</c:v>
                </c:pt>
                <c:pt idx="2">
                  <c:v>100</c:v>
                </c:pt>
                <c:pt idx="3">
                  <c:v>100</c:v>
                </c:pt>
                <c:pt idx="4">
                  <c:v>100</c:v>
                </c:pt>
                <c:pt idx="5">
                  <c:v>100</c:v>
                </c:pt>
                <c:pt idx="6">
                  <c:v>100</c:v>
                </c:pt>
                <c:pt idx="7">
                  <c:v>100</c:v>
                </c:pt>
                <c:pt idx="8">
                  <c:v>100</c:v>
                </c:pt>
                <c:pt idx="9">
                  <c:v>100</c:v>
                </c:pt>
                <c:pt idx="10">
                  <c:v>100</c:v>
                </c:pt>
                <c:pt idx="11">
                  <c:v>100</c:v>
                </c:pt>
                <c:pt idx="12">
                  <c:v>100</c:v>
                </c:pt>
                <c:pt idx="13">
                  <c:v>100</c:v>
                </c:pt>
                <c:pt idx="14">
                  <c:v>100</c:v>
                </c:pt>
                <c:pt idx="15">
                  <c:v>100</c:v>
                </c:pt>
              </c:numCache>
            </c:numRef>
          </c:val>
          <c:extLst>
            <c:ext xmlns:c15="http://schemas.microsoft.com/office/drawing/2012/chart" uri="{02D57815-91ED-43cb-92C2-25804820EDAC}">
              <c15:datalabelsRange>
                <c15:f>'Tab2'!$I$2:$I$17</c15:f>
                <c15:dlblRangeCache>
                  <c:ptCount val="16"/>
                  <c:pt idx="0">
                    <c:v>    OR (95%CI)         p-value</c:v>
                  </c:pt>
                  <c:pt idx="1">
                    <c:v>0.88 (0.83-0.93);   p=0.000</c:v>
                  </c:pt>
                  <c:pt idx="2">
                    <c:v>1.23 (0.69-2.22);   p=0.485</c:v>
                  </c:pt>
                  <c:pt idx="3">
                    <c:v>1.10 (0.66-1.84);   p=0.721</c:v>
                  </c:pt>
                  <c:pt idx="4">
                    <c:v>0.75 (0.55-1.03);   p=0.075</c:v>
                  </c:pt>
                  <c:pt idx="5">
                    <c:v>0.98 (0.95-1.01);   p=0.164</c:v>
                  </c:pt>
                  <c:pt idx="6">
                    <c:v>0.23 (0.00-108936.61);   p=0.825</c:v>
                  </c:pt>
                  <c:pt idx="7">
                    <c:v>1.00 (0.86-1.16);   p=0.996</c:v>
                  </c:pt>
                  <c:pt idx="8">
                    <c:v>1.04 (0.70-1.56);   p=0.845</c:v>
                  </c:pt>
                  <c:pt idx="9">
                    <c:v>0.71 (0.44-1.13);   p=0.149</c:v>
                  </c:pt>
                  <c:pt idx="10">
                    <c:v>1.21 (0.32-4.58);   p=0.781</c:v>
                  </c:pt>
                  <c:pt idx="11">
                    <c:v>0.86 (0.31-2.36);   p=0.771</c:v>
                  </c:pt>
                  <c:pt idx="12">
                    <c:v>2.66 (1.42-5.00);   p=0.002</c:v>
                  </c:pt>
                  <c:pt idx="13">
                    <c:v>1.65 (1.18-2.31);   p=0.004</c:v>
                  </c:pt>
                  <c:pt idx="14">
                    <c:v>29.47 (11.66-74.52);   p=0.000</c:v>
                  </c:pt>
                </c15:dlblRangeCache>
              </c15:datalabelsRange>
            </c:ext>
            <c:ext xmlns:c16="http://schemas.microsoft.com/office/drawing/2014/chart" uri="{C3380CC4-5D6E-409C-BE32-E72D297353CC}">
              <c16:uniqueId val="{00000011-77D4-42B1-A45F-98B0A4BA0BDA}"/>
            </c:ext>
          </c:extLst>
        </c:ser>
        <c:ser>
          <c:idx val="2"/>
          <c:order val="2"/>
          <c:tx>
            <c:strRef>
              <c:f>'Tab2'!$L$1</c:f>
              <c:strCache>
                <c:ptCount val="1"/>
                <c:pt idx="0">
                  <c:v>arrow</c:v>
                </c:pt>
              </c:strCache>
            </c:strRef>
          </c:tx>
          <c:spPr>
            <a:noFill/>
          </c:spPr>
          <c:invertIfNegative val="0"/>
          <c:errBars>
            <c:errBarType val="plus"/>
            <c:errValType val="cust"/>
            <c:noEndCap val="1"/>
            <c:plus>
              <c:numRef>
                <c:f>'Tab2'!$L$2:$L$17</c:f>
                <c:numCache>
                  <c:formatCode>General</c:formatCode>
                  <c:ptCount val="16"/>
                  <c:pt idx="6">
                    <c:v>100</c:v>
                  </c:pt>
                </c:numCache>
              </c:numRef>
            </c:plus>
            <c:minus>
              <c:numLit>
                <c:formatCode>General</c:formatCode>
                <c:ptCount val="1"/>
                <c:pt idx="0">
                  <c:v>1</c:v>
                </c:pt>
              </c:numLit>
            </c:minus>
            <c:spPr>
              <a:ln w="12700">
                <a:solidFill>
                  <a:schemeClr val="tx1"/>
                </a:solidFill>
                <a:headEnd type="none" w="med" len="med"/>
                <a:tailEnd type="triangle"/>
              </a:ln>
            </c:spPr>
          </c:errBars>
          <c:val>
            <c:numRef>
              <c:f>'Tab2'!$B$2:$B$17</c:f>
              <c:numCache>
                <c:formatCode>0.00</c:formatCode>
                <c:ptCount val="16"/>
                <c:pt idx="1">
                  <c:v>0.87836728707280376</c:v>
                </c:pt>
                <c:pt idx="2">
                  <c:v>1.2327642101293279</c:v>
                </c:pt>
                <c:pt idx="3">
                  <c:v>1.0985041035050742</c:v>
                </c:pt>
                <c:pt idx="4">
                  <c:v>0.75218312261619902</c:v>
                </c:pt>
                <c:pt idx="5">
                  <c:v>0.97715241988893808</c:v>
                </c:pt>
                <c:pt idx="6">
                  <c:v>0.22983363641600865</c:v>
                </c:pt>
                <c:pt idx="7">
                  <c:v>1.000407207217854</c:v>
                </c:pt>
                <c:pt idx="8">
                  <c:v>1.041013485935572</c:v>
                </c:pt>
                <c:pt idx="9">
                  <c:v>0.70654485242256027</c:v>
                </c:pt>
                <c:pt idx="10">
                  <c:v>1.2084206448747561</c:v>
                </c:pt>
                <c:pt idx="11">
                  <c:v>0.86110950108341389</c:v>
                </c:pt>
                <c:pt idx="12">
                  <c:v>2.6646366556142045</c:v>
                </c:pt>
                <c:pt idx="13">
                  <c:v>1.648637736513352</c:v>
                </c:pt>
                <c:pt idx="14">
                  <c:v>29.474560037777341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12-77D4-42B1-A45F-98B0A4BA0BD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500"/>
        <c:overlap val="100"/>
        <c:axId val="396332968"/>
        <c:axId val="396327928"/>
      </c:barChart>
      <c:catAx>
        <c:axId val="396332968"/>
        <c:scaling>
          <c:orientation val="maxMin"/>
        </c:scaling>
        <c:delete val="0"/>
        <c:axPos val="l"/>
        <c:numFmt formatCode="General" sourceLinked="1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j-lt"/>
                <a:ea typeface="+mn-ea"/>
                <a:cs typeface="+mn-cs"/>
              </a:defRPr>
            </a:pPr>
            <a:endParaRPr lang="pl-PL"/>
          </a:p>
        </c:txPr>
        <c:crossAx val="396327928"/>
        <c:crosses val="autoZero"/>
        <c:auto val="1"/>
        <c:lblAlgn val="ctr"/>
        <c:lblOffset val="100"/>
        <c:noMultiLvlLbl val="0"/>
      </c:catAx>
      <c:valAx>
        <c:axId val="396327928"/>
        <c:scaling>
          <c:logBase val="10"/>
          <c:orientation val="minMax"/>
          <c:max val="100"/>
          <c:min val="0.1"/>
        </c:scaling>
        <c:delete val="0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General" sourceLinked="0"/>
        <c:majorTickMark val="out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j-lt"/>
                <a:ea typeface="+mn-ea"/>
                <a:cs typeface="+mn-cs"/>
              </a:defRPr>
            </a:pPr>
            <a:endParaRPr lang="pl-PL"/>
          </a:p>
        </c:txPr>
        <c:crossAx val="396332968"/>
        <c:crosses val="max"/>
        <c:crossBetween val="between"/>
        <c:majorUnit val="10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pl-PL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26</Words>
  <Characters>152</Characters>
  <Application>Microsoft Office Word</Application>
  <DocSecurity>0</DocSecurity>
  <Lines>1</Lines>
  <Paragraphs>1</Paragraphs>
  <ScaleCrop>false</ScaleCrop>
  <Company>Springer Nature</Company>
  <LinksUpToDate>false</LinksUpToDate>
  <CharactersWithSpaces>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2025-06-06T14:22:00Z</dcterms:created>
  <dcterms:modified xsi:type="dcterms:W3CDTF">2025-06-06T14:23:00Z</dcterms:modified>
</cp:coreProperties>
</file>