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38AF">
      <w:pPr>
        <w:jc w:val="center"/>
      </w:pPr>
      <w:r>
        <w:drawing>
          <wp:inline distT="0" distB="0" distL="114300" distR="114300">
            <wp:extent cx="4557395" cy="3040380"/>
            <wp:effectExtent l="4445" t="4445" r="10160" b="2222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3B00BE4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sz w:val="21"/>
          <w:szCs w:val="21"/>
        </w:rPr>
        <w:t xml:space="preserve">Figure S1 </w:t>
      </w:r>
      <w:bookmarkStart w:id="0" w:name="_GoBack"/>
      <w:r>
        <w:rPr>
          <w:rFonts w:hint="default" w:ascii="Times New Roman" w:hAnsi="Times New Roman" w:eastAsia="TimesNewRomanPS-BoldMT" w:cs="Times New Roman"/>
          <w:b/>
          <w:bCs/>
          <w:color w:val="000000"/>
          <w:sz w:val="21"/>
          <w:szCs w:val="21"/>
        </w:rPr>
        <w:t>Sensitivity analysis graph of gene</w:t>
      </w: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tic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sz w:val="21"/>
          <w:szCs w:val="21"/>
        </w:rPr>
        <w:t xml:space="preserve"> distance thresholds.</w:t>
      </w:r>
      <w:bookmarkEnd w:id="0"/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The optimal GD threshold was determined as 0.005 substitutions/site, which identified the highest number of clusters in the molecular networks. </w:t>
      </w:r>
    </w:p>
    <w:p w14:paraId="634EC9D7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514E780B">
      <w:pP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35B31"/>
    <w:rsid w:val="25835B31"/>
    <w:rsid w:val="511F1327"/>
    <w:rsid w:val="5DAF6AB3"/>
    <w:rsid w:val="630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hp\Desktop\CRF119_0107&#20998;&#26512;\2019-2024\G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820336062042"/>
          <c:y val="0.137962679718568"/>
          <c:w val="0.751206376561827"/>
          <c:h val="0.578862037320281"/>
        </c:manualLayout>
      </c:layout>
      <c:lineChart>
        <c:grouping val="standard"/>
        <c:varyColors val="0"/>
        <c:ser>
          <c:idx val="0"/>
          <c:order val="0"/>
          <c:tx>
            <c:strRef>
              <c:f>[GD.xlsx]Sheet1!$A$2</c:f>
              <c:strCache>
                <c:ptCount val="1"/>
                <c:pt idx="0">
                  <c:v>cluster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[GD.xlsx]Sheet1!$B$1:$O$1</c:f>
              <c:numCache>
                <c:formatCode>General</c:formatCode>
                <c:ptCount val="14"/>
                <c:pt idx="0">
                  <c:v>0.005</c:v>
                </c:pt>
                <c:pt idx="1">
                  <c:v>0.0075</c:v>
                </c:pt>
                <c:pt idx="2">
                  <c:v>0.01</c:v>
                </c:pt>
                <c:pt idx="3">
                  <c:v>0.0105</c:v>
                </c:pt>
                <c:pt idx="4">
                  <c:v>0.011</c:v>
                </c:pt>
                <c:pt idx="5">
                  <c:v>0.0115</c:v>
                </c:pt>
                <c:pt idx="6">
                  <c:v>0.012</c:v>
                </c:pt>
                <c:pt idx="7">
                  <c:v>0.0125</c:v>
                </c:pt>
                <c:pt idx="8">
                  <c:v>0.013</c:v>
                </c:pt>
                <c:pt idx="9">
                  <c:v>0.0135</c:v>
                </c:pt>
                <c:pt idx="10">
                  <c:v>0.014</c:v>
                </c:pt>
                <c:pt idx="11">
                  <c:v>0.0145</c:v>
                </c:pt>
                <c:pt idx="12">
                  <c:v>0.015</c:v>
                </c:pt>
              </c:numCache>
            </c:numRef>
          </c:cat>
          <c:val>
            <c:numRef>
              <c:f>[GD.xlsx]Sheet1!$B$2:$O$2</c:f>
              <c:numCache>
                <c:formatCode>General</c:formatCode>
                <c:ptCount val="14"/>
                <c:pt idx="0">
                  <c:v>11</c:v>
                </c:pt>
                <c:pt idx="1">
                  <c:v>8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3171168"/>
        <c:axId val="823168872"/>
      </c:lineChart>
      <c:lineChart>
        <c:grouping val="standard"/>
        <c:varyColors val="0"/>
        <c:ser>
          <c:idx val="1"/>
          <c:order val="1"/>
          <c:tx>
            <c:strRef>
              <c:f>[GD.xlsx]Sheet1!$A$3</c:f>
              <c:strCache>
                <c:ptCount val="1"/>
                <c:pt idx="0">
                  <c:v>node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numRef>
              <c:f>[GD.xlsx]Sheet1!$B$1:$O$1</c:f>
              <c:numCache>
                <c:formatCode>General</c:formatCode>
                <c:ptCount val="14"/>
                <c:pt idx="0">
                  <c:v>0.005</c:v>
                </c:pt>
                <c:pt idx="1">
                  <c:v>0.0075</c:v>
                </c:pt>
                <c:pt idx="2">
                  <c:v>0.01</c:v>
                </c:pt>
                <c:pt idx="3">
                  <c:v>0.0105</c:v>
                </c:pt>
                <c:pt idx="4">
                  <c:v>0.011</c:v>
                </c:pt>
                <c:pt idx="5">
                  <c:v>0.0115</c:v>
                </c:pt>
                <c:pt idx="6">
                  <c:v>0.012</c:v>
                </c:pt>
                <c:pt idx="7">
                  <c:v>0.0125</c:v>
                </c:pt>
                <c:pt idx="8">
                  <c:v>0.013</c:v>
                </c:pt>
                <c:pt idx="9">
                  <c:v>0.0135</c:v>
                </c:pt>
                <c:pt idx="10">
                  <c:v>0.014</c:v>
                </c:pt>
                <c:pt idx="11">
                  <c:v>0.0145</c:v>
                </c:pt>
                <c:pt idx="12">
                  <c:v>0.015</c:v>
                </c:pt>
              </c:numCache>
            </c:numRef>
          </c:cat>
          <c:val>
            <c:numRef>
              <c:f>[GD.xlsx]Sheet1!$B$3:$O$3</c:f>
              <c:numCache>
                <c:formatCode>General</c:formatCode>
                <c:ptCount val="14"/>
                <c:pt idx="0">
                  <c:v>78</c:v>
                </c:pt>
                <c:pt idx="1">
                  <c:v>98</c:v>
                </c:pt>
                <c:pt idx="2">
                  <c:v>110</c:v>
                </c:pt>
                <c:pt idx="3">
                  <c:v>115</c:v>
                </c:pt>
                <c:pt idx="4">
                  <c:v>117</c:v>
                </c:pt>
                <c:pt idx="5">
                  <c:v>118</c:v>
                </c:pt>
                <c:pt idx="6">
                  <c:v>118</c:v>
                </c:pt>
                <c:pt idx="7">
                  <c:v>119</c:v>
                </c:pt>
                <c:pt idx="8">
                  <c:v>119</c:v>
                </c:pt>
                <c:pt idx="9">
                  <c:v>120</c:v>
                </c:pt>
                <c:pt idx="10">
                  <c:v>121</c:v>
                </c:pt>
                <c:pt idx="11">
                  <c:v>123</c:v>
                </c:pt>
                <c:pt idx="12">
                  <c:v>123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351496"/>
        <c:axId val="799350184"/>
      </c:lineChart>
      <c:catAx>
        <c:axId val="8231711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US" altLang="zh-CN" sz="1200"/>
                  <a:t>TN 93 genetic distance threshold</a:t>
                </a:r>
                <a:endParaRPr lang="en-US" altLang="zh-CN" sz="1200"/>
              </a:p>
            </c:rich>
          </c:tx>
          <c:layout>
            <c:manualLayout>
              <c:xMode val="edge"/>
              <c:yMode val="edge"/>
              <c:x val="0.315435157259802"/>
              <c:y val="0.87359974180121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23168872"/>
        <c:crosses val="autoZero"/>
        <c:auto val="1"/>
        <c:lblAlgn val="ctr"/>
        <c:lblOffset val="100"/>
        <c:noMultiLvlLbl val="0"/>
      </c:catAx>
      <c:valAx>
        <c:axId val="823168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en-US" altLang="zh-CN" sz="1200">
                    <a:ea typeface="Times New Roman" panose="02020603050405020304" charset="0"/>
                    <a:sym typeface="Times New Roman" panose="02020603050405020304" charset="0"/>
                  </a:rPr>
                  <a:t>NO. of clusters</a:t>
                </a:r>
                <a:endParaRPr lang="en-US" altLang="zh-CN" sz="1200">
                  <a:ea typeface="Times New Roman" panose="02020603050405020304" charset="0"/>
                  <a:sym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0468548039638087"/>
              <c:y val="0.2810411823572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23171168"/>
        <c:crosses val="autoZero"/>
        <c:crossBetween val="between"/>
      </c:valAx>
      <c:catAx>
        <c:axId val="799351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99350184"/>
        <c:crosses val="autoZero"/>
        <c:auto val="1"/>
        <c:lblAlgn val="ctr"/>
        <c:lblOffset val="100"/>
        <c:noMultiLvlLbl val="0"/>
      </c:catAx>
      <c:valAx>
        <c:axId val="799350184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sz="1200"/>
                  <a:t>NO. of </a:t>
                </a:r>
                <a:r>
                  <a:rPr lang="en-US" altLang="zh-CN" sz="1200"/>
                  <a:t> links</a:t>
                </a:r>
                <a:endParaRPr lang="en-US" altLang="zh-CN" sz="1200"/>
              </a:p>
            </c:rich>
          </c:tx>
          <c:layout>
            <c:manualLayout>
              <c:xMode val="edge"/>
              <c:yMode val="edge"/>
              <c:x val="0.945066781559673"/>
              <c:y val="0.27258459435438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9935149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>
        <c:manualLayout>
          <c:xMode val="edge"/>
          <c:yMode val="edge"/>
          <c:x val="0.378971679978789"/>
          <c:y val="0.03645735524230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345f77-e2c3-4358-ae75-9f67dbefaed1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zh-CN" sz="11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2025-04-24T02:04:00Z</dcterms:created>
  <dc:creator>hp</dc:creator>
  <cp:lastModifiedBy>hp</cp:lastModifiedBy>
  <dcterms:modified xsi:type="dcterms:W3CDTF">2025-04-24T02:25:41Z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94C573E40F0742C2A89172E3327D6FA7_11</vt:lpwstr>
  </property>
  <property fmtid="{D5CDD505-2E9C-101B-9397-08002B2CF9AE}" pid="4" name="KSOTemplateDocerSaveRecord">
    <vt:lpwstr>eyJoZGlkIjoiYjJhN2YwODM2NzdmNTYyNGM0MDU0NGMxMGE1ZDYxNGEiLCJ1c2VySWQiOiIzOTcwNDA1NzIifQ==</vt:lpwstr>
  </property>
</Properties>
</file>