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AB" w:rsidRDefault="002611AB" w:rsidP="00A515F3">
      <w:pPr>
        <w:jc w:val="center"/>
        <w:rPr>
          <w:b/>
          <w:bCs/>
          <w:sz w:val="44"/>
          <w:szCs w:val="44"/>
          <w:lang w:bidi="fa-IR"/>
        </w:rPr>
      </w:pPr>
    </w:p>
    <w:p w:rsidR="00A515F3" w:rsidRPr="00A515F3" w:rsidRDefault="007C48DD" w:rsidP="00A515F3">
      <w:pPr>
        <w:jc w:val="center"/>
        <w:rPr>
          <w:b/>
          <w:bCs/>
          <w:sz w:val="44"/>
          <w:szCs w:val="44"/>
          <w:lang w:bidi="fa-IR"/>
        </w:rPr>
      </w:pPr>
      <w:r>
        <w:rPr>
          <w:b/>
          <w:bCs/>
          <w:sz w:val="44"/>
          <w:szCs w:val="44"/>
          <w:lang w:bidi="fa-IR"/>
        </w:rPr>
        <w:t>Supplemental</w:t>
      </w:r>
      <w:r w:rsidR="00A515F3" w:rsidRPr="00A515F3">
        <w:rPr>
          <w:b/>
          <w:bCs/>
          <w:sz w:val="44"/>
          <w:szCs w:val="44"/>
          <w:lang w:bidi="fa-IR"/>
        </w:rPr>
        <w:t xml:space="preserve"> Material</w:t>
      </w:r>
    </w:p>
    <w:p w:rsidR="00A515F3" w:rsidRDefault="00A515F3" w:rsidP="00A515F3">
      <w:pPr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A515F3" w:rsidRDefault="00A515F3" w:rsidP="00A515F3">
      <w:pPr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A515F3" w:rsidRDefault="00A515F3" w:rsidP="00A515F3">
      <w:pPr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</w:p>
    <w:p w:rsidR="00A515F3" w:rsidRDefault="0091034A" w:rsidP="00A515F3">
      <w:pPr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r w:rsidRPr="0091034A">
        <w:rPr>
          <w:rFonts w:asciiTheme="minorBidi" w:hAnsiTheme="minorBidi"/>
          <w:b/>
          <w:bCs/>
          <w:sz w:val="28"/>
          <w:szCs w:val="28"/>
          <w:lang w:bidi="fa-IR"/>
        </w:rPr>
        <w:t>Clinical Utility of aVR Lead T-wave in Electrocardiogram of Patients with ST-Elevation Myocardial Infarction</w:t>
      </w:r>
    </w:p>
    <w:p w:rsidR="00A515F3" w:rsidRDefault="00A515F3" w:rsidP="00A515F3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inorBidi" w:hAnsiTheme="minorBidi"/>
          <w:lang w:bidi="fa-IR"/>
        </w:rPr>
        <w:t>[Authors' names/affiliations are undisclosed for peer review</w:t>
      </w:r>
      <w:r>
        <w:rPr>
          <w:rFonts w:asciiTheme="majorBidi" w:hAnsiTheme="majorBidi" w:cstheme="majorBidi"/>
          <w:sz w:val="24"/>
          <w:szCs w:val="24"/>
          <w:lang w:bidi="fa-IR"/>
        </w:rPr>
        <w:t>]</w:t>
      </w:r>
    </w:p>
    <w:p w:rsidR="00A515F3" w:rsidRDefault="00A515F3" w:rsidP="00A515F3">
      <w:pPr>
        <w:spacing w:line="480" w:lineRule="auto"/>
        <w:jc w:val="lowKashida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i/>
          <w:iCs/>
          <w:sz w:val="24"/>
          <w:szCs w:val="24"/>
          <w:lang w:bidi="fa-IR"/>
        </w:rPr>
        <w:t>Running title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  <w:lang w:bidi="fa-IR"/>
        </w:rPr>
        <w:t>T-wave in aVR Lead in ST-Elevation Myocardial Infarction</w:t>
      </w:r>
    </w:p>
    <w:p w:rsidR="0056599F" w:rsidRDefault="0056599F">
      <w:pPr>
        <w:spacing w:line="259" w:lineRule="auto"/>
        <w:rPr>
          <w:lang w:bidi="fa-IR"/>
        </w:rPr>
      </w:pPr>
      <w:r>
        <w:rPr>
          <w:lang w:bidi="fa-IR"/>
        </w:rPr>
        <w:br w:type="page"/>
      </w:r>
    </w:p>
    <w:p w:rsidR="00A515F3" w:rsidRDefault="00A515F3" w:rsidP="0056599F">
      <w:pPr>
        <w:spacing w:after="0" w:line="240" w:lineRule="auto"/>
        <w:rPr>
          <w:lang w:bidi="fa-IR"/>
        </w:rPr>
      </w:pPr>
    </w:p>
    <w:tbl>
      <w:tblPr>
        <w:tblStyle w:val="ListTable6Colorful1"/>
        <w:tblpPr w:vertAnchor="page" w:horzAnchor="margin" w:tblpY="1516"/>
        <w:tblW w:w="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375"/>
        <w:gridCol w:w="1661"/>
        <w:gridCol w:w="3324"/>
        <w:gridCol w:w="1186"/>
        <w:gridCol w:w="30"/>
      </w:tblGrid>
      <w:tr w:rsidR="00A515F3" w:rsidTr="00A51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" w:type="dxa"/>
            <w:tcBorders>
              <w:top w:val="nil"/>
              <w:left w:val="nil"/>
              <w:right w:val="nil"/>
            </w:tcBorders>
            <w:vAlign w:val="center"/>
          </w:tcPr>
          <w:p w:rsidR="00A515F3" w:rsidRDefault="00A515F3">
            <w:pPr>
              <w:spacing w:line="24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A515F3" w:rsidRDefault="000A3C02" w:rsidP="0056599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  <w:lang w:bidi="fa-IR"/>
              </w:rPr>
            </w:pPr>
            <w:r w:rsidRPr="000A3C02">
              <w:rPr>
                <w:rFonts w:ascii="Arial Narrow" w:hAnsi="Arial Narrow" w:cstheme="majorBidi"/>
                <w:sz w:val="20"/>
                <w:szCs w:val="20"/>
                <w:lang w:bidi="fa-IR"/>
              </w:rPr>
              <w:t>Supplemental Table 1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.  Independent determinants of T wave amplitude in aVR lead in STEMI patients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16"/>
                <w:szCs w:val="16"/>
                <w:lang w:bidi="fa-IR"/>
              </w:rPr>
            </w:pPr>
          </w:p>
        </w:tc>
        <w:tc>
          <w:tcPr>
            <w:tcW w:w="1661" w:type="dxa"/>
            <w:noWrap/>
            <w:vAlign w:val="center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324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Correlation coefficient and 95%CI</w:t>
            </w:r>
          </w:p>
        </w:tc>
        <w:tc>
          <w:tcPr>
            <w:tcW w:w="1186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 xml:space="preserve">P value 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Age 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right="-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 65 years vs &lt;65 years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0.195 (0.023, 0.357)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</w:t>
            </w: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026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Gender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Male vs female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-0.012 (-0.224, 0.201)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.913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DM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 vs absent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-0.186 (-0.394, 0.023)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.075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HTN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right="-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 vs absent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-0.159 (-0.322, 0.004)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.072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HC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right="-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  vs absent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-0.067 (-0.276, 0.141)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.526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Cr (mg/dl)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&gt;=1.2 vs &lt;1.2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-0.090 (-0.273, 0.093)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.321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BS (mg/dl)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&gt;=200 vs &lt;200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-0.037 (-0.267, 0.193)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.754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 w:rsidP="00F07A71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Time from symptom  </w:t>
            </w:r>
            <w:r w:rsidR="00F07A71">
              <w:rPr>
                <w:rFonts w:ascii="Arial" w:hAnsi="Arial" w:cs="Arial"/>
                <w:sz w:val="20"/>
                <w:szCs w:val="20"/>
                <w:vertAlign w:val="superscript"/>
                <w:lang w:bidi="fa-IR"/>
              </w:rPr>
              <w:t>a</w:t>
            </w:r>
            <w:r>
              <w:rPr>
                <w:rFonts w:ascii="Arial Narrow" w:hAnsi="Arial Narrow" w:cstheme="majorBidi"/>
                <w:b w:val="0"/>
                <w:bCs w:val="0"/>
                <w:sz w:val="20"/>
                <w:szCs w:val="20"/>
                <w:lang w:bidi="fa-IR"/>
              </w:rPr>
              <w:t xml:space="preserve"> (hours)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&gt;=12 vs &lt;12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-0.135 (-0.317, 0.048)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.136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Systolic BP mmHg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&gt;=100 vs 100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0.107 (-0.170, 0.384)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.448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HR/ min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&gt;=90 vs &lt;90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0.184 (0.010, 0.364)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.038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proofErr w:type="spellStart"/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Killip</w:t>
            </w:r>
            <w:proofErr w:type="spellEnd"/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class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 1 vs &lt;1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0.073 (-0.121, 0.267)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.815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Infarction location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right="-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Inferior vs anterior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0.144 (-0.044, 0.333)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.116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PAH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 w:right="-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 vs absent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0.248 (-0.015, 0.512)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.057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MR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No MR vs MR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-0.042 (-0.209, 0.126)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.625</w:t>
            </w: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LVEF (%)</w:t>
            </w:r>
          </w:p>
        </w:tc>
        <w:tc>
          <w:tcPr>
            <w:tcW w:w="1661" w:type="dxa"/>
            <w:noWrap/>
            <w:vAlign w:val="center"/>
            <w:hideMark/>
          </w:tcPr>
          <w:p w:rsidR="00A515F3" w:rsidRDefault="00A515F3">
            <w:pPr>
              <w:spacing w:line="240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&gt;=40 vs &lt;40</w:t>
            </w:r>
          </w:p>
        </w:tc>
        <w:tc>
          <w:tcPr>
            <w:tcW w:w="3324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-0.253 (-0.050, -0.456)</w:t>
            </w:r>
          </w:p>
        </w:tc>
        <w:tc>
          <w:tcPr>
            <w:tcW w:w="1186" w:type="dxa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.015</w:t>
            </w:r>
          </w:p>
        </w:tc>
      </w:tr>
      <w:tr w:rsidR="00A515F3" w:rsidTr="00A515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661" w:type="dxa"/>
            <w:noWrap/>
            <w:vAlign w:val="center"/>
          </w:tcPr>
          <w:p w:rsidR="00A515F3" w:rsidRDefault="00A515F3">
            <w:pPr>
              <w:spacing w:line="240" w:lineRule="auto"/>
              <w:ind w:left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24" w:type="dxa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86" w:type="dxa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</w:tr>
      <w:tr w:rsidR="00A515F3" w:rsidTr="00A515F3">
        <w:trPr>
          <w:gridAfter w:val="1"/>
          <w:wAfter w:w="30" w:type="dxa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1" w:type="dxa"/>
            <w:gridSpan w:val="5"/>
            <w:vAlign w:val="center"/>
          </w:tcPr>
          <w:p w:rsidR="00A515F3" w:rsidRPr="0056599F" w:rsidRDefault="00F07A71" w:rsidP="003B4B54">
            <w:pPr>
              <w:spacing w:line="240" w:lineRule="auto"/>
              <w:rPr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ascii="Calibri" w:hAnsi="Calibri" w:cs="Calibri"/>
                <w:sz w:val="18"/>
                <w:szCs w:val="18"/>
                <w:lang w:bidi="fa-IR"/>
              </w:rPr>
              <w:t>a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  Time from symptom to hospital admission;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BP,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 Blood pressure;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HC,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 Hypercholesterolemia; 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HTN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, Hypertension;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HR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, Heart rate;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LVEF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, Left ventricular ejection fraction;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MR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, Mitral regurgitation; </w:t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PAH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 xml:space="preserve">, Pulmonary arterial;  </w:t>
            </w:r>
            <w:r w:rsidR="003B4B54" w:rsidRPr="0056599F">
              <w:rPr>
                <w:b w:val="0"/>
                <w:bCs w:val="0"/>
                <w:sz w:val="18"/>
                <w:szCs w:val="18"/>
                <w:lang w:bidi="fa-IR"/>
              </w:rPr>
              <w:br/>
            </w:r>
            <w:r w:rsidR="00A515F3" w:rsidRPr="0056599F">
              <w:rPr>
                <w:rFonts w:ascii="Calibri" w:hAnsi="Calibri" w:cs="Calibri"/>
                <w:sz w:val="18"/>
                <w:szCs w:val="18"/>
                <w:lang w:bidi="fa-IR"/>
              </w:rPr>
              <w:t>PCI</w:t>
            </w:r>
            <w:r w:rsidR="00A515F3" w:rsidRPr="0056599F">
              <w:rPr>
                <w:b w:val="0"/>
                <w:bCs w:val="0"/>
                <w:sz w:val="18"/>
                <w:szCs w:val="18"/>
                <w:lang w:bidi="fa-IR"/>
              </w:rPr>
              <w:t>, Percutaneous coronary intervention</w:t>
            </w:r>
          </w:p>
          <w:p w:rsidR="00A515F3" w:rsidRDefault="00A515F3">
            <w:pPr>
              <w:spacing w:line="240" w:lineRule="auto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</w:tr>
    </w:tbl>
    <w:p w:rsidR="00A515F3" w:rsidRDefault="00A515F3" w:rsidP="00A515F3">
      <w:pPr>
        <w:rPr>
          <w:lang w:bidi="fa-IR"/>
        </w:rPr>
      </w:pPr>
      <w:r>
        <w:rPr>
          <w:lang w:bidi="fa-IR"/>
        </w:rPr>
        <w:br w:type="page"/>
      </w:r>
    </w:p>
    <w:p w:rsidR="00A515F3" w:rsidRDefault="00A515F3" w:rsidP="00A515F3">
      <w:pPr>
        <w:rPr>
          <w:lang w:bidi="fa-IR"/>
        </w:rPr>
      </w:pPr>
    </w:p>
    <w:p w:rsidR="00A515F3" w:rsidRDefault="00F07A71" w:rsidP="00A515F3">
      <w:pPr>
        <w:rPr>
          <w:rFonts w:ascii="Arial Narrow" w:hAnsi="Arial Narrow" w:cstheme="majorBidi"/>
          <w:sz w:val="20"/>
          <w:szCs w:val="20"/>
          <w:lang w:bidi="fa-IR"/>
        </w:rPr>
      </w:pPr>
      <w:proofErr w:type="gramStart"/>
      <w:r w:rsidRPr="00F07A71">
        <w:rPr>
          <w:rFonts w:ascii="Arial Narrow" w:hAnsi="Arial Narrow" w:cstheme="majorBidi"/>
          <w:b/>
          <w:bCs/>
          <w:sz w:val="20"/>
          <w:szCs w:val="20"/>
          <w:lang w:bidi="fa-IR"/>
        </w:rPr>
        <w:t>a</w:t>
      </w:r>
      <w:r w:rsidR="00A515F3">
        <w:rPr>
          <w:rFonts w:ascii="Arial Narrow" w:hAnsi="Arial Narrow" w:cstheme="majorBidi"/>
          <w:sz w:val="20"/>
          <w:szCs w:val="20"/>
          <w:lang w:bidi="fa-IR"/>
        </w:rPr>
        <w:t xml:space="preserve">  Numbers</w:t>
      </w:r>
      <w:proofErr w:type="gramEnd"/>
      <w:r w:rsidR="00A515F3">
        <w:rPr>
          <w:rFonts w:ascii="Arial Narrow" w:hAnsi="Arial Narrow" w:cstheme="majorBidi"/>
          <w:sz w:val="20"/>
          <w:szCs w:val="20"/>
          <w:lang w:bidi="fa-IR"/>
        </w:rPr>
        <w:t xml:space="preserve"> of </w:t>
      </w:r>
      <w:r w:rsidR="0099400D">
        <w:rPr>
          <w:rFonts w:ascii="Arial Narrow" w:hAnsi="Arial Narrow" w:cstheme="majorBidi"/>
          <w:sz w:val="20"/>
          <w:szCs w:val="20"/>
          <w:lang w:bidi="fa-IR"/>
        </w:rPr>
        <w:t>patients</w:t>
      </w:r>
      <w:r w:rsidR="00A515F3">
        <w:rPr>
          <w:rFonts w:ascii="Arial Narrow" w:hAnsi="Arial Narrow" w:cstheme="majorBidi"/>
          <w:sz w:val="20"/>
          <w:szCs w:val="20"/>
          <w:lang w:bidi="fa-IR"/>
        </w:rPr>
        <w:t xml:space="preserve"> in this category (percent in row)</w:t>
      </w:r>
    </w:p>
    <w:p w:rsidR="00F422F2" w:rsidRDefault="00F07A71" w:rsidP="00A515F3">
      <w:pPr>
        <w:rPr>
          <w:lang w:bidi="fa-IR"/>
        </w:rPr>
      </w:pPr>
      <w:proofErr w:type="gramStart"/>
      <w:r w:rsidRPr="00F07A71">
        <w:rPr>
          <w:rFonts w:ascii="Arial Narrow" w:hAnsi="Arial Narrow" w:cstheme="majorBidi"/>
          <w:b/>
          <w:bCs/>
          <w:sz w:val="20"/>
          <w:szCs w:val="20"/>
          <w:lang w:bidi="fa-IR"/>
        </w:rPr>
        <w:t>b</w:t>
      </w:r>
      <w:proofErr w:type="gramEnd"/>
      <w:r w:rsidR="00F422F2">
        <w:rPr>
          <w:rFonts w:ascii="Arial Narrow" w:hAnsi="Arial Narrow" w:cstheme="majorBidi"/>
          <w:sz w:val="20"/>
          <w:szCs w:val="20"/>
          <w:lang w:bidi="fa-IR"/>
        </w:rPr>
        <w:t xml:space="preserve"> Of those discharged from the hospital (n=316)</w:t>
      </w:r>
    </w:p>
    <w:tbl>
      <w:tblPr>
        <w:tblStyle w:val="ListTable6Colorful1"/>
        <w:tblpPr w:leftFromText="180" w:rightFromText="180" w:horzAnchor="margin" w:tblpY="634"/>
        <w:tblW w:w="9599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72" w:type="dxa"/>
          <w:right w:w="58" w:type="dxa"/>
        </w:tblCellMar>
        <w:tblLook w:val="04A0" w:firstRow="1" w:lastRow="0" w:firstColumn="1" w:lastColumn="0" w:noHBand="0" w:noVBand="1"/>
      </w:tblPr>
      <w:tblGrid>
        <w:gridCol w:w="2010"/>
        <w:gridCol w:w="1168"/>
        <w:gridCol w:w="1089"/>
        <w:gridCol w:w="1062"/>
        <w:gridCol w:w="10"/>
        <w:gridCol w:w="1021"/>
        <w:gridCol w:w="1095"/>
        <w:gridCol w:w="21"/>
        <w:gridCol w:w="1061"/>
        <w:gridCol w:w="1039"/>
        <w:gridCol w:w="23"/>
      </w:tblGrid>
      <w:tr w:rsidR="00A515F3" w:rsidTr="00994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5F3" w:rsidRDefault="007D5523" w:rsidP="0056599F">
            <w:pPr>
              <w:spacing w:line="240" w:lineRule="auto"/>
              <w:rPr>
                <w:rFonts w:ascii="Arial Narrow" w:hAnsi="Arial Narrow" w:cstheme="majorBidi"/>
                <w:sz w:val="20"/>
                <w:szCs w:val="20"/>
                <w:rtl/>
                <w:lang w:bidi="fa-IR"/>
              </w:rPr>
            </w:pPr>
            <w:r w:rsidRPr="007D552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Supplemental Table </w:t>
            </w:r>
            <w:proofErr w:type="gramStart"/>
            <w:r w:rsidRPr="007D552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2 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.</w:t>
            </w:r>
            <w:proofErr w:type="gramEnd"/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  Performance of T wave amplitude in aVR lead at different cutoff points for prognosis of  distinct endpoints in STEMI patients</w:t>
            </w:r>
          </w:p>
        </w:tc>
      </w:tr>
      <w:tr w:rsidR="00A515F3" w:rsidTr="0099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T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 xml:space="preserve">wave </w:t>
            </w:r>
            <w:r>
              <w:rPr>
                <w:rFonts w:ascii="Arial Narrow" w:hAnsi="Arial Narrow" w:cstheme="majorBid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amplitude mV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br/>
              <w:t>Six month-cardiovascular mortality</w:t>
            </w:r>
          </w:p>
          <w:p w:rsidR="0099400D" w:rsidRDefault="0099400D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n = 340</w:t>
            </w:r>
          </w:p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In-hospital mortality</w:t>
            </w:r>
          </w:p>
          <w:p w:rsidR="0099400D" w:rsidRDefault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n = 340</w:t>
            </w:r>
          </w:p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Re-hospitalization</w:t>
            </w:r>
          </w:p>
          <w:p w:rsidR="0099400D" w:rsidRDefault="0099400D" w:rsidP="00F07A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n = 316</w:t>
            </w:r>
            <w:r w:rsidR="00F07A71">
              <w:rPr>
                <w:rFonts w:ascii="Arial Narrow" w:hAnsi="Arial Narrow" w:cstheme="majorBidi"/>
                <w:b/>
                <w:bCs/>
                <w:sz w:val="20"/>
                <w:szCs w:val="20"/>
                <w:vertAlign w:val="superscript"/>
                <w:lang w:bidi="fa-IR"/>
              </w:rPr>
              <w:t>b</w:t>
            </w:r>
          </w:p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9400D" w:rsidTr="0099400D">
        <w:trPr>
          <w:gridAfter w:val="1"/>
          <w:wAfter w:w="23" w:type="dxa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Align w:val="center"/>
          </w:tcPr>
          <w:p w:rsidR="0099400D" w:rsidRDefault="0099400D" w:rsidP="0099400D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vAlign w:val="center"/>
            <w:hideMark/>
          </w:tcPr>
          <w:p w:rsidR="0099400D" w:rsidRDefault="0099400D" w:rsidP="0099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089" w:type="dxa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</w:t>
            </w:r>
          </w:p>
        </w:tc>
        <w:tc>
          <w:tcPr>
            <w:tcW w:w="1062" w:type="dxa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Absent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</w:t>
            </w:r>
          </w:p>
        </w:tc>
        <w:tc>
          <w:tcPr>
            <w:tcW w:w="1095" w:type="dxa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Absent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Present</w:t>
            </w:r>
          </w:p>
        </w:tc>
        <w:tc>
          <w:tcPr>
            <w:tcW w:w="1039" w:type="dxa"/>
            <w:vAlign w:val="center"/>
            <w:hideMark/>
          </w:tcPr>
          <w:p w:rsidR="0099400D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b/>
                <w:bCs/>
                <w:sz w:val="20"/>
                <w:szCs w:val="20"/>
                <w:lang w:bidi="fa-IR"/>
              </w:rPr>
              <w:t>Absent</w:t>
            </w:r>
          </w:p>
        </w:tc>
      </w:tr>
      <w:tr w:rsidR="00A515F3" w:rsidTr="0099400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 w:val="restart"/>
            <w:vAlign w:val="center"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Cutoff point of 0 mV</w:t>
            </w:r>
          </w:p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≥0 </w:t>
            </w:r>
            <w:r>
              <w:t xml:space="preserve"> </w:t>
            </w:r>
          </w:p>
        </w:tc>
        <w:tc>
          <w:tcPr>
            <w:tcW w:w="1089" w:type="dxa"/>
            <w:vAlign w:val="center"/>
            <w:hideMark/>
          </w:tcPr>
          <w:p w:rsidR="00A515F3" w:rsidRDefault="0099400D" w:rsidP="00F07A7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13 (44.8)</w:t>
            </w:r>
            <w:r w:rsidR="00F07A71" w:rsidRPr="00F07A71">
              <w:rPr>
                <w:rFonts w:ascii="Arial Narrow" w:hAnsi="Arial Narrow" w:cstheme="majorBidi"/>
                <w:sz w:val="20"/>
                <w:szCs w:val="20"/>
                <w:vertAlign w:val="superscript"/>
                <w:lang w:bidi="fa-IR"/>
              </w:rPr>
              <w:t>a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16 (</w:t>
            </w:r>
            <w:r w:rsidR="0099400D">
              <w:rPr>
                <w:rFonts w:ascii="Arial Narrow" w:hAnsi="Arial Narrow" w:cstheme="majorBidi"/>
                <w:sz w:val="20"/>
                <w:szCs w:val="20"/>
                <w:lang w:bidi="fa-IR"/>
              </w:rPr>
              <w:t>55.2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7 (24.1)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22 (75.9)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10 (45.5)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12 (54.5)</w:t>
            </w:r>
          </w:p>
        </w:tc>
      </w:tr>
      <w:tr w:rsidR="00A515F3" w:rsidTr="0099400D">
        <w:trPr>
          <w:gridAfter w:val="1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  <w:vAlign w:val="center"/>
            <w:hideMark/>
          </w:tcPr>
          <w:p w:rsidR="00A515F3" w:rsidRDefault="00A515F3">
            <w:pPr>
              <w:spacing w:line="240" w:lineRule="auto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&lt;0  </w:t>
            </w:r>
          </w:p>
        </w:tc>
        <w:tc>
          <w:tcPr>
            <w:tcW w:w="1089" w:type="dxa"/>
            <w:vAlign w:val="center"/>
            <w:hideMark/>
          </w:tcPr>
          <w:p w:rsidR="00A515F3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39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12.5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272 (</w:t>
            </w:r>
            <w:r w:rsidR="0099400D">
              <w:rPr>
                <w:rFonts w:ascii="Arial Narrow" w:hAnsi="Arial Narrow" w:cstheme="majorBidi"/>
                <w:sz w:val="20"/>
                <w:szCs w:val="20"/>
                <w:lang w:bidi="fa-IR"/>
              </w:rPr>
              <w:t>87.5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17 (5.5)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294 (94.5)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60 (20.4)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234 (79.6)</w:t>
            </w:r>
          </w:p>
        </w:tc>
      </w:tr>
      <w:tr w:rsidR="00A515F3" w:rsidTr="0099400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 w:val="restart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Cutoff point of -1  mV</w:t>
            </w: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-1≤</w:t>
            </w:r>
            <w:r>
              <w:rPr>
                <w:rFonts w:ascii="Arial Narrow" w:hAnsi="Arial Narrow" w:cstheme="majorBidi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089" w:type="dxa"/>
            <w:vAlign w:val="center"/>
            <w:hideMark/>
          </w:tcPr>
          <w:p w:rsidR="00A515F3" w:rsidRDefault="0099400D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45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24.7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137 (</w:t>
            </w:r>
            <w:r w:rsidR="0099400D">
              <w:rPr>
                <w:rFonts w:ascii="Arial Narrow" w:hAnsi="Arial Narrow" w:cstheme="majorBidi"/>
                <w:sz w:val="20"/>
                <w:szCs w:val="20"/>
                <w:lang w:bidi="fa-IR"/>
              </w:rPr>
              <w:t>75.3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23 (12.6)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159 (87.4)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47 (29.6)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112 (70.4)</w:t>
            </w:r>
          </w:p>
        </w:tc>
      </w:tr>
      <w:tr w:rsidR="00A515F3" w:rsidTr="0099400D">
        <w:trPr>
          <w:gridAfter w:val="1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  <w:vAlign w:val="center"/>
            <w:hideMark/>
          </w:tcPr>
          <w:p w:rsidR="00A515F3" w:rsidRDefault="00A515F3">
            <w:pPr>
              <w:spacing w:line="240" w:lineRule="auto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&lt;-1</w:t>
            </w:r>
            <w:r>
              <w:rPr>
                <w:rFonts w:ascii="Arial Narrow" w:hAnsi="Arial Narrow" w:cstheme="majorBidi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089" w:type="dxa"/>
            <w:vAlign w:val="center"/>
            <w:hideMark/>
          </w:tcPr>
          <w:p w:rsidR="00A515F3" w:rsidRDefault="0099400D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7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4.4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 w:rsidP="0099400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151 (</w:t>
            </w:r>
            <w:r w:rsidR="0099400D">
              <w:rPr>
                <w:rFonts w:ascii="Arial Narrow" w:hAnsi="Arial Narrow" w:cstheme="majorBidi"/>
                <w:sz w:val="20"/>
                <w:szCs w:val="20"/>
                <w:lang w:bidi="fa-IR"/>
              </w:rPr>
              <w:t>95.6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 (0.6)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157 (99.4)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23 (14.6)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134 (85.4)</w:t>
            </w:r>
          </w:p>
        </w:tc>
      </w:tr>
      <w:tr w:rsidR="00A515F3" w:rsidTr="0099400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Cutoff point of -2  mV</w:t>
            </w: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-2≤  </w:t>
            </w:r>
          </w:p>
        </w:tc>
        <w:tc>
          <w:tcPr>
            <w:tcW w:w="1089" w:type="dxa"/>
            <w:vAlign w:val="center"/>
            <w:hideMark/>
          </w:tcPr>
          <w:p w:rsidR="00A515F3" w:rsidRDefault="0099400D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51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16.6</w:t>
            </w:r>
            <w:r w:rsidR="00A515F3"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 w:rsidP="0099400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256 (</w:t>
            </w:r>
            <w:r w:rsidR="0099400D">
              <w:rPr>
                <w:rFonts w:ascii="Arial Narrow" w:hAnsi="Arial Narrow" w:cstheme="majorBidi"/>
                <w:sz w:val="20"/>
                <w:szCs w:val="20"/>
                <w:lang w:bidi="fa-IR"/>
              </w:rPr>
              <w:t>83.4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24 (7.8)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283 (92.2)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68 (24.0)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215 (76.0)</w:t>
            </w:r>
          </w:p>
        </w:tc>
      </w:tr>
      <w:tr w:rsidR="00A515F3" w:rsidTr="0099400D">
        <w:trPr>
          <w:gridAfter w:val="1"/>
          <w:wAfter w:w="23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vMerge/>
            <w:vAlign w:val="center"/>
            <w:hideMark/>
          </w:tcPr>
          <w:p w:rsidR="00A515F3" w:rsidRDefault="00A515F3">
            <w:pPr>
              <w:spacing w:line="240" w:lineRule="auto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</w:p>
        </w:tc>
        <w:tc>
          <w:tcPr>
            <w:tcW w:w="1168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&lt;-2</w:t>
            </w:r>
            <w:r>
              <w:rPr>
                <w:rFonts w:ascii="Arial Narrow" w:hAnsi="Arial Narrow" w:cstheme="majorBidi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108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1 (3.0)</w:t>
            </w:r>
          </w:p>
        </w:tc>
        <w:tc>
          <w:tcPr>
            <w:tcW w:w="1062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32 (97.0)</w:t>
            </w:r>
          </w:p>
        </w:tc>
        <w:tc>
          <w:tcPr>
            <w:tcW w:w="1031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0 (0.0)</w:t>
            </w:r>
          </w:p>
        </w:tc>
        <w:tc>
          <w:tcPr>
            <w:tcW w:w="1095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33 (100.0)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2 (6.1)</w:t>
            </w:r>
          </w:p>
        </w:tc>
        <w:tc>
          <w:tcPr>
            <w:tcW w:w="1039" w:type="dxa"/>
            <w:vAlign w:val="center"/>
            <w:hideMark/>
          </w:tcPr>
          <w:p w:rsidR="00A515F3" w:rsidRDefault="00A515F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ajorBidi"/>
                <w:sz w:val="20"/>
                <w:szCs w:val="20"/>
                <w:lang w:bidi="fa-IR"/>
              </w:rPr>
            </w:pPr>
            <w:r>
              <w:rPr>
                <w:rFonts w:ascii="Arial Narrow" w:hAnsi="Arial Narrow" w:cstheme="majorBidi"/>
                <w:sz w:val="20"/>
                <w:szCs w:val="20"/>
                <w:lang w:bidi="fa-IR"/>
              </w:rPr>
              <w:t>31 (93.9)</w:t>
            </w:r>
          </w:p>
        </w:tc>
      </w:tr>
    </w:tbl>
    <w:p w:rsidR="00A515F3" w:rsidRDefault="00A515F3" w:rsidP="00A51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943" w:rsidRDefault="00D0594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15F3" w:rsidRDefault="000A3C02" w:rsidP="0055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468pt">
            <v:imagedata r:id="rId6" o:title="flowdiagram" croptop="7077f" cropbottom="11041f"/>
          </v:shape>
        </w:pict>
      </w:r>
      <w:r w:rsidR="00D0594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554CA0" w:rsidRPr="00554CA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Supplemental </w:t>
      </w:r>
      <w:r w:rsidR="00D05943">
        <w:rPr>
          <w:rFonts w:asciiTheme="majorBidi" w:hAnsiTheme="majorBidi" w:cstheme="majorBidi"/>
          <w:b/>
          <w:bCs/>
          <w:sz w:val="24"/>
          <w:szCs w:val="24"/>
          <w:lang w:bidi="fa-IR"/>
        </w:rPr>
        <w:t>Figure 1</w:t>
      </w:r>
      <w:r w:rsidR="00D05943">
        <w:rPr>
          <w:rFonts w:asciiTheme="majorBidi" w:hAnsiTheme="majorBidi" w:cstheme="majorBidi"/>
          <w:sz w:val="24"/>
          <w:szCs w:val="24"/>
          <w:lang w:bidi="fa-IR"/>
        </w:rPr>
        <w:t xml:space="preserve">.   </w:t>
      </w:r>
      <w:r w:rsidR="00D05943" w:rsidRPr="00D05943">
        <w:rPr>
          <w:rFonts w:asciiTheme="majorBidi" w:hAnsiTheme="majorBidi" w:cstheme="majorBidi"/>
          <w:sz w:val="24"/>
          <w:szCs w:val="24"/>
          <w:lang w:bidi="fa-IR"/>
        </w:rPr>
        <w:t>STARD diagram report</w:t>
      </w:r>
      <w:r w:rsidR="00D05943">
        <w:rPr>
          <w:rFonts w:asciiTheme="majorBidi" w:hAnsiTheme="majorBidi" w:cstheme="majorBidi"/>
          <w:sz w:val="24"/>
          <w:szCs w:val="24"/>
          <w:lang w:bidi="fa-IR"/>
        </w:rPr>
        <w:t>ing</w:t>
      </w:r>
      <w:r w:rsidR="00D05943" w:rsidRPr="00D05943">
        <w:rPr>
          <w:rFonts w:asciiTheme="majorBidi" w:hAnsiTheme="majorBidi" w:cstheme="majorBidi"/>
          <w:sz w:val="24"/>
          <w:szCs w:val="24"/>
          <w:lang w:bidi="fa-IR"/>
        </w:rPr>
        <w:t xml:space="preserve"> flow of participants through the study</w:t>
      </w:r>
      <w:r w:rsidR="00D0594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515F3">
        <w:rPr>
          <w:rFonts w:ascii="Times New Roman" w:hAnsi="Times New Roman" w:cs="Times New Roman"/>
          <w:sz w:val="24"/>
          <w:szCs w:val="24"/>
        </w:rPr>
        <w:br w:type="page"/>
      </w:r>
    </w:p>
    <w:p w:rsidR="00A515F3" w:rsidRDefault="00A515F3" w:rsidP="00A515F3">
      <w:pPr>
        <w:rPr>
          <w:lang w:bidi="fa-IR"/>
        </w:rPr>
      </w:pPr>
      <w:r>
        <w:rPr>
          <w:noProof/>
        </w:rPr>
        <w:lastRenderedPageBreak/>
        <w:drawing>
          <wp:inline distT="0" distB="0" distL="0" distR="0">
            <wp:extent cx="4556760" cy="2705100"/>
            <wp:effectExtent l="0" t="0" r="0" b="0"/>
            <wp:docPr id="4" name="Picture 4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g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F3" w:rsidRDefault="00554CA0" w:rsidP="00D05943">
      <w:pPr>
        <w:rPr>
          <w:rFonts w:asciiTheme="majorBidi" w:hAnsiTheme="majorBidi" w:cstheme="majorBidi"/>
          <w:sz w:val="24"/>
          <w:szCs w:val="24"/>
          <w:lang w:bidi="fa-IR"/>
        </w:rPr>
      </w:pPr>
      <w:r w:rsidRPr="00554CA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Supplemental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Figure</w:t>
      </w:r>
      <w:r w:rsidR="00A515F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D05943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="00A515F3">
        <w:rPr>
          <w:rFonts w:asciiTheme="majorBidi" w:hAnsiTheme="majorBidi" w:cstheme="majorBidi"/>
          <w:sz w:val="24"/>
          <w:szCs w:val="24"/>
          <w:lang w:bidi="fa-IR"/>
        </w:rPr>
        <w:t>.  Study groups based on T-wave amplitude.</w:t>
      </w:r>
    </w:p>
    <w:p w:rsidR="00F85C15" w:rsidRDefault="00F85C15">
      <w:pPr>
        <w:spacing w:line="259" w:lineRule="auto"/>
        <w:rPr>
          <w:lang w:bidi="fa-IR"/>
        </w:rPr>
      </w:pPr>
      <w:r>
        <w:rPr>
          <w:lang w:bidi="fa-IR"/>
        </w:rPr>
        <w:br w:type="page"/>
      </w:r>
    </w:p>
    <w:p w:rsidR="00F85C15" w:rsidRPr="00FB7369" w:rsidRDefault="00F85C15" w:rsidP="00554CA0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35345" cy="3492500"/>
            <wp:effectExtent l="0" t="0" r="8255" b="0"/>
            <wp:docPr id="2" name="Picture 2" descr="C:\Users\ASUS\AppData\Local\Microsoft\Windows\INetCache\Content.Word\Figure 2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Figure 2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C15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554CA0" w:rsidRPr="00554CA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Supplemental </w:t>
      </w:r>
      <w:r w:rsidR="00554CA0">
        <w:rPr>
          <w:rFonts w:asciiTheme="majorBidi" w:hAnsiTheme="majorBidi" w:cstheme="majorBidi"/>
          <w:b/>
          <w:bCs/>
          <w:sz w:val="24"/>
          <w:szCs w:val="24"/>
          <w:lang w:bidi="fa-IR"/>
        </w:rPr>
        <w:t>Figure</w:t>
      </w:r>
      <w:r w:rsidRPr="00FB736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D05943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FB736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FB7369">
        <w:rPr>
          <w:rFonts w:asciiTheme="majorBidi" w:hAnsiTheme="majorBidi" w:cstheme="majorBidi"/>
          <w:sz w:val="24"/>
          <w:szCs w:val="24"/>
          <w:lang w:bidi="fa-IR"/>
        </w:rPr>
        <w:t xml:space="preserve">Simple boxplot of </w:t>
      </w:r>
      <w:r w:rsidRPr="00580BC6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Global Registry of Acute Coronary Events</w:t>
      </w:r>
      <w:r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(GRACE) score </w:t>
      </w:r>
      <w:r w:rsidRPr="00FB7369">
        <w:rPr>
          <w:rFonts w:asciiTheme="majorBidi" w:hAnsiTheme="majorBidi" w:cstheme="majorBidi"/>
          <w:sz w:val="24"/>
          <w:szCs w:val="24"/>
          <w:lang w:bidi="fa-IR"/>
        </w:rPr>
        <w:t xml:space="preserve">in patients with different T wave amplitude in </w:t>
      </w:r>
      <w:r>
        <w:rPr>
          <w:rFonts w:asciiTheme="majorBidi" w:hAnsiTheme="majorBidi" w:cstheme="majorBidi"/>
          <w:sz w:val="24"/>
          <w:szCs w:val="24"/>
          <w:lang w:bidi="fa-IR"/>
        </w:rPr>
        <w:t>aV</w:t>
      </w:r>
      <w:r w:rsidRPr="00FB7369">
        <w:rPr>
          <w:rFonts w:asciiTheme="majorBidi" w:hAnsiTheme="majorBidi" w:cstheme="majorBidi"/>
          <w:sz w:val="24"/>
          <w:szCs w:val="24"/>
          <w:lang w:bidi="fa-IR"/>
        </w:rPr>
        <w:t>R lead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515F3" w:rsidRDefault="00A515F3" w:rsidP="00A515F3">
      <w:pPr>
        <w:rPr>
          <w:lang w:bidi="fa-IR"/>
        </w:rPr>
      </w:pPr>
      <w:r>
        <w:rPr>
          <w:lang w:bidi="fa-IR"/>
        </w:rPr>
        <w:br w:type="page"/>
      </w:r>
    </w:p>
    <w:p w:rsidR="00A515F3" w:rsidRDefault="001123F0" w:rsidP="00A51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28360" cy="4191000"/>
            <wp:effectExtent l="0" t="0" r="0" b="0"/>
            <wp:docPr id="1" name="Picture 1" descr="S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F3" w:rsidRDefault="00A515F3" w:rsidP="00A51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5F3" w:rsidRDefault="00A515F3" w:rsidP="00A515F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515F3" w:rsidRDefault="00554CA0" w:rsidP="00D05943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554CA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Supplemental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Figure</w:t>
      </w:r>
      <w:r w:rsidR="00A51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94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15F3">
        <w:rPr>
          <w:rFonts w:ascii="Times New Roman" w:hAnsi="Times New Roman" w:cs="Times New Roman"/>
          <w:sz w:val="24"/>
          <w:szCs w:val="24"/>
        </w:rPr>
        <w:t xml:space="preserve">.  Receiver Operating Characteristic (ROC) curve analysis for prognostic power of </w:t>
      </w:r>
      <w:r w:rsidR="00A515F3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Global Registry of Acute Coronary Events (GRACE) score </w:t>
      </w:r>
      <w:r w:rsidR="00A515F3">
        <w:rPr>
          <w:rFonts w:asciiTheme="majorBidi" w:hAnsiTheme="majorBidi" w:cstheme="majorBidi"/>
          <w:sz w:val="24"/>
          <w:szCs w:val="24"/>
          <w:lang w:bidi="fa-IR"/>
        </w:rPr>
        <w:t>in patients with different T wave amplitude in aVR lead</w:t>
      </w:r>
    </w:p>
    <w:p w:rsidR="00A515F3" w:rsidRDefault="00A515F3" w:rsidP="00A51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5F3" w:rsidRDefault="00A515F3" w:rsidP="00A51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D9" w:rsidRPr="00A515F3" w:rsidRDefault="007854D9" w:rsidP="00A515F3"/>
    <w:sectPr w:rsidR="007854D9" w:rsidRPr="00A515F3" w:rsidSect="003826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0F" w:rsidRDefault="0036120F" w:rsidP="003B4B54">
      <w:pPr>
        <w:spacing w:after="0" w:line="240" w:lineRule="auto"/>
      </w:pPr>
      <w:r>
        <w:separator/>
      </w:r>
    </w:p>
  </w:endnote>
  <w:endnote w:type="continuationSeparator" w:id="0">
    <w:p w:rsidR="0036120F" w:rsidRDefault="0036120F" w:rsidP="003B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B54" w:rsidRDefault="003B4B54" w:rsidP="002611A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C7EFC">
      <w:fldChar w:fldCharType="begin"/>
    </w:r>
    <w:r>
      <w:instrText xml:space="preserve"> PAGE   \* MERGEFORMAT </w:instrText>
    </w:r>
    <w:r w:rsidR="001C7EFC">
      <w:fldChar w:fldCharType="separate"/>
    </w:r>
    <w:r w:rsidR="00554CA0" w:rsidRPr="00554CA0">
      <w:rPr>
        <w:rFonts w:asciiTheme="majorHAnsi" w:hAnsiTheme="majorHAnsi"/>
        <w:noProof/>
      </w:rPr>
      <w:t>7</w:t>
    </w:r>
    <w:r w:rsidR="001C7EFC">
      <w:fldChar w:fldCharType="end"/>
    </w:r>
  </w:p>
  <w:p w:rsidR="003B4B54" w:rsidRDefault="003B4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0F" w:rsidRDefault="0036120F" w:rsidP="003B4B54">
      <w:pPr>
        <w:spacing w:after="0" w:line="240" w:lineRule="auto"/>
      </w:pPr>
      <w:r>
        <w:separator/>
      </w:r>
    </w:p>
  </w:footnote>
  <w:footnote w:type="continuationSeparator" w:id="0">
    <w:p w:rsidR="0036120F" w:rsidRDefault="0036120F" w:rsidP="003B4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NDCwMLawsDQxMzVQ0lEKTi0uzszPAykwqQUA2EiWciwAAAA="/>
  </w:docVars>
  <w:rsids>
    <w:rsidRoot w:val="000F3B83"/>
    <w:rsid w:val="000A3C02"/>
    <w:rsid w:val="000F3B83"/>
    <w:rsid w:val="001123F0"/>
    <w:rsid w:val="001C7EFC"/>
    <w:rsid w:val="002611AB"/>
    <w:rsid w:val="002D676D"/>
    <w:rsid w:val="003216C0"/>
    <w:rsid w:val="0036120F"/>
    <w:rsid w:val="003826E9"/>
    <w:rsid w:val="003B4B54"/>
    <w:rsid w:val="00554CA0"/>
    <w:rsid w:val="0056599F"/>
    <w:rsid w:val="0075429E"/>
    <w:rsid w:val="00782C87"/>
    <w:rsid w:val="007854D9"/>
    <w:rsid w:val="007A6D94"/>
    <w:rsid w:val="007C48DD"/>
    <w:rsid w:val="007D5523"/>
    <w:rsid w:val="0091034A"/>
    <w:rsid w:val="0099400D"/>
    <w:rsid w:val="009B0603"/>
    <w:rsid w:val="009C0CEC"/>
    <w:rsid w:val="009D292F"/>
    <w:rsid w:val="009D5005"/>
    <w:rsid w:val="00A515F3"/>
    <w:rsid w:val="00AC64A5"/>
    <w:rsid w:val="00CD22AA"/>
    <w:rsid w:val="00CF1882"/>
    <w:rsid w:val="00D05943"/>
    <w:rsid w:val="00F07A71"/>
    <w:rsid w:val="00F422F2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26B61-0230-473B-9181-D86AB986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A51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54"/>
  </w:style>
  <w:style w:type="paragraph" w:styleId="Footer">
    <w:name w:val="footer"/>
    <w:basedOn w:val="Normal"/>
    <w:link w:val="FooterChar"/>
    <w:uiPriority w:val="99"/>
    <w:unhideWhenUsed/>
    <w:rsid w:val="003B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account</cp:lastModifiedBy>
  <cp:revision>11</cp:revision>
  <dcterms:created xsi:type="dcterms:W3CDTF">2021-05-14T07:43:00Z</dcterms:created>
  <dcterms:modified xsi:type="dcterms:W3CDTF">2021-06-15T15:32:00Z</dcterms:modified>
</cp:coreProperties>
</file>