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1648">
      <w:pPr>
        <w:tabs>
          <w:tab w:val="center" w:pos="4213"/>
          <w:tab w:val="right" w:pos="8306"/>
        </w:tabs>
        <w:spacing w:line="480" w:lineRule="auto"/>
        <w:rPr>
          <w:rFonts w:ascii="Times New Roman" w:hAnsi="Times New Roman" w:eastAsia="楷体"/>
          <w:b/>
          <w:bCs/>
          <w:sz w:val="24"/>
        </w:rPr>
      </w:pPr>
      <w:r>
        <w:rPr>
          <w:rFonts w:ascii="Times New Roman" w:hAnsi="Times New Roman" w:eastAsia="楷体"/>
          <w:b/>
          <w:bCs/>
          <w:sz w:val="24"/>
        </w:rPr>
        <w:t xml:space="preserve">Table </w:t>
      </w:r>
      <w:r>
        <w:rPr>
          <w:rFonts w:hint="eastAsia" w:ascii="Times New Roman" w:hAnsi="Times New Roman" w:eastAsia="楷体"/>
          <w:b/>
          <w:bCs/>
          <w:sz w:val="24"/>
          <w:lang w:val="en-US" w:eastAsia="zh-CN"/>
        </w:rPr>
        <w:t>4</w:t>
      </w:r>
      <w:r>
        <w:rPr>
          <w:rFonts w:ascii="Times New Roman" w:hAnsi="Times New Roman" w:eastAsia="楷体"/>
          <w:b/>
          <w:bCs/>
          <w:sz w:val="24"/>
        </w:rPr>
        <w:t xml:space="preserve">. Comparison of nursing students' evaluation of teaching effectiveness </w:t>
      </w:r>
      <w:r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(points, M±SD*)</w:t>
      </w:r>
    </w:p>
    <w:tbl>
      <w:tblPr>
        <w:tblStyle w:val="17"/>
        <w:tblW w:w="833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1622"/>
        <w:gridCol w:w="1645"/>
        <w:gridCol w:w="800"/>
        <w:gridCol w:w="850"/>
      </w:tblGrid>
      <w:tr w14:paraId="5DF6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9368E7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Item</w:t>
            </w: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5D03471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Control group (</w:t>
            </w: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kern w:val="0"/>
                <w:sz w:val="24"/>
                <w:lang w:bidi="ar"/>
              </w:rPr>
              <w:t>n</w:t>
            </w: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=30)</w:t>
            </w:r>
          </w:p>
        </w:tc>
        <w:tc>
          <w:tcPr>
            <w:tcW w:w="16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1CA0BA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231F20"/>
                <w:kern w:val="0"/>
                <w:sz w:val="24"/>
                <w:lang w:val="en-US" w:eastAsia="zh-CN" w:bidi="ar"/>
              </w:rPr>
              <w:t>I</w:t>
            </w:r>
            <w:r>
              <w:rPr>
                <w:rFonts w:hint="default" w:ascii="Times New Roman" w:hAnsi="Times New Roman"/>
                <w:b/>
                <w:bCs/>
                <w:color w:val="231F20"/>
                <w:kern w:val="0"/>
                <w:sz w:val="24"/>
                <w:lang w:val="en-US" w:eastAsia="zh-CN" w:bidi="ar"/>
              </w:rPr>
              <w:t>ntervention</w:t>
            </w: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 xml:space="preserve"> group (</w:t>
            </w: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kern w:val="0"/>
                <w:sz w:val="24"/>
                <w:lang w:bidi="ar"/>
              </w:rPr>
              <w:t>n</w:t>
            </w: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>=30)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F2CD8A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kern w:val="0"/>
                <w:sz w:val="24"/>
                <w:lang w:bidi="ar"/>
              </w:rPr>
              <w:t>T</w:t>
            </w: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 xml:space="preserve"> value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680959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231F2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231F20"/>
                <w:kern w:val="0"/>
                <w:sz w:val="24"/>
                <w:lang w:bidi="ar"/>
              </w:rPr>
              <w:t>P</w:t>
            </w:r>
            <w:r>
              <w:rPr>
                <w:rFonts w:ascii="Times New Roman" w:hAnsi="Times New Roman"/>
                <w:b/>
                <w:bCs/>
                <w:color w:val="231F20"/>
                <w:kern w:val="0"/>
                <w:sz w:val="24"/>
                <w:lang w:bidi="ar"/>
              </w:rPr>
              <w:t xml:space="preserve"> value</w:t>
            </w:r>
          </w:p>
        </w:tc>
      </w:tr>
      <w:tr w14:paraId="57AF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B21D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Teaching satisfaction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DDB6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3.57±0.50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6849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3.87±0.35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5E1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2.688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F0AD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0.009</w:t>
            </w:r>
          </w:p>
        </w:tc>
      </w:tr>
      <w:tr w14:paraId="43743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1B36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Increase interest in learning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CB39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3.50±0.51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5A3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3.97±0.18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A59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4.731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33A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 xml:space="preserve">0.000 </w:t>
            </w:r>
          </w:p>
        </w:tc>
      </w:tr>
      <w:tr w14:paraId="5501A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E1F6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Increase classroom participation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80E6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3.57±0.73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D910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3.97±0.18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E2C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2.919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B91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0.005</w:t>
            </w:r>
          </w:p>
        </w:tc>
      </w:tr>
      <w:tr w14:paraId="08F5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13E9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Increase teacher-student interaction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26F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3.50±0.82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5C4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3.93±0.25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6E0C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2.765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966B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0.008</w:t>
            </w:r>
          </w:p>
        </w:tc>
      </w:tr>
      <w:tr w14:paraId="138E3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9DEF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Deepen memory of knowledge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488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3.57±0.50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855B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3.83±0.38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170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2.316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828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0.024</w:t>
            </w:r>
          </w:p>
        </w:tc>
      </w:tr>
      <w:tr w14:paraId="2E20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D143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Improve problem-solving skills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D79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3.37±0.56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6DD3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3.73±0.45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9DB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20D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0.007</w:t>
            </w:r>
          </w:p>
        </w:tc>
      </w:tr>
      <w:tr w14:paraId="6EA4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8E4B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Improve independent learning skills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A8EE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3.67±0.76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81E2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3.77±0.43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8FAC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0.628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A5B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0.532</w:t>
            </w:r>
          </w:p>
        </w:tc>
      </w:tr>
      <w:tr w14:paraId="5395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B7A3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Cultivate critical thinking skills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D325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3.37±0.61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094E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3.77±0.43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902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2.919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BB4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0.005</w:t>
            </w:r>
          </w:p>
        </w:tc>
      </w:tr>
      <w:tr w14:paraId="0801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F862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Broaden one's knowledge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7AF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3.60±0.62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A9C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3.83±0.38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ECB0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1.756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EFC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0.084</w:t>
            </w:r>
          </w:p>
        </w:tc>
      </w:tr>
      <w:tr w14:paraId="750C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F59D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Enhance teamwork and communication skills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7704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3.53±0.63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AB9A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3.73±0.45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0B9B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1.417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AC5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0.162</w:t>
            </w:r>
          </w:p>
        </w:tc>
      </w:tr>
      <w:tr w14:paraId="681D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A6EC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Develop the ability to integrate knowledge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98E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3.50±0.51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0DD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3.80±0.41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CAE9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2.523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3E88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0.014</w:t>
            </w:r>
          </w:p>
        </w:tc>
      </w:tr>
      <w:tr w14:paraId="2EEF5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41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3E983F9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Improve literature-searching skills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1CBAAF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3.53±0.57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D6B9BC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3.80±0.41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444027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2.082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1FCC5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231F20"/>
                <w:sz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lang w:bidi="ar"/>
              </w:rPr>
              <w:t>0.042</w:t>
            </w:r>
          </w:p>
        </w:tc>
      </w:tr>
    </w:tbl>
    <w:p w14:paraId="7E0B7C86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*Data are expressed as means and standard deviations (SDs)</w:t>
      </w:r>
    </w:p>
    <w:p w14:paraId="09FE59D4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C8"/>
    <w:rsid w:val="00120CB3"/>
    <w:rsid w:val="00210DE8"/>
    <w:rsid w:val="00256054"/>
    <w:rsid w:val="004C040B"/>
    <w:rsid w:val="004F1159"/>
    <w:rsid w:val="00680C93"/>
    <w:rsid w:val="006863AD"/>
    <w:rsid w:val="00862411"/>
    <w:rsid w:val="00890E9C"/>
    <w:rsid w:val="008F35E3"/>
    <w:rsid w:val="00A9402D"/>
    <w:rsid w:val="00CC1668"/>
    <w:rsid w:val="00F93E51"/>
    <w:rsid w:val="00FD24C8"/>
    <w:rsid w:val="00FD65E5"/>
    <w:rsid w:val="0FB12363"/>
    <w:rsid w:val="3BC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val="en-CA" w:eastAsia="en-US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val="en-CA" w:eastAsia="en-US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  <w:lang w:val="en-CA" w:eastAsia="en-US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hAnsiTheme="minorHAnsi" w:eastAsiaTheme="majorEastAsia" w:cstheme="majorBidi"/>
      <w:color w:val="104862" w:themeColor="accent1" w:themeShade="BF"/>
      <w:sz w:val="22"/>
      <w:szCs w:val="22"/>
      <w:lang w:val="en-CA" w:eastAsia="en-US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/>
      <w:spacing w:before="40" w:line="259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/>
      <w:spacing w:line="259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/>
      <w:spacing w:line="259" w:lineRule="auto"/>
      <w:jc w:val="left"/>
      <w:outlineLvl w:val="8"/>
    </w:pPr>
    <w:rPr>
      <w:rFonts w:asciiTheme="minorHAnsi" w:hAnsiTheme="minorHAnsi" w:eastAsiaTheme="majorEastAsia" w:cstheme="majorBidi"/>
      <w:color w:val="262626" w:themeColor="text1" w:themeTint="D9"/>
      <w:sz w:val="22"/>
      <w:szCs w:val="22"/>
      <w:lang w:val="en-C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unhideWhenUsed/>
    <w:qFormat/>
    <w:uiPriority w:val="99"/>
    <w:rPr>
      <w:sz w:val="20"/>
      <w:szCs w:val="20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160" w:line="259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C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paragraph" w:styleId="16">
    <w:name w:val="annotation subject"/>
    <w:basedOn w:val="11"/>
    <w:next w:val="11"/>
    <w:link w:val="40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16"/>
      <w:szCs w:val="16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widowControl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val="en-C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  <w:lang w:val="en-CA" w:eastAsia="en-US"/>
      <w14:ligatures w14:val="standardContextual"/>
    </w:r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sz w:val="22"/>
      <w:szCs w:val="22"/>
      <w:lang w:val="en-CA" w:eastAsia="en-US"/>
      <w14:ligatures w14:val="standardContextual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8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customStyle="1" w:styleId="39">
    <w:name w:val="批注文字 字符"/>
    <w:basedOn w:val="18"/>
    <w:link w:val="11"/>
    <w:qFormat/>
    <w:uiPriority w:val="99"/>
    <w:rPr>
      <w:rFonts w:ascii="Calibri" w:hAnsi="Calibri" w:eastAsia="宋体" w:cs="Times New Roman"/>
      <w:sz w:val="20"/>
      <w:szCs w:val="20"/>
      <w:lang w:val="en-US" w:eastAsia="zh-CN"/>
      <w14:ligatures w14:val="none"/>
    </w:rPr>
  </w:style>
  <w:style w:type="character" w:customStyle="1" w:styleId="40">
    <w:name w:val="批注主题 字符"/>
    <w:basedOn w:val="39"/>
    <w:link w:val="16"/>
    <w:semiHidden/>
    <w:qFormat/>
    <w:uiPriority w:val="99"/>
    <w:rPr>
      <w:rFonts w:ascii="Calibri" w:hAnsi="Calibri" w:eastAsia="宋体" w:cs="Times New Roman"/>
      <w:b/>
      <w:bCs/>
      <w:sz w:val="20"/>
      <w:szCs w:val="20"/>
      <w:lang w:val="en-US" w:eastAsia="zh-CN"/>
      <w14:ligatures w14:val="none"/>
    </w:rPr>
  </w:style>
  <w:style w:type="character" w:customStyle="1" w:styleId="41">
    <w:name w:val="页眉 字符"/>
    <w:basedOn w:val="18"/>
    <w:link w:val="13"/>
    <w:qFormat/>
    <w:uiPriority w:val="99"/>
    <w:rPr>
      <w:rFonts w:ascii="Calibri" w:hAnsi="Calibri" w:eastAsia="宋体" w:cs="Times New Roman"/>
      <w:sz w:val="18"/>
      <w:szCs w:val="18"/>
      <w:lang w:val="en-US" w:eastAsia="zh-CN"/>
      <w14:ligatures w14:val="none"/>
    </w:rPr>
  </w:style>
  <w:style w:type="character" w:customStyle="1" w:styleId="42">
    <w:name w:val="页脚 字符"/>
    <w:basedOn w:val="18"/>
    <w:link w:val="12"/>
    <w:qFormat/>
    <w:uiPriority w:val="99"/>
    <w:rPr>
      <w:rFonts w:ascii="Calibri" w:hAnsi="Calibri" w:eastAsia="宋体" w:cs="Times New Roman"/>
      <w:sz w:val="18"/>
      <w:szCs w:val="18"/>
      <w:lang w:val="en-US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877</Characters>
  <Lines>7</Lines>
  <Paragraphs>2</Paragraphs>
  <TotalTime>0</TotalTime>
  <ScaleCrop>false</ScaleCrop>
  <LinksUpToDate>false</LinksUpToDate>
  <CharactersWithSpaces>935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2024-08-24T11:55:00Z</dcterms:created>
  <dc:creator>Author</dc:creator>
  <cp:lastModifiedBy>林紫</cp:lastModifiedBy>
  <dcterms:modified xsi:type="dcterms:W3CDTF">2025-04-25T15:08:33Z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eyJoZGlkIjoiMDljYzUzMWQ4OWI0YzBkYjYzMDRhZTY5ZjZkYmFmYTgiLCJ1c2VySWQiOiI0NzQwNjQyNzcifQ==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7E701E719FCC4FD3AC78A9CC59428264_12</vt:lpwstr>
  </property>
</Properties>
</file>