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40DDF" w14:textId="77777777" w:rsidR="001B530E" w:rsidRDefault="001B530E" w:rsidP="001B530E">
      <w:pPr>
        <w:pStyle w:val="Heading1"/>
        <w:spacing w:after="0" w:line="360" w:lineRule="auto"/>
        <w:rPr>
          <w:rFonts w:ascii="Aptos" w:hAnsi="Aptos"/>
          <w:color w:val="171717" w:themeColor="background2" w:themeShade="1A"/>
        </w:rPr>
      </w:pPr>
      <w:r>
        <w:rPr>
          <w:rFonts w:ascii="Aptos" w:hAnsi="Aptos"/>
          <w:color w:val="171717" w:themeColor="background2" w:themeShade="1A"/>
        </w:rPr>
        <w:t>Extended Data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612"/>
        <w:gridCol w:w="1000"/>
        <w:gridCol w:w="749"/>
        <w:gridCol w:w="1134"/>
        <w:gridCol w:w="992"/>
      </w:tblGrid>
      <w:tr w:rsidR="001B530E" w14:paraId="54FE5857" w14:textId="77777777" w:rsidTr="00052F7D">
        <w:tc>
          <w:tcPr>
            <w:tcW w:w="1612" w:type="dxa"/>
            <w:tcBorders>
              <w:left w:val="single" w:sz="4" w:space="0" w:color="7C7C7C"/>
              <w:bottom w:val="single" w:sz="4" w:space="0" w:color="7C7C7C"/>
              <w:right w:val="single" w:sz="4" w:space="0" w:color="7C7C7C"/>
            </w:tcBorders>
            <w:vAlign w:val="center"/>
          </w:tcPr>
          <w:p w14:paraId="73B4E306" w14:textId="77777777" w:rsidR="001B530E" w:rsidRPr="00E31B76" w:rsidRDefault="001B530E" w:rsidP="00052F7D">
            <w:pPr>
              <w:ind w:left="0"/>
              <w:jc w:val="center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>Water Mass</w:t>
            </w:r>
          </w:p>
        </w:tc>
        <w:tc>
          <w:tcPr>
            <w:tcW w:w="1749" w:type="dxa"/>
            <w:gridSpan w:val="2"/>
            <w:tcBorders>
              <w:top w:val="single" w:sz="4" w:space="0" w:color="7C7C7C"/>
              <w:left w:val="single" w:sz="4" w:space="0" w:color="7C7C7C"/>
              <w:bottom w:val="single" w:sz="4" w:space="0" w:color="7C7C7C"/>
              <w:right w:val="single" w:sz="4" w:space="0" w:color="7C7C7C"/>
            </w:tcBorders>
            <w:vAlign w:val="center"/>
          </w:tcPr>
          <w:p w14:paraId="7D76542A" w14:textId="77777777" w:rsidR="001B530E" w:rsidRPr="00E31B76" w:rsidRDefault="001B530E" w:rsidP="00052F7D">
            <w:pPr>
              <w:ind w:left="0"/>
              <w:jc w:val="center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>Temperature</w:t>
            </w:r>
          </w:p>
        </w:tc>
        <w:tc>
          <w:tcPr>
            <w:tcW w:w="2126" w:type="dxa"/>
            <w:gridSpan w:val="2"/>
            <w:tcBorders>
              <w:left w:val="single" w:sz="4" w:space="0" w:color="7C7C7C"/>
              <w:bottom w:val="single" w:sz="4" w:space="0" w:color="7C7C7C"/>
            </w:tcBorders>
            <w:vAlign w:val="center"/>
          </w:tcPr>
          <w:p w14:paraId="3F87BA2E" w14:textId="77777777" w:rsidR="001B530E" w:rsidRPr="00E31B76" w:rsidRDefault="001B530E" w:rsidP="00052F7D">
            <w:pPr>
              <w:ind w:left="0"/>
              <w:jc w:val="center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>Salinity</w:t>
            </w:r>
          </w:p>
        </w:tc>
      </w:tr>
      <w:tr w:rsidR="001B530E" w14:paraId="4FCA8614" w14:textId="77777777" w:rsidTr="00052F7D">
        <w:tc>
          <w:tcPr>
            <w:tcW w:w="1612" w:type="dxa"/>
            <w:tcBorders>
              <w:top w:val="single" w:sz="4" w:space="0" w:color="7C7C7C"/>
              <w:left w:val="single" w:sz="4" w:space="0" w:color="7C7C7C"/>
              <w:right w:val="single" w:sz="4" w:space="0" w:color="7C7C7C"/>
            </w:tcBorders>
            <w:vAlign w:val="center"/>
          </w:tcPr>
          <w:p w14:paraId="3C8FF572" w14:textId="77777777" w:rsidR="001B530E" w:rsidRPr="00E31B76" w:rsidRDefault="001B530E" w:rsidP="00052F7D">
            <w:pPr>
              <w:ind w:left="0"/>
              <w:jc w:val="center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>uCDW</w:t>
            </w:r>
          </w:p>
        </w:tc>
        <w:tc>
          <w:tcPr>
            <w:tcW w:w="1000" w:type="dxa"/>
            <w:tcBorders>
              <w:top w:val="single" w:sz="4" w:space="0" w:color="7C7C7C"/>
              <w:left w:val="single" w:sz="4" w:space="0" w:color="7C7C7C"/>
              <w:right w:val="nil"/>
            </w:tcBorders>
            <w:vAlign w:val="center"/>
          </w:tcPr>
          <w:p w14:paraId="79C7E935" w14:textId="77777777" w:rsidR="001B530E" w:rsidRPr="00E31B76" w:rsidRDefault="001B530E" w:rsidP="00052F7D">
            <w:pPr>
              <w:ind w:left="0"/>
              <w:jc w:val="right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 xml:space="preserve">0.2 </w:t>
            </w:r>
            <w:r w:rsidRPr="00E31B76">
              <w:rPr>
                <w:color w:val="123252" w:themeColor="text2" w:themeTint="F2"/>
                <w:lang w:val="en-US"/>
              </w:rPr>
              <w:sym w:font="Symbol" w:char="F0B1"/>
            </w:r>
          </w:p>
        </w:tc>
        <w:tc>
          <w:tcPr>
            <w:tcW w:w="749" w:type="dxa"/>
            <w:tcBorders>
              <w:top w:val="single" w:sz="4" w:space="0" w:color="7C7C7C"/>
              <w:left w:val="nil"/>
              <w:bottom w:val="single" w:sz="4" w:space="0" w:color="auto"/>
              <w:right w:val="single" w:sz="4" w:space="0" w:color="7C7C7C"/>
            </w:tcBorders>
            <w:vAlign w:val="center"/>
          </w:tcPr>
          <w:p w14:paraId="054A8B72" w14:textId="77777777" w:rsidR="001B530E" w:rsidRPr="00E31B76" w:rsidRDefault="001B530E" w:rsidP="00052F7D">
            <w:pPr>
              <w:ind w:left="0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>+0.18</w:t>
            </w:r>
            <w:r w:rsidRPr="00E31B76">
              <w:rPr>
                <w:color w:val="123252" w:themeColor="text2" w:themeTint="F2"/>
                <w:lang w:val="en-US"/>
              </w:rPr>
              <w:br/>
              <w:t>-0.06</w:t>
            </w:r>
          </w:p>
        </w:tc>
        <w:tc>
          <w:tcPr>
            <w:tcW w:w="1134" w:type="dxa"/>
            <w:tcBorders>
              <w:top w:val="single" w:sz="4" w:space="0" w:color="7C7C7C"/>
              <w:left w:val="single" w:sz="4" w:space="0" w:color="7C7C7C"/>
              <w:right w:val="nil"/>
            </w:tcBorders>
            <w:vAlign w:val="center"/>
          </w:tcPr>
          <w:p w14:paraId="17D44B30" w14:textId="77777777" w:rsidR="001B530E" w:rsidRPr="00E31B76" w:rsidRDefault="001B530E" w:rsidP="00052F7D">
            <w:pPr>
              <w:ind w:left="0"/>
              <w:jc w:val="right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 xml:space="preserve">0.014 </w:t>
            </w:r>
            <w:r w:rsidRPr="00E31B76">
              <w:rPr>
                <w:color w:val="123252" w:themeColor="text2" w:themeTint="F2"/>
                <w:lang w:val="en-US"/>
              </w:rPr>
              <w:sym w:font="Symbol" w:char="F0B1"/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</w:tcBorders>
            <w:vAlign w:val="center"/>
          </w:tcPr>
          <w:p w14:paraId="465541CF" w14:textId="77777777" w:rsidR="001B530E" w:rsidRPr="00E31B76" w:rsidRDefault="001B530E" w:rsidP="00052F7D">
            <w:pPr>
              <w:ind w:left="0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>+0.018</w:t>
            </w:r>
            <w:r w:rsidRPr="00E31B76">
              <w:rPr>
                <w:color w:val="123252" w:themeColor="text2" w:themeTint="F2"/>
                <w:lang w:val="en-US"/>
              </w:rPr>
              <w:br/>
              <w:t>-0.010</w:t>
            </w:r>
          </w:p>
        </w:tc>
      </w:tr>
      <w:tr w:rsidR="001B530E" w14:paraId="2DFCADB4" w14:textId="77777777" w:rsidTr="00052F7D">
        <w:tc>
          <w:tcPr>
            <w:tcW w:w="1612" w:type="dxa"/>
            <w:tcBorders>
              <w:top w:val="single" w:sz="4" w:space="0" w:color="7C7C7C"/>
              <w:left w:val="single" w:sz="4" w:space="0" w:color="7C7C7C"/>
              <w:bottom w:val="single" w:sz="4" w:space="0" w:color="7C7C7C"/>
              <w:right w:val="single" w:sz="4" w:space="0" w:color="7C7C7C"/>
            </w:tcBorders>
            <w:vAlign w:val="center"/>
          </w:tcPr>
          <w:p w14:paraId="27868BFA" w14:textId="77777777" w:rsidR="001B530E" w:rsidRPr="00E31B76" w:rsidRDefault="001B530E" w:rsidP="00052F7D">
            <w:pPr>
              <w:ind w:left="0"/>
              <w:jc w:val="center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>Intermediate</w:t>
            </w:r>
          </w:p>
        </w:tc>
        <w:tc>
          <w:tcPr>
            <w:tcW w:w="1000" w:type="dxa"/>
            <w:tcBorders>
              <w:top w:val="single" w:sz="4" w:space="0" w:color="7C7C7C"/>
              <w:left w:val="single" w:sz="4" w:space="0" w:color="7C7C7C"/>
              <w:bottom w:val="single" w:sz="4" w:space="0" w:color="7C7C7C"/>
              <w:right w:val="nil"/>
            </w:tcBorders>
            <w:vAlign w:val="center"/>
          </w:tcPr>
          <w:p w14:paraId="6FB4C012" w14:textId="77777777" w:rsidR="001B530E" w:rsidRPr="00E31B76" w:rsidRDefault="001B530E" w:rsidP="00052F7D">
            <w:pPr>
              <w:ind w:left="0"/>
              <w:jc w:val="right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 xml:space="preserve">0.22 </w:t>
            </w:r>
            <w:r w:rsidRPr="00E31B76">
              <w:rPr>
                <w:color w:val="123252" w:themeColor="text2" w:themeTint="F2"/>
                <w:lang w:val="en-US"/>
              </w:rPr>
              <w:sym w:font="Symbol" w:char="F0B1"/>
            </w:r>
          </w:p>
        </w:tc>
        <w:tc>
          <w:tcPr>
            <w:tcW w:w="749" w:type="dxa"/>
            <w:tcBorders>
              <w:top w:val="single" w:sz="4" w:space="0" w:color="7C7C7C"/>
              <w:left w:val="nil"/>
              <w:bottom w:val="single" w:sz="4" w:space="0" w:color="7C7C7C"/>
              <w:right w:val="single" w:sz="4" w:space="0" w:color="7C7C7C"/>
            </w:tcBorders>
            <w:vAlign w:val="center"/>
          </w:tcPr>
          <w:p w14:paraId="043972F8" w14:textId="77777777" w:rsidR="001B530E" w:rsidRPr="00E31B76" w:rsidRDefault="001B530E" w:rsidP="00052F7D">
            <w:pPr>
              <w:ind w:left="0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>+0.31</w:t>
            </w:r>
            <w:r w:rsidRPr="00E31B76">
              <w:rPr>
                <w:color w:val="123252" w:themeColor="text2" w:themeTint="F2"/>
                <w:lang w:val="en-US"/>
              </w:rPr>
              <w:br/>
              <w:t>-0.14</w:t>
            </w:r>
          </w:p>
        </w:tc>
        <w:tc>
          <w:tcPr>
            <w:tcW w:w="1134" w:type="dxa"/>
            <w:tcBorders>
              <w:top w:val="single" w:sz="4" w:space="0" w:color="7C7C7C"/>
              <w:left w:val="single" w:sz="4" w:space="0" w:color="7C7C7C"/>
              <w:bottom w:val="single" w:sz="4" w:space="0" w:color="7C7C7C"/>
              <w:right w:val="nil"/>
            </w:tcBorders>
            <w:vAlign w:val="center"/>
          </w:tcPr>
          <w:p w14:paraId="2AFC5475" w14:textId="77777777" w:rsidR="001B530E" w:rsidRPr="00E31B76" w:rsidRDefault="001B530E" w:rsidP="00052F7D">
            <w:pPr>
              <w:ind w:left="0"/>
              <w:jc w:val="right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 xml:space="preserve">0.02 </w:t>
            </w:r>
            <w:r w:rsidRPr="00E31B76">
              <w:rPr>
                <w:color w:val="123252" w:themeColor="text2" w:themeTint="F2"/>
                <w:lang w:val="en-US"/>
              </w:rPr>
              <w:sym w:font="Symbol" w:char="F0B1"/>
            </w:r>
          </w:p>
        </w:tc>
        <w:tc>
          <w:tcPr>
            <w:tcW w:w="992" w:type="dxa"/>
            <w:tcBorders>
              <w:top w:val="single" w:sz="4" w:space="0" w:color="7C7C7C"/>
              <w:left w:val="nil"/>
              <w:bottom w:val="single" w:sz="4" w:space="0" w:color="7C7C7C"/>
              <w:right w:val="single" w:sz="4" w:space="0" w:color="7C7C7C"/>
            </w:tcBorders>
            <w:vAlign w:val="center"/>
          </w:tcPr>
          <w:p w14:paraId="2D40E778" w14:textId="77777777" w:rsidR="001B530E" w:rsidRPr="00E31B76" w:rsidRDefault="001B530E" w:rsidP="00052F7D">
            <w:pPr>
              <w:ind w:left="0"/>
              <w:rPr>
                <w:color w:val="123252" w:themeColor="text2" w:themeTint="F2"/>
                <w:lang w:val="en-US"/>
              </w:rPr>
            </w:pPr>
            <w:r>
              <w:rPr>
                <w:color w:val="123252" w:themeColor="text2" w:themeTint="F2"/>
                <w:lang w:val="en-US"/>
              </w:rPr>
              <w:t>+</w:t>
            </w:r>
            <w:r w:rsidRPr="00E31B76">
              <w:rPr>
                <w:color w:val="123252" w:themeColor="text2" w:themeTint="F2"/>
                <w:lang w:val="en-US"/>
              </w:rPr>
              <w:t>0.045</w:t>
            </w:r>
            <w:r w:rsidRPr="00E31B76">
              <w:rPr>
                <w:color w:val="123252" w:themeColor="text2" w:themeTint="F2"/>
                <w:lang w:val="en-US"/>
              </w:rPr>
              <w:br/>
            </w:r>
            <w:r>
              <w:rPr>
                <w:color w:val="123252" w:themeColor="text2" w:themeTint="F2"/>
                <w:lang w:val="en-US"/>
              </w:rPr>
              <w:t>-</w:t>
            </w:r>
            <w:r w:rsidRPr="00E31B76">
              <w:rPr>
                <w:color w:val="123252" w:themeColor="text2" w:themeTint="F2"/>
                <w:lang w:val="en-US"/>
              </w:rPr>
              <w:t>0.019</w:t>
            </w:r>
          </w:p>
        </w:tc>
      </w:tr>
      <w:tr w:rsidR="001B530E" w14:paraId="41435C79" w14:textId="77777777" w:rsidTr="00052F7D">
        <w:tc>
          <w:tcPr>
            <w:tcW w:w="1612" w:type="dxa"/>
            <w:tcBorders>
              <w:top w:val="single" w:sz="4" w:space="0" w:color="7C7C7C"/>
              <w:left w:val="single" w:sz="4" w:space="0" w:color="7C7C7C"/>
              <w:bottom w:val="single" w:sz="4" w:space="0" w:color="7C7C7C"/>
              <w:right w:val="single" w:sz="4" w:space="0" w:color="7C7C7C"/>
            </w:tcBorders>
            <w:vAlign w:val="center"/>
          </w:tcPr>
          <w:p w14:paraId="51A09454" w14:textId="77777777" w:rsidR="001B530E" w:rsidRPr="00E31B76" w:rsidRDefault="001B530E" w:rsidP="00052F7D">
            <w:pPr>
              <w:ind w:left="0"/>
              <w:jc w:val="center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>WW</w:t>
            </w:r>
          </w:p>
        </w:tc>
        <w:tc>
          <w:tcPr>
            <w:tcW w:w="1000" w:type="dxa"/>
            <w:tcBorders>
              <w:top w:val="single" w:sz="4" w:space="0" w:color="7C7C7C"/>
              <w:left w:val="single" w:sz="4" w:space="0" w:color="7C7C7C"/>
              <w:bottom w:val="single" w:sz="4" w:space="0" w:color="7C7C7C"/>
              <w:right w:val="nil"/>
            </w:tcBorders>
            <w:vAlign w:val="center"/>
          </w:tcPr>
          <w:p w14:paraId="18672E5D" w14:textId="77777777" w:rsidR="001B530E" w:rsidRPr="00E31B76" w:rsidRDefault="001B530E" w:rsidP="00052F7D">
            <w:pPr>
              <w:ind w:left="0"/>
              <w:jc w:val="right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 xml:space="preserve">-0.17 </w:t>
            </w:r>
            <w:r w:rsidRPr="00E31B76">
              <w:rPr>
                <w:color w:val="123252" w:themeColor="text2" w:themeTint="F2"/>
                <w:lang w:val="en-US"/>
              </w:rPr>
              <w:sym w:font="Symbol" w:char="F0B1"/>
            </w:r>
          </w:p>
        </w:tc>
        <w:tc>
          <w:tcPr>
            <w:tcW w:w="749" w:type="dxa"/>
            <w:tcBorders>
              <w:top w:val="single" w:sz="4" w:space="0" w:color="7C7C7C"/>
              <w:left w:val="nil"/>
              <w:bottom w:val="single" w:sz="4" w:space="0" w:color="7C7C7C"/>
              <w:right w:val="single" w:sz="4" w:space="0" w:color="7C7C7C"/>
            </w:tcBorders>
            <w:vAlign w:val="center"/>
          </w:tcPr>
          <w:p w14:paraId="496A6314" w14:textId="77777777" w:rsidR="001B530E" w:rsidRPr="00E31B76" w:rsidRDefault="001B530E" w:rsidP="00052F7D">
            <w:pPr>
              <w:ind w:left="0"/>
              <w:rPr>
                <w:color w:val="123252" w:themeColor="text2" w:themeTint="F2"/>
                <w:lang w:val="en-US"/>
              </w:rPr>
            </w:pPr>
            <w:r>
              <w:rPr>
                <w:color w:val="123252" w:themeColor="text2" w:themeTint="F2"/>
                <w:lang w:val="en-US"/>
              </w:rPr>
              <w:t>+</w:t>
            </w:r>
            <w:r w:rsidRPr="00E31B76">
              <w:rPr>
                <w:color w:val="123252" w:themeColor="text2" w:themeTint="F2"/>
                <w:lang w:val="en-US"/>
              </w:rPr>
              <w:t>0.02</w:t>
            </w:r>
            <w:r w:rsidRPr="00E31B76">
              <w:rPr>
                <w:color w:val="123252" w:themeColor="text2" w:themeTint="F2"/>
                <w:lang w:val="en-US"/>
              </w:rPr>
              <w:br/>
            </w:r>
            <w:r>
              <w:rPr>
                <w:color w:val="123252" w:themeColor="text2" w:themeTint="F2"/>
                <w:lang w:val="en-US"/>
              </w:rPr>
              <w:t>-</w:t>
            </w:r>
            <w:r w:rsidRPr="00E31B76">
              <w:rPr>
                <w:color w:val="123252" w:themeColor="text2" w:themeTint="F2"/>
                <w:lang w:val="en-US"/>
              </w:rPr>
              <w:t>0.12</w:t>
            </w:r>
          </w:p>
        </w:tc>
        <w:tc>
          <w:tcPr>
            <w:tcW w:w="1134" w:type="dxa"/>
            <w:tcBorders>
              <w:top w:val="single" w:sz="4" w:space="0" w:color="7C7C7C"/>
              <w:left w:val="single" w:sz="4" w:space="0" w:color="7C7C7C"/>
              <w:bottom w:val="single" w:sz="4" w:space="0" w:color="7C7C7C"/>
              <w:right w:val="nil"/>
            </w:tcBorders>
            <w:vAlign w:val="center"/>
          </w:tcPr>
          <w:p w14:paraId="1167C013" w14:textId="77777777" w:rsidR="001B530E" w:rsidRPr="00E31B76" w:rsidRDefault="001B530E" w:rsidP="00052F7D">
            <w:pPr>
              <w:ind w:left="0"/>
              <w:jc w:val="right"/>
              <w:rPr>
                <w:color w:val="123252" w:themeColor="text2" w:themeTint="F2"/>
                <w:lang w:val="en-US"/>
              </w:rPr>
            </w:pPr>
            <w:r w:rsidRPr="00E31B76">
              <w:rPr>
                <w:color w:val="123252" w:themeColor="text2" w:themeTint="F2"/>
                <w:lang w:val="en-US"/>
              </w:rPr>
              <w:t xml:space="preserve">-0.06 </w:t>
            </w:r>
            <w:r w:rsidRPr="00E31B76">
              <w:rPr>
                <w:color w:val="123252" w:themeColor="text2" w:themeTint="F2"/>
                <w:lang w:val="en-US"/>
              </w:rPr>
              <w:sym w:font="Symbol" w:char="F0B1"/>
            </w:r>
          </w:p>
        </w:tc>
        <w:tc>
          <w:tcPr>
            <w:tcW w:w="992" w:type="dxa"/>
            <w:tcBorders>
              <w:top w:val="single" w:sz="4" w:space="0" w:color="7C7C7C"/>
              <w:left w:val="nil"/>
              <w:bottom w:val="single" w:sz="4" w:space="0" w:color="7C7C7C"/>
              <w:right w:val="single" w:sz="4" w:space="0" w:color="7C7C7C"/>
            </w:tcBorders>
            <w:vAlign w:val="center"/>
          </w:tcPr>
          <w:p w14:paraId="54404928" w14:textId="77777777" w:rsidR="001B530E" w:rsidRPr="00E31B76" w:rsidRDefault="001B530E" w:rsidP="00052F7D">
            <w:pPr>
              <w:ind w:left="0"/>
              <w:rPr>
                <w:color w:val="123252" w:themeColor="text2" w:themeTint="F2"/>
                <w:lang w:val="en-US"/>
              </w:rPr>
            </w:pPr>
            <w:r>
              <w:rPr>
                <w:color w:val="123252" w:themeColor="text2" w:themeTint="F2"/>
                <w:lang w:val="en-US"/>
              </w:rPr>
              <w:t>+</w:t>
            </w:r>
            <w:r w:rsidRPr="00E31B76">
              <w:rPr>
                <w:color w:val="123252" w:themeColor="text2" w:themeTint="F2"/>
                <w:lang w:val="en-US"/>
              </w:rPr>
              <w:t>0.015</w:t>
            </w:r>
            <w:r w:rsidRPr="00E31B76">
              <w:rPr>
                <w:color w:val="123252" w:themeColor="text2" w:themeTint="F2"/>
                <w:lang w:val="en-US"/>
              </w:rPr>
              <w:br/>
            </w:r>
            <w:r>
              <w:rPr>
                <w:color w:val="123252" w:themeColor="text2" w:themeTint="F2"/>
                <w:lang w:val="en-US"/>
              </w:rPr>
              <w:t>-</w:t>
            </w:r>
            <w:r w:rsidRPr="00E31B76">
              <w:rPr>
                <w:color w:val="123252" w:themeColor="text2" w:themeTint="F2"/>
                <w:lang w:val="en-US"/>
              </w:rPr>
              <w:t>0.032</w:t>
            </w:r>
          </w:p>
        </w:tc>
      </w:tr>
    </w:tbl>
    <w:p w14:paraId="503F58BC" w14:textId="77777777" w:rsidR="001B530E" w:rsidRPr="00B9117F" w:rsidRDefault="001B530E" w:rsidP="001B530E">
      <w:pPr>
        <w:pStyle w:val="Caption"/>
        <w:spacing w:after="0" w:line="360" w:lineRule="auto"/>
        <w:ind w:left="0"/>
        <w:jc w:val="both"/>
        <w:rPr>
          <w:rFonts w:ascii="Aptos" w:hAnsi="Aptos"/>
          <w:color w:val="171717" w:themeColor="background2" w:themeShade="1A"/>
          <w:lang w:val="en-US"/>
        </w:rPr>
      </w:pPr>
      <w:r>
        <w:rPr>
          <w:rFonts w:ascii="Aptos" w:hAnsi="Aptos"/>
          <w:color w:val="171717" w:themeColor="background2" w:themeShade="1A"/>
          <w:lang w:val="en-US"/>
        </w:rPr>
        <w:t>Extended Data</w:t>
      </w:r>
      <w:r w:rsidRPr="00B9117F">
        <w:rPr>
          <w:rFonts w:ascii="Aptos" w:hAnsi="Aptos"/>
          <w:color w:val="171717" w:themeColor="background2" w:themeShade="1A"/>
          <w:lang w:val="en-US"/>
        </w:rPr>
        <w:t xml:space="preserve"> Table </w:t>
      </w:r>
      <w:r w:rsidRPr="00B9117F">
        <w:rPr>
          <w:rFonts w:ascii="Aptos" w:hAnsi="Aptos"/>
          <w:color w:val="171717" w:themeColor="background2" w:themeShade="1A"/>
          <w:lang w:val="en-US"/>
        </w:rPr>
        <w:fldChar w:fldCharType="begin"/>
      </w:r>
      <w:r w:rsidRPr="00B9117F">
        <w:rPr>
          <w:rFonts w:ascii="Aptos" w:hAnsi="Aptos"/>
          <w:color w:val="171717" w:themeColor="background2" w:themeShade="1A"/>
          <w:lang w:val="en-US"/>
        </w:rPr>
        <w:instrText xml:space="preserve"> SEQ Figure \* ARABIC </w:instrText>
      </w:r>
      <w:r w:rsidRPr="00B9117F">
        <w:rPr>
          <w:rFonts w:ascii="Aptos" w:hAnsi="Aptos"/>
          <w:color w:val="171717" w:themeColor="background2" w:themeShade="1A"/>
          <w:lang w:val="en-US"/>
        </w:rPr>
        <w:fldChar w:fldCharType="separate"/>
      </w:r>
      <w:r w:rsidRPr="00B9117F">
        <w:rPr>
          <w:rFonts w:ascii="Aptos" w:hAnsi="Aptos"/>
          <w:noProof/>
          <w:color w:val="171717" w:themeColor="background2" w:themeShade="1A"/>
          <w:lang w:val="en-US"/>
        </w:rPr>
        <w:t>1</w:t>
      </w:r>
      <w:r w:rsidRPr="00B9117F">
        <w:rPr>
          <w:rFonts w:ascii="Aptos" w:hAnsi="Aptos"/>
          <w:color w:val="171717" w:themeColor="background2" w:themeShade="1A"/>
          <w:lang w:val="en-US"/>
        </w:rPr>
        <w:fldChar w:fldCharType="end"/>
      </w:r>
      <w:r w:rsidRPr="00B9117F">
        <w:rPr>
          <w:rFonts w:ascii="Aptos" w:hAnsi="Aptos"/>
          <w:color w:val="171717" w:themeColor="background2" w:themeShade="1A"/>
          <w:lang w:val="en-US"/>
        </w:rPr>
        <w:t xml:space="preserve">: </w:t>
      </w:r>
      <w:r w:rsidRPr="00A805EB">
        <w:rPr>
          <w:rFonts w:ascii="Aptos" w:hAnsi="Aptos"/>
          <w:color w:val="171717" w:themeColor="background2" w:themeShade="1A"/>
          <w:lang w:val="en-US"/>
        </w:rPr>
        <w:t>Mean differences and asymmetric standard deviations of temperature and salinity between the December 2014 occupation of section A12 and the climatology, for each water mass</w:t>
      </w:r>
      <w:r>
        <w:rPr>
          <w:rFonts w:ascii="Aptos" w:hAnsi="Aptos"/>
          <w:color w:val="171717" w:themeColor="background2" w:themeShade="1A"/>
          <w:lang w:val="en-US"/>
        </w:rPr>
        <w:t xml:space="preserve"> (Fig. 3c)</w:t>
      </w:r>
      <w:r w:rsidRPr="00A805EB">
        <w:rPr>
          <w:rFonts w:ascii="Aptos" w:hAnsi="Aptos"/>
          <w:color w:val="171717" w:themeColor="background2" w:themeShade="1A"/>
          <w:lang w:val="en-US"/>
        </w:rPr>
        <w:t>. The standard deviation is calculated separately for positive and negative anomalies to account for asymmetry, and is reported as "+(positive SD) / –(negative SD)".</w:t>
      </w:r>
    </w:p>
    <w:p w14:paraId="293C08C7" w14:textId="77777777" w:rsidR="001B530E" w:rsidRPr="00EE2D83" w:rsidRDefault="001B530E" w:rsidP="001B530E">
      <w:pPr>
        <w:rPr>
          <w:lang w:val="en-US"/>
        </w:rPr>
      </w:pPr>
    </w:p>
    <w:p w14:paraId="7F298405" w14:textId="77777777" w:rsidR="001B530E" w:rsidRPr="006A54CB" w:rsidRDefault="001B530E" w:rsidP="001B530E">
      <w:pPr>
        <w:spacing w:after="0" w:line="360" w:lineRule="auto"/>
        <w:ind w:left="0"/>
        <w:rPr>
          <w:rFonts w:ascii="Aptos" w:hAnsi="Aptos"/>
          <w:color w:val="171717" w:themeColor="background2" w:themeShade="1A"/>
          <w:lang w:val="en-US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333"/>
        <w:gridCol w:w="2064"/>
        <w:gridCol w:w="1439"/>
        <w:gridCol w:w="1323"/>
        <w:gridCol w:w="1593"/>
        <w:gridCol w:w="1324"/>
      </w:tblGrid>
      <w:tr w:rsidR="001B530E" w:rsidRPr="006A54CB" w14:paraId="14727990" w14:textId="77777777" w:rsidTr="00052F7D">
        <w:tc>
          <w:tcPr>
            <w:tcW w:w="1333" w:type="dxa"/>
            <w:vMerge w:val="restart"/>
          </w:tcPr>
          <w:p w14:paraId="76BAA9D3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Section</w:t>
            </w:r>
          </w:p>
        </w:tc>
        <w:tc>
          <w:tcPr>
            <w:tcW w:w="2064" w:type="dxa"/>
            <w:vMerge w:val="restart"/>
          </w:tcPr>
          <w:p w14:paraId="72120726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Date</w:t>
            </w:r>
          </w:p>
        </w:tc>
        <w:tc>
          <w:tcPr>
            <w:tcW w:w="2748" w:type="dxa"/>
            <w:gridSpan w:val="2"/>
          </w:tcPr>
          <w:p w14:paraId="38A9349E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Winter Water</w:t>
            </w:r>
          </w:p>
        </w:tc>
        <w:tc>
          <w:tcPr>
            <w:tcW w:w="2917" w:type="dxa"/>
            <w:gridSpan w:val="2"/>
          </w:tcPr>
          <w:p w14:paraId="4E5455F5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Upper Circumpolar Deep Water</w:t>
            </w:r>
          </w:p>
        </w:tc>
      </w:tr>
      <w:tr w:rsidR="001B530E" w:rsidRPr="006A54CB" w14:paraId="6C5372DB" w14:textId="77777777" w:rsidTr="00052F7D">
        <w:tc>
          <w:tcPr>
            <w:tcW w:w="1333" w:type="dxa"/>
            <w:vMerge/>
          </w:tcPr>
          <w:p w14:paraId="06AE4FD3" w14:textId="77777777" w:rsidR="001B530E" w:rsidRPr="006A54CB" w:rsidRDefault="001B530E" w:rsidP="00052F7D">
            <w:pPr>
              <w:spacing w:after="0" w:line="360" w:lineRule="auto"/>
              <w:ind w:left="0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2064" w:type="dxa"/>
            <w:vMerge/>
          </w:tcPr>
          <w:p w14:paraId="68390234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1425" w:type="dxa"/>
          </w:tcPr>
          <w:p w14:paraId="6E1679B4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Temperature</w:t>
            </w:r>
          </w:p>
        </w:tc>
        <w:tc>
          <w:tcPr>
            <w:tcW w:w="1323" w:type="dxa"/>
          </w:tcPr>
          <w:p w14:paraId="6F47CF0C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Salinity</w:t>
            </w:r>
          </w:p>
        </w:tc>
        <w:tc>
          <w:tcPr>
            <w:tcW w:w="1593" w:type="dxa"/>
          </w:tcPr>
          <w:p w14:paraId="30DEE57D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Temperature</w:t>
            </w:r>
          </w:p>
        </w:tc>
        <w:tc>
          <w:tcPr>
            <w:tcW w:w="1324" w:type="dxa"/>
          </w:tcPr>
          <w:p w14:paraId="7216B610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Salinity</w:t>
            </w:r>
          </w:p>
        </w:tc>
      </w:tr>
      <w:tr w:rsidR="001B530E" w:rsidRPr="006A54CB" w14:paraId="48A9F1F7" w14:textId="77777777" w:rsidTr="00052F7D">
        <w:tc>
          <w:tcPr>
            <w:tcW w:w="1333" w:type="dxa"/>
          </w:tcPr>
          <w:p w14:paraId="586A1CE4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S04I</w:t>
            </w:r>
          </w:p>
        </w:tc>
        <w:tc>
          <w:tcPr>
            <w:tcW w:w="2064" w:type="dxa"/>
          </w:tcPr>
          <w:p w14:paraId="79E32EDE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January 2013</w:t>
            </w:r>
          </w:p>
        </w:tc>
        <w:tc>
          <w:tcPr>
            <w:tcW w:w="1425" w:type="dxa"/>
          </w:tcPr>
          <w:p w14:paraId="1B89E4E6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 &lt; -1.5</w:t>
            </w:r>
          </w:p>
        </w:tc>
        <w:tc>
          <w:tcPr>
            <w:tcW w:w="1323" w:type="dxa"/>
          </w:tcPr>
          <w:p w14:paraId="141F14EA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1593" w:type="dxa"/>
          </w:tcPr>
          <w:p w14:paraId="077201D2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</w:rPr>
              <w:t>T &gt; 1.5</w:t>
            </w:r>
          </w:p>
        </w:tc>
        <w:tc>
          <w:tcPr>
            <w:tcW w:w="1324" w:type="dxa"/>
          </w:tcPr>
          <w:p w14:paraId="3BBC7A3B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</w:rPr>
              <w:t>S &gt; 34.5</w:t>
            </w:r>
          </w:p>
        </w:tc>
      </w:tr>
      <w:tr w:rsidR="001B530E" w:rsidRPr="006A54CB" w14:paraId="64C2E2C8" w14:textId="77777777" w:rsidTr="00052F7D">
        <w:tc>
          <w:tcPr>
            <w:tcW w:w="1333" w:type="dxa"/>
          </w:tcPr>
          <w:p w14:paraId="3AB463FA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P16S</w:t>
            </w:r>
          </w:p>
        </w:tc>
        <w:tc>
          <w:tcPr>
            <w:tcW w:w="2064" w:type="dxa"/>
          </w:tcPr>
          <w:p w14:paraId="356C4018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April 2014</w:t>
            </w:r>
          </w:p>
        </w:tc>
        <w:tc>
          <w:tcPr>
            <w:tcW w:w="1425" w:type="dxa"/>
          </w:tcPr>
          <w:p w14:paraId="14E39D22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 &lt; -1.3</w:t>
            </w:r>
          </w:p>
        </w:tc>
        <w:tc>
          <w:tcPr>
            <w:tcW w:w="1323" w:type="dxa"/>
          </w:tcPr>
          <w:p w14:paraId="7B0FCE9B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 &gt; 34</w:t>
            </w:r>
          </w:p>
        </w:tc>
        <w:tc>
          <w:tcPr>
            <w:tcW w:w="1593" w:type="dxa"/>
          </w:tcPr>
          <w:p w14:paraId="2876056C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1324" w:type="dxa"/>
          </w:tcPr>
          <w:p w14:paraId="52BAD67A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 &gt; 34.68</w:t>
            </w:r>
          </w:p>
        </w:tc>
      </w:tr>
      <w:tr w:rsidR="001B530E" w:rsidRPr="006A54CB" w14:paraId="2D0A2C5B" w14:textId="77777777" w:rsidTr="00052F7D">
        <w:tc>
          <w:tcPr>
            <w:tcW w:w="1333" w:type="dxa"/>
          </w:tcPr>
          <w:p w14:paraId="2382F20B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A12</w:t>
            </w:r>
          </w:p>
        </w:tc>
        <w:tc>
          <w:tcPr>
            <w:tcW w:w="2064" w:type="dxa"/>
          </w:tcPr>
          <w:p w14:paraId="718C4C3C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December 2014</w:t>
            </w:r>
          </w:p>
        </w:tc>
        <w:tc>
          <w:tcPr>
            <w:tcW w:w="1425" w:type="dxa"/>
          </w:tcPr>
          <w:p w14:paraId="2E559B80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 &lt; -1.5</w:t>
            </w:r>
          </w:p>
        </w:tc>
        <w:tc>
          <w:tcPr>
            <w:tcW w:w="1323" w:type="dxa"/>
          </w:tcPr>
          <w:p w14:paraId="253B412A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1593" w:type="dxa"/>
          </w:tcPr>
          <w:p w14:paraId="6D3F9C8E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 &gt; 0.7</w:t>
            </w:r>
          </w:p>
        </w:tc>
        <w:tc>
          <w:tcPr>
            <w:tcW w:w="1324" w:type="dxa"/>
          </w:tcPr>
          <w:p w14:paraId="3C65EB8C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 &gt; 34.68</w:t>
            </w:r>
          </w:p>
        </w:tc>
      </w:tr>
      <w:tr w:rsidR="001B530E" w:rsidRPr="006A54CB" w14:paraId="5D6820C6" w14:textId="77777777" w:rsidTr="00052F7D">
        <w:tc>
          <w:tcPr>
            <w:tcW w:w="1333" w:type="dxa"/>
          </w:tcPr>
          <w:p w14:paraId="7A54785F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I08S</w:t>
            </w:r>
          </w:p>
        </w:tc>
        <w:tc>
          <w:tcPr>
            <w:tcW w:w="2064" w:type="dxa"/>
          </w:tcPr>
          <w:p w14:paraId="159AC222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February 2016</w:t>
            </w:r>
          </w:p>
        </w:tc>
        <w:tc>
          <w:tcPr>
            <w:tcW w:w="1425" w:type="dxa"/>
          </w:tcPr>
          <w:p w14:paraId="6D16624C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 &lt; -1</w:t>
            </w:r>
          </w:p>
        </w:tc>
        <w:tc>
          <w:tcPr>
            <w:tcW w:w="1323" w:type="dxa"/>
          </w:tcPr>
          <w:p w14:paraId="0EC5F68C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1593" w:type="dxa"/>
          </w:tcPr>
          <w:p w14:paraId="5B9012ED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1324" w:type="dxa"/>
          </w:tcPr>
          <w:p w14:paraId="41330589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 &gt; 34.6</w:t>
            </w:r>
          </w:p>
        </w:tc>
      </w:tr>
      <w:tr w:rsidR="001B530E" w:rsidRPr="006A54CB" w14:paraId="33288BE0" w14:textId="77777777" w:rsidTr="00052F7D">
        <w:tc>
          <w:tcPr>
            <w:tcW w:w="1333" w:type="dxa"/>
          </w:tcPr>
          <w:p w14:paraId="7EBE3B1F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P18</w:t>
            </w:r>
          </w:p>
        </w:tc>
        <w:tc>
          <w:tcPr>
            <w:tcW w:w="2064" w:type="dxa"/>
          </w:tcPr>
          <w:p w14:paraId="62EF0361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Dec 2016 / Jan 2017</w:t>
            </w:r>
          </w:p>
        </w:tc>
        <w:tc>
          <w:tcPr>
            <w:tcW w:w="1425" w:type="dxa"/>
          </w:tcPr>
          <w:p w14:paraId="06618878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 &lt; -1.3</w:t>
            </w:r>
          </w:p>
        </w:tc>
        <w:tc>
          <w:tcPr>
            <w:tcW w:w="1323" w:type="dxa"/>
          </w:tcPr>
          <w:p w14:paraId="66BD0A1B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1593" w:type="dxa"/>
          </w:tcPr>
          <w:p w14:paraId="7D399595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1324" w:type="dxa"/>
          </w:tcPr>
          <w:p w14:paraId="252C64ED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 &gt; 34.65</w:t>
            </w:r>
          </w:p>
        </w:tc>
      </w:tr>
      <w:tr w:rsidR="001B530E" w:rsidRPr="006A54CB" w14:paraId="7E5B1B0B" w14:textId="77777777" w:rsidTr="00052F7D">
        <w:tc>
          <w:tcPr>
            <w:tcW w:w="1333" w:type="dxa"/>
          </w:tcPr>
          <w:p w14:paraId="358AD78F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S04P</w:t>
            </w:r>
          </w:p>
        </w:tc>
        <w:tc>
          <w:tcPr>
            <w:tcW w:w="2064" w:type="dxa"/>
          </w:tcPr>
          <w:p w14:paraId="2A7C51DB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March 2018</w:t>
            </w:r>
          </w:p>
        </w:tc>
        <w:tc>
          <w:tcPr>
            <w:tcW w:w="1425" w:type="dxa"/>
          </w:tcPr>
          <w:p w14:paraId="7E5D0E47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 &lt; -1.5</w:t>
            </w:r>
          </w:p>
        </w:tc>
        <w:tc>
          <w:tcPr>
            <w:tcW w:w="1323" w:type="dxa"/>
          </w:tcPr>
          <w:p w14:paraId="52F9C42F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 &gt; 33.9</w:t>
            </w:r>
          </w:p>
        </w:tc>
        <w:tc>
          <w:tcPr>
            <w:tcW w:w="1593" w:type="dxa"/>
          </w:tcPr>
          <w:p w14:paraId="52E82BCB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</w:rPr>
              <w:t>T &gt; 1.5</w:t>
            </w:r>
          </w:p>
        </w:tc>
        <w:tc>
          <w:tcPr>
            <w:tcW w:w="1324" w:type="dxa"/>
          </w:tcPr>
          <w:p w14:paraId="2FE4FA17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</w:rPr>
              <w:t>S &gt; 34.5</w:t>
            </w:r>
          </w:p>
        </w:tc>
      </w:tr>
      <w:tr w:rsidR="001B530E" w:rsidRPr="006A54CB" w14:paraId="2028B6BD" w14:textId="77777777" w:rsidTr="00052F7D">
        <w:tc>
          <w:tcPr>
            <w:tcW w:w="1333" w:type="dxa"/>
          </w:tcPr>
          <w:p w14:paraId="08297B45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I06S</w:t>
            </w:r>
          </w:p>
        </w:tc>
        <w:tc>
          <w:tcPr>
            <w:tcW w:w="2064" w:type="dxa"/>
          </w:tcPr>
          <w:p w14:paraId="3A6ACCB9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April/May 2019</w:t>
            </w:r>
          </w:p>
        </w:tc>
        <w:tc>
          <w:tcPr>
            <w:tcW w:w="1425" w:type="dxa"/>
          </w:tcPr>
          <w:p w14:paraId="2E3CBA10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T &lt; -1.3</w:t>
            </w:r>
          </w:p>
        </w:tc>
        <w:tc>
          <w:tcPr>
            <w:tcW w:w="1323" w:type="dxa"/>
          </w:tcPr>
          <w:p w14:paraId="6ABABE05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  <w:lang w:val="en-US"/>
              </w:rPr>
            </w:pPr>
          </w:p>
        </w:tc>
        <w:tc>
          <w:tcPr>
            <w:tcW w:w="1593" w:type="dxa"/>
          </w:tcPr>
          <w:p w14:paraId="1918A73A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</w:rPr>
            </w:pPr>
          </w:p>
        </w:tc>
        <w:tc>
          <w:tcPr>
            <w:tcW w:w="1324" w:type="dxa"/>
          </w:tcPr>
          <w:p w14:paraId="61D414A4" w14:textId="77777777" w:rsidR="001B530E" w:rsidRPr="006A54CB" w:rsidRDefault="001B530E" w:rsidP="00052F7D">
            <w:pPr>
              <w:spacing w:after="0" w:line="360" w:lineRule="auto"/>
              <w:ind w:left="0"/>
              <w:jc w:val="center"/>
              <w:rPr>
                <w:rFonts w:ascii="Aptos" w:hAnsi="Aptos"/>
                <w:color w:val="171717" w:themeColor="background2" w:themeShade="1A"/>
              </w:rPr>
            </w:pPr>
            <w:r w:rsidRPr="006A54CB">
              <w:rPr>
                <w:rFonts w:ascii="Aptos" w:hAnsi="Aptos"/>
                <w:color w:val="171717" w:themeColor="background2" w:themeShade="1A"/>
                <w:lang w:val="en-US"/>
              </w:rPr>
              <w:t>S &gt; 34.65</w:t>
            </w:r>
          </w:p>
        </w:tc>
      </w:tr>
    </w:tbl>
    <w:p w14:paraId="54F73E5C" w14:textId="77777777" w:rsidR="001B530E" w:rsidRPr="00B9117F" w:rsidRDefault="001B530E" w:rsidP="001B530E">
      <w:pPr>
        <w:pStyle w:val="Caption"/>
        <w:spacing w:after="0" w:line="360" w:lineRule="auto"/>
        <w:ind w:left="0"/>
        <w:rPr>
          <w:rFonts w:ascii="Aptos" w:hAnsi="Aptos"/>
          <w:color w:val="171717" w:themeColor="background2" w:themeShade="1A"/>
          <w:lang w:val="en-US"/>
        </w:rPr>
      </w:pPr>
      <w:r>
        <w:rPr>
          <w:rFonts w:ascii="Aptos" w:hAnsi="Aptos"/>
          <w:color w:val="171717" w:themeColor="background2" w:themeShade="1A"/>
          <w:lang w:val="en-US"/>
        </w:rPr>
        <w:t>Extended Data</w:t>
      </w:r>
      <w:r w:rsidRPr="00B9117F">
        <w:rPr>
          <w:rFonts w:ascii="Aptos" w:hAnsi="Aptos"/>
          <w:color w:val="171717" w:themeColor="background2" w:themeShade="1A"/>
          <w:lang w:val="en-US"/>
        </w:rPr>
        <w:t xml:space="preserve"> Table </w:t>
      </w:r>
      <w:r>
        <w:rPr>
          <w:rFonts w:ascii="Aptos" w:hAnsi="Aptos"/>
          <w:color w:val="171717" w:themeColor="background2" w:themeShade="1A"/>
          <w:lang w:val="en-US"/>
        </w:rPr>
        <w:t>2</w:t>
      </w:r>
      <w:r w:rsidRPr="00B9117F">
        <w:rPr>
          <w:rFonts w:ascii="Aptos" w:hAnsi="Aptos"/>
          <w:color w:val="171717" w:themeColor="background2" w:themeShade="1A"/>
          <w:lang w:val="en-US"/>
        </w:rPr>
        <w:t>: Definition of the water masses for each section studied.</w:t>
      </w:r>
    </w:p>
    <w:p w14:paraId="2C203720" w14:textId="77777777" w:rsidR="001B530E" w:rsidRPr="00D033B9" w:rsidRDefault="001B530E" w:rsidP="001B530E">
      <w:pPr>
        <w:spacing w:after="0" w:line="360" w:lineRule="auto"/>
        <w:ind w:left="0"/>
        <w:rPr>
          <w:rFonts w:ascii="Aptos" w:hAnsi="Aptos"/>
          <w:color w:val="171717" w:themeColor="background2" w:themeShade="1A"/>
          <w:lang w:val="en-US"/>
        </w:rPr>
      </w:pPr>
    </w:p>
    <w:p w14:paraId="6AEF8916" w14:textId="77777777" w:rsidR="001B530E" w:rsidRPr="006A54CB" w:rsidRDefault="001B530E" w:rsidP="001B530E">
      <w:pPr>
        <w:keepNext/>
        <w:spacing w:after="0" w:line="360" w:lineRule="auto"/>
        <w:ind w:left="0"/>
        <w:jc w:val="both"/>
        <w:rPr>
          <w:rFonts w:ascii="Aptos" w:hAnsi="Aptos"/>
          <w:color w:val="171717" w:themeColor="background2" w:themeShade="1A"/>
        </w:rPr>
      </w:pPr>
      <w:r>
        <w:rPr>
          <w:rFonts w:ascii="Aptos" w:hAnsi="Aptos"/>
          <w:noProof/>
          <w:color w:val="171717" w:themeColor="background2" w:themeShade="1A"/>
          <w14:ligatures w14:val="standardContextual"/>
        </w:rPr>
        <w:lastRenderedPageBreak/>
        <w:drawing>
          <wp:inline distT="0" distB="0" distL="0" distR="0" wp14:anchorId="4BD5DED9" wp14:editId="66D3045F">
            <wp:extent cx="5278755" cy="3604260"/>
            <wp:effectExtent l="0" t="0" r="4445" b="2540"/>
            <wp:docPr id="1974816409" name="Image 6" descr="Une image contenant capture d’écran, text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816409" name="Image 6" descr="Une image contenant capture d’écran, texte&#10;&#10;Le contenu généré par l’IA peut êtr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60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AEF42" w14:textId="77777777" w:rsidR="001B530E" w:rsidRPr="00B9117F" w:rsidRDefault="001B530E" w:rsidP="001B530E">
      <w:pPr>
        <w:pStyle w:val="Caption"/>
        <w:spacing w:after="0" w:line="360" w:lineRule="auto"/>
        <w:ind w:left="0"/>
        <w:jc w:val="both"/>
        <w:rPr>
          <w:rFonts w:ascii="Aptos" w:hAnsi="Aptos"/>
          <w:color w:val="171717" w:themeColor="background2" w:themeShade="1A"/>
          <w:lang w:val="en-US"/>
        </w:rPr>
      </w:pPr>
      <w:r>
        <w:rPr>
          <w:rFonts w:ascii="Aptos" w:hAnsi="Aptos"/>
          <w:color w:val="171717" w:themeColor="background2" w:themeShade="1A"/>
          <w:lang w:val="en-US"/>
        </w:rPr>
        <w:t xml:space="preserve">Extended Data </w:t>
      </w:r>
      <w:r w:rsidRPr="00B9117F">
        <w:rPr>
          <w:rFonts w:ascii="Aptos" w:hAnsi="Aptos"/>
          <w:color w:val="171717" w:themeColor="background2" w:themeShade="1A"/>
          <w:lang w:val="en-US"/>
        </w:rPr>
        <w:t>Figure 1: Salinity anomalies between the 1972-2013 climatology and the post-2013 sections.</w:t>
      </w:r>
    </w:p>
    <w:p w14:paraId="5B695792" w14:textId="77777777" w:rsidR="001B530E" w:rsidRPr="006A54CB" w:rsidRDefault="001B530E" w:rsidP="001B530E">
      <w:pPr>
        <w:spacing w:after="0" w:line="360" w:lineRule="auto"/>
        <w:ind w:left="0"/>
        <w:jc w:val="both"/>
        <w:rPr>
          <w:rFonts w:ascii="Aptos" w:hAnsi="Aptos"/>
          <w:color w:val="171717" w:themeColor="background2" w:themeShade="1A"/>
          <w:lang w:val="en-US"/>
        </w:rPr>
      </w:pPr>
    </w:p>
    <w:p w14:paraId="73515667" w14:textId="77777777" w:rsidR="001B530E" w:rsidRPr="006A54CB" w:rsidRDefault="001B530E" w:rsidP="001B530E">
      <w:pPr>
        <w:keepNext/>
        <w:spacing w:after="0" w:line="360" w:lineRule="auto"/>
        <w:ind w:left="0"/>
        <w:rPr>
          <w:rFonts w:ascii="Aptos" w:hAnsi="Aptos"/>
          <w:color w:val="171717" w:themeColor="background2" w:themeShade="1A"/>
        </w:rPr>
      </w:pPr>
      <w:r w:rsidRPr="006A54CB">
        <w:rPr>
          <w:rFonts w:ascii="Aptos" w:hAnsi="Aptos"/>
          <w:noProof/>
          <w:color w:val="171717" w:themeColor="background2" w:themeShade="1A"/>
          <w:lang w:val="en-US"/>
        </w:rPr>
        <w:lastRenderedPageBreak/>
        <w:drawing>
          <wp:inline distT="0" distB="0" distL="0" distR="0" wp14:anchorId="485B8CAC" wp14:editId="7B308C5B">
            <wp:extent cx="5055837" cy="3589020"/>
            <wp:effectExtent l="0" t="0" r="0" b="5080"/>
            <wp:docPr id="1789461656" name="Image 1" descr="Une image contenant texte, diagramme, capture d’écran, lig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461656" name="Image 1" descr="Une image contenant texte, diagramme, capture d’écran, ligne&#10;&#10;Le contenu généré par l’IA peut êtr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0505" cy="359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CA083" w14:textId="77777777" w:rsidR="001B530E" w:rsidRDefault="001B530E" w:rsidP="001B530E">
      <w:pPr>
        <w:pStyle w:val="Caption"/>
        <w:spacing w:after="0" w:line="360" w:lineRule="auto"/>
        <w:ind w:left="0"/>
        <w:jc w:val="both"/>
        <w:rPr>
          <w:rFonts w:ascii="Aptos" w:hAnsi="Aptos"/>
          <w:color w:val="171717" w:themeColor="background2" w:themeShade="1A"/>
          <w:lang w:val="en-US"/>
        </w:rPr>
      </w:pPr>
      <w:r>
        <w:rPr>
          <w:rFonts w:ascii="Aptos" w:hAnsi="Aptos"/>
          <w:color w:val="171717" w:themeColor="background2" w:themeShade="1A"/>
          <w:lang w:val="en-US"/>
        </w:rPr>
        <w:t>Extended Data</w:t>
      </w:r>
      <w:r w:rsidRPr="00B9117F">
        <w:rPr>
          <w:rFonts w:ascii="Aptos" w:hAnsi="Aptos"/>
          <w:color w:val="171717" w:themeColor="background2" w:themeShade="1A"/>
          <w:lang w:val="en-US"/>
        </w:rPr>
        <w:t xml:space="preserve"> Figure 2:</w:t>
      </w:r>
      <w:r>
        <w:rPr>
          <w:rFonts w:ascii="Aptos" w:hAnsi="Aptos"/>
          <w:color w:val="171717" w:themeColor="background2" w:themeShade="1A"/>
          <w:lang w:val="en-US"/>
        </w:rPr>
        <w:t xml:space="preserve"> </w:t>
      </w:r>
      <w:r w:rsidRPr="00B9117F">
        <w:rPr>
          <w:rFonts w:ascii="Aptos" w:hAnsi="Aptos"/>
          <w:color w:val="171717" w:themeColor="background2" w:themeShade="1A"/>
          <w:lang w:val="en-US"/>
        </w:rPr>
        <w:t xml:space="preserve">Temperature-salinity diagram for section A12. The core of the </w:t>
      </w:r>
      <w:r>
        <w:rPr>
          <w:rFonts w:ascii="Aptos" w:hAnsi="Aptos"/>
          <w:color w:val="171717" w:themeColor="background2" w:themeShade="1A"/>
          <w:lang w:val="en-US"/>
        </w:rPr>
        <w:t>W</w:t>
      </w:r>
      <w:r w:rsidRPr="00B9117F">
        <w:rPr>
          <w:rFonts w:ascii="Aptos" w:hAnsi="Aptos"/>
          <w:color w:val="171717" w:themeColor="background2" w:themeShade="1A"/>
          <w:lang w:val="en-US"/>
        </w:rPr>
        <w:t xml:space="preserve">inter </w:t>
      </w:r>
      <w:r>
        <w:rPr>
          <w:rFonts w:ascii="Aptos" w:hAnsi="Aptos"/>
          <w:color w:val="171717" w:themeColor="background2" w:themeShade="1A"/>
          <w:lang w:val="en-US"/>
        </w:rPr>
        <w:t>W</w:t>
      </w:r>
      <w:r w:rsidRPr="00B9117F">
        <w:rPr>
          <w:rFonts w:ascii="Aptos" w:hAnsi="Aptos"/>
          <w:color w:val="171717" w:themeColor="background2" w:themeShade="1A"/>
          <w:lang w:val="en-US"/>
        </w:rPr>
        <w:t>ater and upper</w:t>
      </w:r>
      <w:r>
        <w:rPr>
          <w:rFonts w:ascii="Aptos" w:hAnsi="Aptos"/>
          <w:color w:val="171717" w:themeColor="background2" w:themeShade="1A"/>
          <w:lang w:val="en-US"/>
        </w:rPr>
        <w:t xml:space="preserve"> C</w:t>
      </w:r>
      <w:r w:rsidRPr="00B9117F">
        <w:rPr>
          <w:rFonts w:ascii="Aptos" w:hAnsi="Aptos"/>
          <w:color w:val="171717" w:themeColor="background2" w:themeShade="1A"/>
          <w:lang w:val="en-US"/>
        </w:rPr>
        <w:t xml:space="preserve">ircumpolar </w:t>
      </w:r>
      <w:r>
        <w:rPr>
          <w:rFonts w:ascii="Aptos" w:hAnsi="Aptos"/>
          <w:color w:val="171717" w:themeColor="background2" w:themeShade="1A"/>
          <w:lang w:val="en-US"/>
        </w:rPr>
        <w:t>D</w:t>
      </w:r>
      <w:r w:rsidRPr="00B9117F">
        <w:rPr>
          <w:rFonts w:ascii="Aptos" w:hAnsi="Aptos"/>
          <w:color w:val="171717" w:themeColor="background2" w:themeShade="1A"/>
          <w:lang w:val="en-US"/>
        </w:rPr>
        <w:t xml:space="preserve">eep </w:t>
      </w:r>
      <w:r>
        <w:rPr>
          <w:rFonts w:ascii="Aptos" w:hAnsi="Aptos"/>
          <w:color w:val="171717" w:themeColor="background2" w:themeShade="1A"/>
          <w:lang w:val="en-US"/>
        </w:rPr>
        <w:t>W</w:t>
      </w:r>
      <w:r w:rsidRPr="00B9117F">
        <w:rPr>
          <w:rFonts w:ascii="Aptos" w:hAnsi="Aptos"/>
          <w:color w:val="171717" w:themeColor="background2" w:themeShade="1A"/>
          <w:lang w:val="en-US"/>
        </w:rPr>
        <w:t>ater is indicated by the dot. H indicates the distance from the WW-uCDW mixing line.</w:t>
      </w:r>
    </w:p>
    <w:p w14:paraId="6C567510" w14:textId="77777777" w:rsidR="001B530E" w:rsidRPr="00FE701A" w:rsidRDefault="001B530E" w:rsidP="001B530E">
      <w:pPr>
        <w:rPr>
          <w:lang w:val="en-US"/>
        </w:rPr>
      </w:pPr>
    </w:p>
    <w:p w14:paraId="106D760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30E"/>
    <w:rsid w:val="00011C58"/>
    <w:rsid w:val="0006021D"/>
    <w:rsid w:val="001B530E"/>
    <w:rsid w:val="00331A6B"/>
    <w:rsid w:val="0038434A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CE47D"/>
  <w15:chartTrackingRefBased/>
  <w15:docId w15:val="{81B55283-83A9-459D-9813-22B389AA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30E"/>
    <w:pPr>
      <w:spacing w:after="120" w:line="288" w:lineRule="auto"/>
      <w:ind w:left="360"/>
    </w:pPr>
    <w:rPr>
      <w:color w:val="156082" w:themeColor="accent1"/>
      <w:kern w:val="0"/>
      <w:sz w:val="22"/>
      <w:szCs w:val="22"/>
      <w:lang w:val="fr-FR" w:eastAsia="ja-JP" w:bidi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530E"/>
    <w:pPr>
      <w:keepNext/>
      <w:keepLines/>
      <w:spacing w:before="360" w:after="80" w:line="278" w:lineRule="auto"/>
      <w:ind w:left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530E"/>
    <w:pPr>
      <w:keepNext/>
      <w:keepLines/>
      <w:spacing w:before="160" w:after="80" w:line="278" w:lineRule="auto"/>
      <w:ind w:left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530E"/>
    <w:pPr>
      <w:keepNext/>
      <w:keepLines/>
      <w:spacing w:before="160" w:after="80" w:line="278" w:lineRule="auto"/>
      <w:ind w:left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530E"/>
    <w:pPr>
      <w:keepNext/>
      <w:keepLines/>
      <w:spacing w:before="80" w:after="40" w:line="278" w:lineRule="auto"/>
      <w:ind w:left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530E"/>
    <w:pPr>
      <w:keepNext/>
      <w:keepLines/>
      <w:spacing w:before="80" w:after="40" w:line="278" w:lineRule="auto"/>
      <w:ind w:left="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30E"/>
    <w:pPr>
      <w:keepNext/>
      <w:keepLines/>
      <w:spacing w:before="40" w:after="0" w:line="278" w:lineRule="auto"/>
      <w:ind w:left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530E"/>
    <w:pPr>
      <w:keepNext/>
      <w:keepLines/>
      <w:spacing w:before="40" w:after="0" w:line="278" w:lineRule="auto"/>
      <w:ind w:left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530E"/>
    <w:pPr>
      <w:keepNext/>
      <w:keepLines/>
      <w:spacing w:after="0" w:line="278" w:lineRule="auto"/>
      <w:ind w:left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530E"/>
    <w:pPr>
      <w:keepNext/>
      <w:keepLines/>
      <w:spacing w:after="0" w:line="278" w:lineRule="auto"/>
      <w:ind w:left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3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53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53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53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53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3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53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3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53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530E"/>
    <w:pPr>
      <w:spacing w:after="80" w:line="240" w:lineRule="auto"/>
      <w:ind w:left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53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30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53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530E"/>
    <w:pPr>
      <w:spacing w:before="160" w:after="160" w:line="278" w:lineRule="auto"/>
      <w:ind w:left="0"/>
      <w:jc w:val="center"/>
    </w:pPr>
    <w:rPr>
      <w:i/>
      <w:iCs/>
      <w:color w:val="404040" w:themeColor="text1" w:themeTint="BF"/>
      <w:kern w:val="2"/>
      <w:sz w:val="24"/>
      <w:szCs w:val="24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53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30E"/>
    <w:pPr>
      <w:spacing w:after="160" w:line="278" w:lineRule="auto"/>
      <w:ind w:left="720"/>
      <w:contextualSpacing/>
    </w:pPr>
    <w:rPr>
      <w:color w:val="auto"/>
      <w:kern w:val="2"/>
      <w:sz w:val="24"/>
      <w:szCs w:val="24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53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53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53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530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B530E"/>
    <w:pPr>
      <w:spacing w:after="200" w:line="240" w:lineRule="auto"/>
    </w:pPr>
    <w:rPr>
      <w:i/>
      <w:iCs/>
      <w:sz w:val="20"/>
      <w:szCs w:val="18"/>
    </w:rPr>
  </w:style>
  <w:style w:type="table" w:styleId="TableGridLight">
    <w:name w:val="Grid Table Light"/>
    <w:basedOn w:val="TableNormal"/>
    <w:uiPriority w:val="40"/>
    <w:rsid w:val="001B530E"/>
    <w:pPr>
      <w:spacing w:after="0" w:line="240" w:lineRule="auto"/>
    </w:pPr>
    <w:rPr>
      <w:rFonts w:asciiTheme="majorHAnsi" w:eastAsiaTheme="majorEastAsia" w:hAnsiTheme="majorHAnsi" w:cstheme="majorBidi"/>
      <w:kern w:val="0"/>
      <w:sz w:val="22"/>
      <w:szCs w:val="22"/>
      <w:lang w:val="fr-FR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1B530E"/>
    <w:pPr>
      <w:spacing w:after="0" w:line="240" w:lineRule="auto"/>
    </w:pPr>
    <w:rPr>
      <w:lang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210</Words>
  <Characters>1202</Characters>
  <Application>Microsoft Office Word</Application>
  <DocSecurity>0</DocSecurity>
  <Lines>10</Lines>
  <Paragraphs>2</Paragraphs>
  <ScaleCrop>false</ScaleCrop>
  <Company>Springer Nature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2025-05-16T04:51:00Z</dcterms:created>
  <dcterms:modified xsi:type="dcterms:W3CDTF">2025-05-16T04:51:00Z</dcterms:modified>
</cp:coreProperties>
</file>